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智能分类垃圾桶设计方案及营销策略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1产品与技术</w:t>
      </w:r>
    </w:p>
    <w:p>
      <w:pPr>
        <w:ind w:firstLine="420" w:firstLineChars="0"/>
        <w:rPr>
          <w:b/>
          <w:bCs/>
          <w:color w:val="auto"/>
          <w:lang w:val="en-US" w:eastAsia="zh-CN"/>
        </w:rPr>
      </w:pPr>
      <w:r>
        <w:rPr>
          <w:b/>
          <w:bCs/>
          <w:color w:val="auto"/>
        </w:rPr>
        <w:t>1.1项目背景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lang w:val="en-US" w:eastAsia="zh-CN"/>
        </w:rPr>
        <w:t>据统计，中国每年新增固体废物100亿吨左右</w:t>
      </w:r>
      <w:r>
        <w:rPr>
          <w:rFonts w:hint="eastAsia"/>
          <w:lang w:eastAsia="zh-CN"/>
        </w:rPr>
        <w:t>，许多城市都面临垃圾“围城”的危险；</w:t>
      </w:r>
      <w:r>
        <w:rPr>
          <w:rFonts w:hint="default"/>
          <w:lang w:eastAsia="zh-CN"/>
        </w:rPr>
        <w:t>与此同时，</w:t>
      </w:r>
      <w:r>
        <w:rPr>
          <w:rFonts w:hint="eastAsia"/>
          <w:lang w:eastAsia="zh-CN"/>
        </w:rPr>
        <w:t>生活垃圾被认为是最具开发潜力的、永不枯竭的“城市矿产”。是“放错地方的资源”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lang w:val="en-US" w:eastAsia="zh-CN"/>
        </w:rPr>
      </w:pPr>
      <w:r>
        <w:rPr>
          <w:rFonts w:hint="default"/>
          <w:lang w:eastAsia="zh-CN"/>
        </w:rPr>
        <w:t>自</w:t>
      </w:r>
      <w:r>
        <w:rPr>
          <w:rFonts w:hint="eastAsia"/>
          <w:lang w:val="en-US" w:eastAsia="zh-CN"/>
        </w:rPr>
        <w:t>2019年</w:t>
      </w:r>
      <w:r>
        <w:rPr>
          <w:rFonts w:hint="default"/>
          <w:lang w:eastAsia="zh-CN"/>
        </w:rPr>
        <w:t>来，</w:t>
      </w:r>
      <w:r>
        <w:rPr>
          <w:rFonts w:hint="eastAsia"/>
          <w:lang w:val="en-US" w:eastAsia="zh-CN"/>
        </w:rPr>
        <w:t>全国陆续发布生活垃圾管理条例和垃圾分类实施方案，从居民端开始按类别投放</w:t>
      </w:r>
      <w:r>
        <w:rPr>
          <w:rFonts w:hint="default"/>
          <w:lang w:eastAsia="zh-CN"/>
        </w:rPr>
        <w:t>。然而，</w:t>
      </w:r>
      <w:r>
        <w:rPr>
          <w:lang w:eastAsia="zh-CN"/>
        </w:rPr>
        <w:t>垃圾种类及性质趋于复杂化，垃圾分类学习成本高、错误分类现象普遍等问题极大地阻碍了垃圾分类</w:t>
      </w:r>
      <w:r>
        <w:rPr>
          <w:lang w:val="en-US" w:eastAsia="zh-CN"/>
        </w:rPr>
        <w:t>回收处理事业</w:t>
      </w:r>
      <w:r>
        <w:rPr>
          <w:lang w:eastAsia="zh-CN"/>
        </w:rPr>
        <w:t>的发展。如何</w:t>
      </w:r>
      <w:r>
        <w:rPr>
          <w:rFonts w:hint="default"/>
          <w:lang w:eastAsia="zh-CN"/>
        </w:rPr>
        <w:t>简化垃圾分类流程，降低垃圾分类难度，从源头上解决居民垃圾分类难点、痛点，</w:t>
      </w:r>
      <w:r>
        <w:rPr>
          <w:lang w:eastAsia="zh-CN"/>
        </w:rPr>
        <w:t>成为一件迫在眉睫的事情</w:t>
      </w:r>
      <w:r>
        <w:rPr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lang w:eastAsia="zh-CN"/>
        </w:rPr>
        <w:t>本项目通过</w:t>
      </w:r>
      <w:r>
        <w:rPr>
          <w:rFonts w:hint="default"/>
          <w:lang w:eastAsia="zh-CN"/>
        </w:rPr>
        <w:t>研制</w:t>
      </w:r>
      <w:r>
        <w:rPr>
          <w:rFonts w:hint="default"/>
          <w:lang w:val="en-US" w:eastAsia="zh-CN"/>
        </w:rPr>
        <w:t>前期垃圾处理</w:t>
      </w:r>
      <w:r>
        <w:rPr>
          <w:rFonts w:hint="default"/>
          <w:lang w:eastAsia="zh-CN"/>
        </w:rPr>
        <w:t>（垃圾分类）</w:t>
      </w:r>
      <w:r>
        <w:rPr>
          <w:rFonts w:hint="default"/>
          <w:lang w:val="en-US" w:eastAsia="zh-CN"/>
        </w:rPr>
        <w:t>的智能化</w:t>
      </w:r>
      <w:r>
        <w:rPr>
          <w:rFonts w:hint="default"/>
          <w:lang w:eastAsia="zh-CN"/>
        </w:rPr>
        <w:t>电子产品，</w:t>
      </w:r>
      <w:r>
        <w:rPr>
          <w:lang w:val="en-US" w:eastAsia="zh-CN"/>
        </w:rPr>
        <w:t>基于“互联网+垃圾分类”</w:t>
      </w:r>
      <w:r>
        <w:rPr>
          <w:lang w:eastAsia="zh-CN"/>
        </w:rPr>
        <w:t>模式，</w:t>
      </w:r>
      <w:r>
        <w:rPr>
          <w:rFonts w:hint="default"/>
          <w:lang w:eastAsia="zh-CN"/>
        </w:rPr>
        <w:t>让居民零基础做好垃圾分类成为可能。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rPr>
          <w:rFonts w:hint="default"/>
          <w:b/>
          <w:bCs/>
          <w:color w:val="auto"/>
          <w:lang w:eastAsia="zh-CN"/>
        </w:rPr>
      </w:pPr>
      <w:r>
        <w:rPr>
          <w:rFonts w:hint="default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29845</wp:posOffset>
            </wp:positionV>
            <wp:extent cx="5267960" cy="986790"/>
            <wp:effectExtent l="0" t="0" r="15240" b="3810"/>
            <wp:wrapTight wrapText="bothSides">
              <wp:wrapPolygon>
                <wp:start x="0" y="0"/>
                <wp:lineTo x="0" y="21127"/>
                <wp:lineTo x="21454" y="21127"/>
                <wp:lineTo x="21454" y="0"/>
                <wp:lineTo x="0" y="0"/>
              </wp:wrapPolygon>
            </wp:wrapTight>
            <wp:docPr id="1" name="图片 1" descr="屏幕快照 2019-09-01 上午11.56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9-01 上午11.56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1.2产品介绍</w:t>
      </w:r>
    </w:p>
    <w:p>
      <w:pPr>
        <w:ind w:left="420" w:leftChars="0"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1.2.1产品功能</w:t>
      </w:r>
    </w:p>
    <w:p>
      <w:pPr>
        <w:ind w:left="840" w:leftChars="0" w:firstLine="420"/>
        <w:rPr>
          <w:b/>
          <w:bCs/>
          <w:sz w:val="15"/>
          <w:szCs w:val="15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1184910</wp:posOffset>
            </wp:positionV>
            <wp:extent cx="4451350" cy="323215"/>
            <wp:effectExtent l="0" t="0" r="69850" b="83185"/>
            <wp:wrapTight wrapText="bothSides">
              <wp:wrapPolygon>
                <wp:start x="0" y="0"/>
                <wp:lineTo x="0" y="19860"/>
                <wp:lineTo x="21446" y="19860"/>
                <wp:lineTo x="21446" y="0"/>
                <wp:lineTo x="0" y="0"/>
              </wp:wrapPolygon>
            </wp:wrapTight>
            <wp:docPr id="2" name="图片 2" descr="屏幕快照 2019-09-01 下午12.0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9-01 下午12.04.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集</w:t>
      </w:r>
      <w:r>
        <w:rPr>
          <w:lang w:val="en-US" w:eastAsia="zh-CN"/>
        </w:rPr>
        <w:t>智能技术、物联网技术等</w:t>
      </w:r>
      <w:r>
        <w:rPr>
          <w:lang w:eastAsia="zh-CN"/>
        </w:rPr>
        <w:t>于一体，</w:t>
      </w:r>
      <w:r>
        <w:t>初次使用时选择所在垃圾分类城市，通过电子触控屏幕选择需要丢弃的垃圾，用户毋需判断、查询该垃圾所属分类，机器自动打开该垃圾对应的分类垃圾桶垃圾口。同时，产品通过WiFi模块，定期更新产品垃圾分类种类，减少用户因垃圾种类复杂难辨、垃圾分类政策变化而错误分类的现象，自动上传并记录用户所丢弃的垃圾种类及数量，供用户手机端微信小程序自行查看。</w:t>
      </w:r>
    </w:p>
    <w:p>
      <w:pPr>
        <w:ind w:firstLine="420"/>
      </w:pPr>
    </w:p>
    <w:p>
      <w:pPr>
        <w:rPr>
          <w:b/>
          <w:bCs/>
          <w:color w:val="auto"/>
        </w:rPr>
      </w:pPr>
    </w:p>
    <w:p>
      <w:pPr>
        <w:ind w:left="420" w:leftChars="0"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1.2.2产品原理</w:t>
      </w: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25400</wp:posOffset>
            </wp:positionV>
            <wp:extent cx="4280535" cy="1737360"/>
            <wp:effectExtent l="0" t="0" r="12065" b="15240"/>
            <wp:wrapTight wrapText="bothSides">
              <wp:wrapPolygon>
                <wp:start x="0" y="0"/>
                <wp:lineTo x="0" y="21158"/>
                <wp:lineTo x="21533" y="21158"/>
                <wp:lineTo x="21533" y="0"/>
                <wp:lineTo x="0" y="0"/>
              </wp:wrapPolygon>
            </wp:wrapTight>
            <wp:docPr id="4" name="图片 4" descr="屏幕快照 2019-09-01 下午12.1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01 下午12.15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b/>
          <w:bCs/>
          <w:sz w:val="15"/>
          <w:szCs w:val="15"/>
        </w:rPr>
      </w:pPr>
    </w:p>
    <w:p/>
    <w:p/>
    <w:p/>
    <w:p/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2市场分析</w:t>
      </w:r>
    </w:p>
    <w:p>
      <w:pPr>
        <w:ind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2.1目标市场</w:t>
      </w:r>
    </w:p>
    <w:p>
      <w:pPr>
        <w:ind w:left="420" w:leftChars="0" w:firstLine="420" w:firstLineChars="0"/>
      </w:pPr>
      <w:r>
        <w:t>1广大垃圾分类城市家庭用户</w:t>
      </w:r>
    </w:p>
    <w:p>
      <w:pPr>
        <w:ind w:left="420" w:leftChars="0" w:firstLine="420" w:firstLineChars="0"/>
      </w:pPr>
      <w:r>
        <w:t>2学校、办公室、医院、公园等公共场所</w:t>
      </w:r>
    </w:p>
    <w:p>
      <w:pPr>
        <w:ind w:firstLine="420" w:firstLineChars="0"/>
      </w:pPr>
    </w:p>
    <w:p>
      <w:pPr>
        <w:ind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2.2竞争分析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t>目前全国智能垃圾分类设备还处于起步阶段，大部分没有形成规模生产，存在智能设备垃圾分类识别准确率不高（语音识别、视觉识别等）、部分公共场所大型设备</w:t>
      </w:r>
      <w:r>
        <w:rPr>
          <w:lang w:val="en-US" w:eastAsia="zh-CN"/>
        </w:rPr>
        <w:t>升级维护</w:t>
      </w:r>
      <w:r>
        <w:rPr>
          <w:lang w:eastAsia="zh-CN"/>
        </w:rPr>
        <w:t>成本高等问题。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 w:val="0"/>
          <w:bCs w:val="0"/>
        </w:rPr>
      </w:pPr>
      <w:r>
        <w:t>但由于近年来</w:t>
      </w:r>
      <w:r>
        <w:rPr>
          <w:lang w:val="en-US" w:eastAsia="zh-CN"/>
        </w:rPr>
        <w:t>，垃圾分类的概念火热</w:t>
      </w:r>
      <w:r>
        <w:rPr>
          <w:lang w:eastAsia="zh-CN"/>
        </w:rPr>
        <w:t>，</w:t>
      </w:r>
      <w:r>
        <w:rPr>
          <w:lang w:val="en-US" w:eastAsia="zh-CN"/>
        </w:rPr>
        <w:t>基于“互联网+垃圾分类回收”的运营模式</w:t>
      </w:r>
      <w:r>
        <w:rPr>
          <w:lang w:eastAsia="zh-CN"/>
        </w:rPr>
        <w:t>的智能垃圾分类设备有广阔的发展前景和创新空间，需求量大，</w:t>
      </w:r>
      <w:r>
        <w:rPr>
          <w:lang w:val="en-US" w:eastAsia="zh-CN"/>
        </w:rPr>
        <w:t>加上由此衍生的广告、大数据、垂直电商等预计效益空间，</w:t>
      </w:r>
      <w:r>
        <w:rPr>
          <w:lang w:eastAsia="zh-CN"/>
        </w:rPr>
        <w:t>与此相关的产品研发数量剧增。针对上述行业所面临的问题和未来发展前景</w:t>
      </w:r>
      <w:r>
        <w:t>，本产品通过</w:t>
      </w:r>
      <w:r>
        <w:rPr>
          <w:b w:val="0"/>
          <w:bCs w:val="0"/>
        </w:rPr>
        <w:t>“自动售货机”模式进行垃圾分类很大程度改善了分类识别准确率问题，更符合用户应用逻辑和应用场景。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</w:rPr>
      </w:pPr>
      <w:r>
        <w:rPr>
          <w:b/>
          <w:bCs/>
        </w:rPr>
        <w:t xml:space="preserve">S </w:t>
      </w:r>
      <w:r>
        <w:rPr>
          <w:rFonts w:hint="eastAsia"/>
          <w:b/>
          <w:bCs/>
          <w:lang w:val="en-US" w:eastAsia="zh-CN"/>
        </w:rPr>
        <w:t>优势</w:t>
      </w:r>
      <w:r>
        <w:rPr>
          <w:rFonts w:hint="default"/>
          <w:b/>
          <w:bCs/>
          <w:lang w:eastAsia="zh-CN"/>
        </w:rPr>
        <w:t xml:space="preserve">  </w:t>
      </w:r>
      <w:r>
        <w:rPr>
          <w:rFonts w:hint="default"/>
          <w:lang w:eastAsia="zh-CN"/>
        </w:rPr>
        <w:t>后期维护成本低，产品自带定期联网更新模块，后期维护成本低，垃圾分类准确率高，垃圾分类流程简单便捷，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 xml:space="preserve">W </w:t>
      </w:r>
      <w:r>
        <w:rPr>
          <w:rFonts w:hint="eastAsia"/>
          <w:b/>
          <w:bCs/>
          <w:lang w:val="en-US" w:eastAsia="zh-CN"/>
        </w:rPr>
        <w:t>劣势</w:t>
      </w:r>
      <w:r>
        <w:rPr>
          <w:rFonts w:hint="default"/>
          <w:b/>
          <w:bCs/>
          <w:lang w:eastAsia="zh-CN"/>
        </w:rPr>
        <w:t xml:space="preserve">  </w:t>
      </w:r>
      <w:r>
        <w:rPr>
          <w:rFonts w:hint="eastAsia"/>
        </w:rPr>
        <w:t>从初期建立至得到消费者信任的过程有一定的难度，包括</w:t>
      </w:r>
      <w:r>
        <w:rPr>
          <w:rFonts w:hint="default"/>
        </w:rPr>
        <w:t>产品宣传推广</w:t>
      </w:r>
      <w:r>
        <w:rPr>
          <w:rFonts w:hint="eastAsia"/>
        </w:rPr>
        <w:t>、产品服务改进等，需要相当一段时间</w:t>
      </w:r>
      <w:r>
        <w:rPr>
          <w:rFonts w:hint="default"/>
        </w:rPr>
        <w:t>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lang w:eastAsia="zh-CN"/>
        </w:rPr>
      </w:pPr>
      <w:r>
        <w:rPr>
          <w:rFonts w:hint="default"/>
          <w:b/>
          <w:bCs/>
          <w:lang w:eastAsia="zh-CN"/>
        </w:rPr>
        <w:t xml:space="preserve">O </w:t>
      </w:r>
      <w:r>
        <w:rPr>
          <w:rFonts w:hint="eastAsia"/>
          <w:b/>
          <w:bCs/>
          <w:lang w:val="en-US" w:eastAsia="zh-CN"/>
        </w:rPr>
        <w:t>机会</w:t>
      </w:r>
      <w:r>
        <w:rPr>
          <w:rFonts w:hint="default"/>
          <w:b/>
          <w:bCs/>
          <w:lang w:eastAsia="zh-CN"/>
        </w:rPr>
        <w:t xml:space="preserve"> </w:t>
      </w:r>
      <w:r>
        <w:rPr>
          <w:rFonts w:hint="default"/>
          <w:lang w:eastAsia="zh-CN"/>
        </w:rPr>
        <w:t xml:space="preserve"> 市场需求量大，</w:t>
      </w:r>
      <w:r>
        <w:rPr>
          <w:lang w:val="en-US" w:eastAsia="zh-CN"/>
        </w:rPr>
        <w:t>衍生的广告、大数据、垂直电商等预计效益空间</w:t>
      </w:r>
      <w:r>
        <w:rPr>
          <w:lang w:eastAsia="zh-CN"/>
        </w:rPr>
        <w:t>广，后期垃圾分类数据可用于开辟其他垃圾分类服务市场：</w:t>
      </w:r>
      <w:r>
        <w:rPr>
          <w:lang w:val="en-US" w:eastAsia="zh-CN"/>
        </w:rPr>
        <w:t>垃圾分类收集服务、垃圾分类一体化服务（分类垃圾收运、保洁、推广等）。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eastAsia="zh-CN"/>
        </w:rPr>
        <w:t xml:space="preserve">T </w:t>
      </w:r>
      <w:r>
        <w:rPr>
          <w:rFonts w:hint="eastAsia"/>
          <w:b/>
          <w:bCs/>
          <w:lang w:val="en-US" w:eastAsia="zh-CN"/>
        </w:rPr>
        <w:t>威胁</w:t>
      </w:r>
      <w:r>
        <w:rPr>
          <w:rFonts w:hint="default"/>
          <w:b/>
          <w:bCs/>
          <w:lang w:eastAsia="zh-CN"/>
        </w:rPr>
        <w:t xml:space="preserve">  </w:t>
      </w:r>
      <w:r>
        <w:rPr>
          <w:rFonts w:hint="default"/>
          <w:lang w:eastAsia="zh-CN"/>
        </w:rPr>
        <w:t>垃圾分类相关产品比较多，行业竞争大，产品设计、推广、售后服务过程中应注意避免产品的同质性。</w:t>
      </w:r>
    </w:p>
    <w:p/>
    <w:p>
      <w:pPr>
        <w:ind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2.3经济效益与社会效益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</w:rPr>
      </w:pPr>
      <w:r>
        <w:rPr>
          <w:b/>
          <w:bCs/>
        </w:rPr>
        <w:t xml:space="preserve">P 政策  </w:t>
      </w:r>
      <w:r>
        <w:rPr>
          <w:lang w:val="en-US" w:eastAsia="zh-CN"/>
        </w:rPr>
        <w:t>2017年，中国国家发展改革委、住房城乡建设部共同发布了</w:t>
      </w:r>
      <w:r>
        <w:rPr>
          <w:rFonts w:hint="default"/>
          <w:lang w:val="en-US" w:eastAsia="zh-CN"/>
        </w:rPr>
        <w:t>《生活垃圾分类制度实施方案》,为中国的生活垃圾分类制度的实施制定了路线图</w:t>
      </w:r>
      <w:r>
        <w:rPr>
          <w:rFonts w:hint="default"/>
          <w:lang w:eastAsia="zh-CN"/>
        </w:rPr>
        <w:t>，</w:t>
      </w:r>
      <w:r>
        <w:t xml:space="preserve"> </w:t>
      </w:r>
      <w:r>
        <w:rPr>
          <w:lang w:val="en-US" w:eastAsia="zh-CN"/>
        </w:rPr>
        <w:t>各个省、市相继出台强制</w:t>
      </w:r>
      <w:r>
        <w:rPr>
          <w:lang w:eastAsia="zh-CN"/>
        </w:rPr>
        <w:t>垃圾</w:t>
      </w:r>
      <w:r>
        <w:rPr>
          <w:lang w:val="en-US" w:eastAsia="zh-CN"/>
        </w:rPr>
        <w:t>分类实施方案</w:t>
      </w:r>
      <w:r>
        <w:rPr>
          <w:lang w:eastAsia="zh-CN"/>
        </w:rPr>
        <w:t>。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 xml:space="preserve">E 经济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此次垃圾分类重视程度之高、推广力度之大超出预期，市场普遍认为这对于垃圾分类前端制造、中端收运、后端处置等固废产业链都将产生积极影响。安信证券有研究报告测算，到2020年垃圾分类服务全国市场规模超过610亿元。</w:t>
      </w:r>
    </w:p>
    <w:p>
      <w:pPr>
        <w:ind w:left="420" w:leftChars="0" w:firstLine="420" w:firstLineChars="0"/>
        <w:rPr>
          <w:b w:val="0"/>
          <w:bCs w:val="0"/>
          <w:lang w:val="en-US" w:eastAsia="zh-CN"/>
        </w:rPr>
      </w:pPr>
      <w:r>
        <w:rPr>
          <w:b/>
          <w:bCs/>
        </w:rPr>
        <w:t xml:space="preserve">S 社会  </w:t>
      </w:r>
      <w:r>
        <w:rPr>
          <w:b w:val="0"/>
          <w:bCs w:val="0"/>
          <w:lang w:val="en-US" w:eastAsia="zh-CN"/>
        </w:rPr>
        <w:t>随着“垃圾围城”问题的日益严重，垃圾对环境的污染以及对公众身体健康的危害已经显现。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 xml:space="preserve">T 技术  </w:t>
      </w:r>
      <w:r>
        <w:rPr>
          <w:b w:val="0"/>
          <w:bCs w:val="0"/>
          <w:lang w:val="en-US" w:eastAsia="zh-CN"/>
        </w:rPr>
        <w:t>垃圾分类项目具备天生的互联网基因，垃圾分类项目的试点与推广需要用到“二维码（条形码）打印机、用户自助查询和条码终端、数据设备、信息平台”等软硬件IT产品与服务，为相关软件企业带了新的机会。</w:t>
      </w: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3营销策略</w:t>
      </w:r>
    </w:p>
    <w:p>
      <w:pPr>
        <w:ind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t>3.1定价策略</w:t>
      </w:r>
      <w:r>
        <w:rPr>
          <w:rFonts w:hint="eastAsia"/>
          <w:b/>
          <w:bCs/>
          <w:color w:val="auto"/>
        </w:rPr>
        <w:t>(Pricing Strategy)</w:t>
      </w:r>
    </w:p>
    <w:p>
      <w:pPr>
        <w:ind w:firstLine="420" w:firstLineChars="0"/>
      </w:pPr>
      <w:r>
        <w:t>综合考虑到成本、市场特性、竞争对手、企业战略等因素，拟采用成本导向定价与竞争导向定价相结合的定价，最终采用渗透定价的基本策略。一方面以加成成本定价，凭借价低质高的产品以求快速打开市场；同时，参考同行业现行价格水平，在创业初期产品认知度较低的阶段，以低成本取得与同行业竞争的优</w:t>
      </w:r>
      <w:bookmarkStart w:id="0" w:name="_GoBack"/>
      <w:bookmarkEnd w:id="0"/>
      <w:r>
        <w:t xml:space="preserve">势地位，避免出现过度竞争的状况。  </w:t>
      </w:r>
    </w:p>
    <w:p>
      <w:pPr>
        <w:ind w:firstLine="420" w:firstLineChars="0"/>
      </w:pPr>
    </w:p>
    <w:p>
      <w:pPr>
        <w:jc w:val="center"/>
        <w:rPr>
          <w:b/>
          <w:bCs/>
          <w:color w:val="C55A11" w:themeColor="accent2" w:themeShade="BF"/>
        </w:rPr>
      </w:pPr>
      <w:r>
        <w:rPr>
          <w:b/>
          <w:bCs/>
          <w:color w:val="C55A11" w:themeColor="accent2" w:themeShade="BF"/>
        </w:rPr>
        <w:t>成本加成定价 + 竞争导向定价 = 最终定价</w:t>
      </w:r>
    </w:p>
    <w:p>
      <w:pPr>
        <w:ind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>3.2</w:t>
      </w:r>
      <w:r>
        <w:rPr>
          <w:rFonts w:hint="eastAsia"/>
          <w:b/>
          <w:bCs/>
          <w:color w:val="auto"/>
        </w:rPr>
        <w:t>销售策略(Distributing  Strategy)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市场渗透：</w:t>
      </w:r>
      <w:r>
        <w:rPr>
          <w:rFonts w:hint="default"/>
        </w:rPr>
        <w:t>线下：</w:t>
      </w:r>
      <w:r>
        <w:rPr>
          <w:rFonts w:hint="eastAsia"/>
        </w:rPr>
        <w:t>通过</w:t>
      </w:r>
      <w:r>
        <w:rPr>
          <w:rFonts w:hint="default"/>
        </w:rPr>
        <w:t>在公共场所免费安置一定数量的</w:t>
      </w:r>
      <w:r>
        <w:rPr>
          <w:rFonts w:hint="eastAsia"/>
        </w:rPr>
        <w:t>产品，并有针对性地进行沟通与服务。让客户了解、认识、接受我们的产品。</w:t>
      </w:r>
      <w:r>
        <w:rPr>
          <w:rFonts w:hint="default"/>
        </w:rPr>
        <w:t>线上，通过微信微博等网络渠道宣传推广产品。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销售渠道：</w:t>
      </w:r>
      <w:r>
        <w:rPr>
          <w:rFonts w:hint="eastAsia"/>
        </w:rPr>
        <w:t>建立完善的销售网络（如电话订货、网上电子商务）</w:t>
      </w:r>
    </w:p>
    <w:p>
      <w:pPr>
        <w:ind w:left="420" w:leftChars="0" w:firstLine="420" w:firstLineChars="0"/>
        <w:rPr>
          <w:rFonts w:hint="eastAsia"/>
          <w:b/>
          <w:bCs/>
          <w:color w:val="auto"/>
        </w:rPr>
      </w:pPr>
    </w:p>
    <w:p>
      <w:pPr>
        <w:ind w:firstLine="420" w:firstLineChars="0"/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>3.3产品</w:t>
      </w:r>
      <w:r>
        <w:rPr>
          <w:rFonts w:hint="eastAsia"/>
          <w:b/>
          <w:bCs/>
          <w:color w:val="auto"/>
        </w:rPr>
        <w:t>策略(Product Strategy)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eastAsia"/>
          <w:b/>
          <w:bCs/>
        </w:rPr>
        <w:t>产品的定位</w:t>
      </w:r>
      <w:r>
        <w:rPr>
          <w:rFonts w:hint="default"/>
        </w:rPr>
        <w:t>：针对</w:t>
      </w:r>
      <w:r>
        <w:rPr>
          <w:rFonts w:hint="default"/>
          <w:lang w:val="en-US" w:eastAsia="zh-CN"/>
        </w:rPr>
        <w:t>前期垃圾处理</w:t>
      </w:r>
      <w:r>
        <w:rPr>
          <w:rFonts w:hint="default"/>
          <w:lang w:eastAsia="zh-CN"/>
        </w:rPr>
        <w:t>（垃圾分类）、面向</w:t>
      </w:r>
      <w:r>
        <w:t>广大垃圾分类城市家庭用户的中高端垃圾分类</w:t>
      </w:r>
      <w:r>
        <w:rPr>
          <w:rFonts w:hint="default"/>
          <w:lang w:val="en-US" w:eastAsia="zh-CN"/>
        </w:rPr>
        <w:t>智能化</w:t>
      </w:r>
      <w:r>
        <w:rPr>
          <w:rFonts w:hint="default"/>
          <w:lang w:eastAsia="zh-CN"/>
        </w:rPr>
        <w:t>电子产品。</w:t>
      </w:r>
    </w:p>
    <w:p>
      <w:pPr>
        <w:ind w:left="420" w:leftChars="0" w:firstLine="420" w:firstLineChars="0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>线上</w:t>
      </w:r>
      <w:r>
        <w:rPr>
          <w:rFonts w:hint="eastAsia"/>
        </w:rPr>
        <w:t>个性</w:t>
      </w:r>
      <w:r>
        <w:rPr>
          <w:rFonts w:hint="default"/>
        </w:rPr>
        <w:t>化定制服务：通过记录用户生活垃圾情况为用户生成最佳垃圾分类收运、保洁策略。</w:t>
      </w:r>
    </w:p>
    <w:p>
      <w:pPr>
        <w:ind w:left="420" w:leftChars="0" w:firstLine="420" w:firstLineChars="0"/>
        <w:rPr>
          <w:b/>
          <w:bCs/>
          <w:color w:val="auto"/>
        </w:rPr>
      </w:pPr>
    </w:p>
    <w:p>
      <w:pPr>
        <w:ind w:firstLine="420" w:firstLineChars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3.4推广策略(Promoting Strategy)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前期：</w:t>
      </w:r>
      <w:r>
        <w:rPr>
          <w:rFonts w:hint="eastAsia"/>
        </w:rPr>
        <w:t>广告宣传、服务促销-----扩大知名度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  <w:b/>
          <w:bCs/>
        </w:rPr>
        <w:t>中期：</w:t>
      </w:r>
      <w:r>
        <w:rPr>
          <w:rFonts w:hint="eastAsia"/>
        </w:rPr>
        <w:t>会员制、优惠活动</w:t>
      </w:r>
      <w:r>
        <w:rPr>
          <w:rFonts w:hint="default"/>
        </w:rPr>
        <w:t>、利用前期垃圾分类数据提供</w:t>
      </w:r>
      <w:r>
        <w:rPr>
          <w:lang w:val="en-US" w:eastAsia="zh-CN"/>
        </w:rPr>
        <w:t>垃圾分类一体化服务（</w:t>
      </w:r>
      <w:r>
        <w:rPr>
          <w:lang w:eastAsia="zh-CN"/>
        </w:rPr>
        <w:t>定期</w:t>
      </w:r>
      <w:r>
        <w:rPr>
          <w:lang w:val="en-US" w:eastAsia="zh-CN"/>
        </w:rPr>
        <w:t>分类垃圾收运、保洁、推广等）</w:t>
      </w:r>
      <w:r>
        <w:rPr>
          <w:rFonts w:hint="eastAsia"/>
        </w:rPr>
        <w:t>---维持客户</w:t>
      </w:r>
    </w:p>
    <w:p>
      <w:pPr>
        <w:ind w:left="420" w:leftChars="0" w:firstLine="420" w:firstLineChars="0"/>
        <w:rPr>
          <w:rFonts w:hint="eastAsia" w:hAnsi="宋体"/>
          <w:bCs/>
        </w:rPr>
      </w:pPr>
      <w:r>
        <w:rPr>
          <w:rFonts w:hint="eastAsia"/>
          <w:b/>
          <w:bCs/>
        </w:rPr>
        <w:t>长期</w:t>
      </w:r>
      <w:r>
        <w:rPr>
          <w:rFonts w:hint="eastAsia" w:hAnsi="宋体"/>
          <w:b/>
          <w:bCs/>
        </w:rPr>
        <w:t>：</w:t>
      </w:r>
      <w:r>
        <w:rPr>
          <w:rFonts w:hint="eastAsia" w:hAnsi="宋体"/>
          <w:bCs/>
        </w:rPr>
        <w:t>多元化的宣传</w:t>
      </w:r>
      <w:r>
        <w:rPr>
          <w:rFonts w:hint="default" w:hAnsi="宋体"/>
          <w:bCs/>
        </w:rPr>
        <w:t>（</w:t>
      </w:r>
      <w:r>
        <w:rPr>
          <w:rFonts w:hint="eastAsia" w:ascii="宋体" w:hAnsi="宋体"/>
        </w:rPr>
        <w:t>包括媒体、报刊、网络等方式</w:t>
      </w:r>
      <w:r>
        <w:rPr>
          <w:rFonts w:hint="default" w:hAnsi="宋体"/>
          <w:bCs/>
        </w:rPr>
        <w:t>）</w:t>
      </w:r>
      <w:r>
        <w:rPr>
          <w:rFonts w:hint="eastAsia" w:hAnsi="宋体"/>
          <w:bCs/>
        </w:rPr>
        <w:t>---扩大客户群</w:t>
      </w:r>
    </w:p>
    <w:p>
      <w:pPr>
        <w:ind w:left="420" w:leftChars="0" w:firstLine="420" w:firstLineChars="0"/>
        <w:rPr>
          <w:rFonts w:hint="eastAsia" w:hAnsi="宋体"/>
          <w:bCs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eastAsia="zh-CN"/>
        </w:rPr>
        <w:t>4</w:t>
      </w:r>
      <w:r>
        <w:rPr>
          <w:rFonts w:hint="default"/>
          <w:b/>
          <w:bCs/>
          <w:color w:val="auto"/>
          <w:lang w:val="en-US" w:eastAsia="zh-CN"/>
        </w:rPr>
        <w:t>Focus Group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通过询问和面谈的方式采访一个群体以获取其观点和评价。该焦点小组的成员</w:t>
      </w:r>
      <w:r>
        <w:rPr>
          <w:rFonts w:hint="default"/>
          <w:lang w:eastAsia="zh-CN"/>
        </w:rPr>
        <w:t>由1位主持人和5位</w:t>
      </w:r>
      <w:r>
        <w:rPr>
          <w:rFonts w:hint="eastAsia"/>
          <w:lang w:val="en-US" w:eastAsia="zh-CN"/>
        </w:rPr>
        <w:t>被试方</w:t>
      </w:r>
      <w:r>
        <w:rPr>
          <w:rFonts w:hint="default"/>
          <w:lang w:eastAsia="zh-CN"/>
        </w:rPr>
        <w:t>成员组成</w:t>
      </w:r>
      <w:r>
        <w:rPr>
          <w:rFonts w:hint="eastAsia"/>
          <w:lang w:val="en-US" w:eastAsia="zh-CN"/>
        </w:rPr>
        <w:t>，并保证在实验过程中被试方能够充分分享其意见和主张。</w:t>
      </w:r>
      <w:r>
        <w:rPr>
          <w:rFonts w:hint="default"/>
          <w:lang w:eastAsia="zh-CN"/>
        </w:rPr>
        <w:t>截取主要讨论内容如下：</w:t>
      </w:r>
    </w:p>
    <w:p>
      <w:pPr>
        <w:ind w:left="420" w:lef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被试方</w:t>
      </w:r>
      <w:r>
        <w:rPr>
          <w:rFonts w:hint="default"/>
          <w:b/>
          <w:bCs/>
          <w:lang w:eastAsia="zh-CN"/>
        </w:rPr>
        <w:t>：</w:t>
      </w:r>
      <w:r>
        <w:rPr>
          <w:rFonts w:hint="default"/>
          <w:lang w:eastAsia="zh-CN"/>
        </w:rPr>
        <w:t>考虑到垃圾分类政策在不同地区甚至不同时间段都是有区别的，如何保证产品能应用到所有垃圾分类家庭呢？</w:t>
      </w:r>
    </w:p>
    <w:p>
      <w:pPr>
        <w:ind w:left="420" w:lef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主持人</w:t>
      </w:r>
      <w:r>
        <w:rPr>
          <w:rFonts w:hint="default"/>
          <w:b/>
          <w:bCs/>
          <w:lang w:eastAsia="zh-CN"/>
        </w:rPr>
        <w:t>：</w:t>
      </w:r>
      <w:r>
        <w:rPr>
          <w:rFonts w:hint="default"/>
          <w:lang w:eastAsia="zh-CN"/>
        </w:rPr>
        <w:t>可以通过</w:t>
      </w:r>
      <w:r>
        <w:rPr>
          <w:rFonts w:hint="default"/>
          <w:lang w:val="en-US" w:eastAsia="zh-CN"/>
        </w:rPr>
        <w:t>Wi-Fi模块定期更新</w:t>
      </w:r>
      <w:r>
        <w:rPr>
          <w:rFonts w:hint="default"/>
          <w:lang w:eastAsia="zh-CN"/>
        </w:rPr>
        <w:t>产品内部垃圾分类信息，</w:t>
      </w:r>
      <w:r>
        <w:rPr>
          <w:rFonts w:hint="default"/>
          <w:lang w:val="en-US" w:eastAsia="zh-CN"/>
        </w:rPr>
        <w:t>避免</w:t>
      </w:r>
      <w:r>
        <w:rPr>
          <w:rFonts w:hint="eastAsia"/>
          <w:lang w:val="en-US" w:eastAsia="zh-CN"/>
        </w:rPr>
        <w:t>错误分类的情况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被试方：</w:t>
      </w:r>
      <w:r>
        <w:rPr>
          <w:rFonts w:hint="default"/>
          <w:lang w:eastAsia="zh-CN"/>
        </w:rPr>
        <w:t>为什么产品要使用Wi-Fi模块？使用蓝牙模块在设置和成本上是否比Wi-Fi模块更有优势？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主持人：</w:t>
      </w:r>
      <w:r>
        <w:rPr>
          <w:rFonts w:hint="default"/>
          <w:lang w:eastAsia="zh-CN"/>
        </w:rPr>
        <w:t>一方面，Wi-Fi模块可以保证产品的分类信息是最新的，通过定期更新的方式或手动更新的方式可以避免</w:t>
      </w:r>
      <w:r>
        <w:rPr>
          <w:lang w:eastAsia="zh-CN"/>
        </w:rPr>
        <w:t>错误分类</w:t>
      </w:r>
      <w:r>
        <w:rPr>
          <w:lang w:eastAsia="zh-CN"/>
        </w:rPr>
        <w:t>的情况；另一方面，我们可以通过Wi-Fi模块记录</w:t>
      </w:r>
      <w:r>
        <w:rPr>
          <w:rFonts w:hint="default"/>
          <w:lang w:eastAsia="zh-CN"/>
        </w:rPr>
        <w:t>使用者垃圾分类情况</w:t>
      </w:r>
      <w:r>
        <w:rPr>
          <w:rFonts w:hint="default"/>
          <w:lang w:eastAsia="zh-CN"/>
        </w:rPr>
        <w:t>并</w:t>
      </w:r>
      <w:r>
        <w:rPr>
          <w:rFonts w:hint="default"/>
          <w:lang w:eastAsia="zh-CN"/>
        </w:rPr>
        <w:t>进行手机端的展示</w:t>
      </w:r>
      <w:r>
        <w:rPr>
          <w:rFonts w:hint="default"/>
          <w:lang w:eastAsia="zh-CN"/>
        </w:rPr>
        <w:t>。这些是蓝牙模块无法做到的。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被试方</w:t>
      </w:r>
      <w:r>
        <w:rPr>
          <w:rFonts w:hint="default"/>
          <w:b/>
          <w:bCs/>
          <w:lang w:eastAsia="zh-CN"/>
        </w:rPr>
        <w:t>：</w:t>
      </w:r>
      <w:r>
        <w:rPr>
          <w:rFonts w:hint="default"/>
          <w:lang w:eastAsia="zh-CN"/>
        </w:rPr>
        <w:t>我觉得产品还可以</w:t>
      </w:r>
      <w:r>
        <w:rPr>
          <w:rFonts w:hint="default"/>
        </w:rPr>
        <w:t>通过记录用户生活垃圾情况为用户生成最佳垃圾分类收运、保洁策略。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lang w:eastAsia="zh-CN"/>
        </w:rPr>
        <w:t>主持人</w:t>
      </w:r>
      <w:r>
        <w:rPr>
          <w:rFonts w:hint="default"/>
          <w:b/>
          <w:bCs/>
          <w:lang w:eastAsia="zh-CN"/>
        </w:rPr>
        <w:t>：</w:t>
      </w:r>
      <w:r>
        <w:rPr>
          <w:rFonts w:hint="default"/>
          <w:lang w:eastAsia="zh-CN"/>
        </w:rPr>
        <w:t>是的，这也是垃圾分类用户们在垃圾分类中的痛点。这可以让产品在市场上更有竞争力。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Batang">
    <w:altName w:val="Apple SD Gothic Neo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1DDC"/>
    <w:rsid w:val="178F5A05"/>
    <w:rsid w:val="3F7D4902"/>
    <w:rsid w:val="4D5FD827"/>
    <w:rsid w:val="7FDB1DDC"/>
    <w:rsid w:val="9FBF3B04"/>
    <w:rsid w:val="BFFF48AA"/>
    <w:rsid w:val="D7EF5237"/>
    <w:rsid w:val="FCFD2381"/>
    <w:rsid w:val="FDF5B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arial" w:hAnsi="arial" w:eastAsia="黑体"/>
      <w:b/>
      <w:bCs/>
      <w:sz w:val="28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line="360" w:lineRule="auto"/>
      <w:ind w:right="-57" w:rightChars="-27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2019-08-27T02:05:00Z</dcterms:created>
  <dc:creator>lijiale</dc:creator>
  <cp:lastModifiedBy>lijiale</cp:lastModifiedBy>
  <dcterms:modified xsi:type="dcterms:W3CDTF">2019-09-01T15:50:25Z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