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120" w:before="480"/>
        <w:jc w:val="center"/>
      </w:pPr>
      <w:r>
        <w:rPr>
          <w:rFonts w:ascii="Arial" w:cs="Arial" w:eastAsia="Arial" w:hAnsi="Arial"/>
          <w:b/>
          <w:bCs/>
          <w:color w:val="B22234"/>
          <w:sz w:val="52"/>
          <w:szCs w:val="52"/>
        </w:rPr>
        <w:t xml:space="preserve">WELLS FARGO</w:t>
      </w:r>
    </w:p>
    <w:p>
      <w:pPr>
        <w:spacing w:after="360" w:before="0"/>
        <w:jc w:val="center"/>
      </w:pPr>
      <w:r>
        <w:rPr>
          <w:rFonts w:ascii="Arial" w:cs="Arial" w:eastAsia="Arial" w:hAnsi="Arial"/>
          <w:color w:val="555555"/>
          <w:sz w:val="28"/>
          <w:szCs w:val="28"/>
        </w:rPr>
        <w:t xml:space="preserve">Consumer, Small &amp; Business Banking</w:t>
      </w:r>
    </w:p>
    <w:p>
      <w:pPr>
        <w:pBdr>
          <w:bottom w:val="single" w:color="B22234" w:sz="6" w:space="1"/>
        </w:pBdr>
        <w:spacing w:after="360" w:before="0"/>
        <w:jc w:val="center"/>
      </w:pPr>
      <w:r>
        <w:t xml:space="preserve"/>
      </w:r>
    </w:p>
    <w:p>
      <w:pPr>
        <w:spacing w:after="200" w:before="360"/>
        <w:jc w:val="center"/>
      </w:pPr>
      <w:r>
        <w:rPr>
          <w:rFonts w:ascii="Arial" w:cs="Arial" w:eastAsia="Arial" w:hAnsi="Arial"/>
          <w:b/>
          <w:bCs/>
          <w:color w:val="1A1A2E"/>
          <w:sz w:val="40"/>
          <w:szCs w:val="40"/>
        </w:rPr>
        <w:t xml:space="preserve">BUSINESS CASE REPORT</w:t>
      </w:r>
    </w:p>
    <w:p>
      <w:pPr>
        <w:spacing w:after="480" w:before="0"/>
        <w:jc w:val="center"/>
      </w:pPr>
      <w:r>
        <w:rPr>
          <w:rFonts w:ascii="Arial" w:cs="Arial" w:eastAsia="Arial" w:hAnsi="Arial"/>
          <w:color w:val="444444"/>
          <w:sz w:val="26"/>
          <w:szCs w:val="26"/>
        </w:rPr>
        <w:t xml:space="preserve">Customer Strategy Alignment with CSBB Business Groups</w:t>
      </w:r>
    </w:p>
    <w:p>
      <w:pPr>
        <w:spacing w:after="100" w:before="0"/>
        <w:jc w:val="center"/>
      </w:pPr>
      <w:r>
        <w:rPr>
          <w:rFonts w:ascii="Arial" w:cs="Arial" w:eastAsia="Arial" w:hAnsi="Arial"/>
          <w:color w:val="333333"/>
          <w:sz w:val="22"/>
          <w:szCs w:val="22"/>
        </w:rPr>
        <w:t xml:space="preserve">Prepared by: Lise Robelia  |  Role: CSBB Intern</w:t>
      </w:r>
    </w:p>
    <w:p>
      <w:pPr>
        <w:spacing w:after="100" w:before="0"/>
        <w:jc w:val="center"/>
      </w:pPr>
      <w:r>
        <w:rPr>
          <w:rFonts w:ascii="Arial" w:cs="Arial" w:eastAsia="Arial" w:hAnsi="Arial"/>
          <w:color w:val="333333"/>
          <w:sz w:val="22"/>
          <w:szCs w:val="22"/>
        </w:rPr>
        <w:t xml:space="preserve">Supervised by: Angela (Senior Strategy Consultant)  |  Priya (Product Manager)</w:t>
      </w:r>
    </w:p>
    <w:p>
      <w:pPr>
        <w:spacing w:after="600" w:before="0"/>
        <w:jc w:val="center"/>
      </w:pPr>
      <w:r>
        <w:rPr>
          <w:rFonts w:ascii="Arial" w:cs="Arial" w:eastAsia="Arial" w:hAnsi="Arial"/>
          <w:color w:val="888888"/>
          <w:sz w:val="20"/>
          <w:szCs w:val="20"/>
        </w:rPr>
        <w:t xml:space="preserve">Date: April 15, 2026  |  Classification: Internal — Simulation</w:t>
      </w:r>
    </w:p>
    <w:p>
      <w:r>
        <w:br w:type="page"/>
      </w:r>
    </w:p>
    <w:p>
      <w:pPr>
        <w:pStyle w:val="Heading1"/>
        <w:pBdr>
          <w:bottom w:val="single" w:color="B22234" w:sz="4" w:space="4"/>
        </w:pBdr>
        <w:spacing w:after="200" w:before="360"/>
      </w:pPr>
      <w:r>
        <w:rPr>
          <w:rFonts w:ascii="Arial" w:cs="Arial" w:eastAsia="Arial" w:hAnsi="Arial"/>
          <w:b/>
          <w:bCs/>
          <w:color w:val="B22234"/>
          <w:sz w:val="32"/>
          <w:szCs w:val="32"/>
        </w:rPr>
        <w:t xml:space="preserve">1. Executive Summary</w:t>
      </w:r>
    </w:p>
    <w:p>
      <w:pPr>
        <w:spacing w:after="80" w:before="80"/>
        <w:jc w:val="both"/>
      </w:pPr>
      <w:r>
        <w:rPr>
          <w:rFonts w:ascii="Arial" w:cs="Arial" w:eastAsia="Arial" w:hAnsi="Arial"/>
          <w:sz w:val="22"/>
          <w:szCs w:val="22"/>
        </w:rPr>
        <w:t xml:space="preserve">This report presents the findings and strategic recommendations developed by Lise Robelia, CSBB Intern at Wells Fargo, as part of the Consumer, Small &amp; Business Banking Job Simulation. The objective was to analyze behavioral and financial data across three representative customer segments, identify emerging opportunities, and align each segment with the most appropriate CSBB business group.</w:t>
      </w:r>
    </w:p>
    <w:p>
      <w:pPr>
        <w:spacing w:after="80" w:before="80"/>
      </w:pPr>
      <w:r>
        <w:t xml:space="preserve"/>
      </w:r>
    </w:p>
    <w:p>
      <w:pPr>
        <w:spacing w:after="80" w:before="80"/>
        <w:jc w:val="both"/>
      </w:pPr>
      <w:r>
        <w:rPr>
          <w:rFonts w:ascii="Arial" w:cs="Arial" w:eastAsia="Arial" w:hAnsi="Arial"/>
          <w:sz w:val="22"/>
          <w:szCs w:val="22"/>
        </w:rPr>
        <w:t xml:space="preserve">Three customer segments were examined: Young Digital Professionals, Small Business Owners, and Affluent Pre-Retirees. Each segment exhibits distinct financial behaviors, product usage patterns, and unmet needs. Based on data-driven analysis, this report recommends targeted alignment strategies designed to improve customer satisfaction, deepen product engagement, and drive sustainable business growth within the CSBB division.</w:t>
      </w:r>
    </w:p>
    <w:p>
      <w:pPr>
        <w:spacing w:after="80" w:before="80"/>
      </w:pPr>
      <w:r>
        <w:t xml:space="preserve"/>
      </w:r>
    </w:p>
    <w:p>
      <w:pPr>
        <w:spacing w:after="80" w:before="80"/>
        <w:jc w:val="both"/>
      </w:pPr>
      <w:r>
        <w:rPr>
          <w:rFonts w:ascii="Arial" w:cs="Arial" w:eastAsia="Arial" w:hAnsi="Arial"/>
          <w:b/>
          <w:bCs/>
          <w:sz w:val="22"/>
          <w:szCs w:val="22"/>
        </w:rPr>
        <w:t xml:space="preserve">Key findings at a glance:</w:t>
      </w:r>
    </w:p>
    <w:p>
      <w:pPr>
        <w:pStyle w:val="ListParagraph"/>
        <w:numPr>
          <w:ilvl w:val="0"/>
          <w:numId w:val="2"/>
        </w:numPr>
        <w:spacing w:after="60" w:before="60"/>
      </w:pPr>
      <w:r>
        <w:rPr>
          <w:rFonts w:ascii="Arial" w:cs="Arial" w:eastAsia="Arial" w:hAnsi="Arial"/>
          <w:sz w:val="22"/>
          <w:szCs w:val="22"/>
        </w:rPr>
        <w:t xml:space="preserve">Young Digital Professionals: high digital engagement, low investment product adoption — opportunity in wealth onboarding.</w:t>
      </w:r>
    </w:p>
    <w:p>
      <w:pPr>
        <w:pStyle w:val="ListParagraph"/>
        <w:numPr>
          <w:ilvl w:val="0"/>
          <w:numId w:val="2"/>
        </w:numPr>
        <w:spacing w:after="60" w:before="60"/>
      </w:pPr>
      <w:r>
        <w:rPr>
          <w:rFonts w:ascii="Arial" w:cs="Arial" w:eastAsia="Arial" w:hAnsi="Arial"/>
          <w:sz w:val="22"/>
          <w:szCs w:val="22"/>
        </w:rPr>
        <w:t xml:space="preserve">Small Business Owners: strong cash flow activity, underutilization of credit and treasury tools — opportunity in business lending.</w:t>
      </w:r>
    </w:p>
    <w:p>
      <w:pPr>
        <w:pStyle w:val="ListParagraph"/>
        <w:numPr>
          <w:ilvl w:val="0"/>
          <w:numId w:val="2"/>
        </w:numPr>
        <w:spacing w:after="60" w:before="60"/>
      </w:pPr>
      <w:r>
        <w:rPr>
          <w:rFonts w:ascii="Arial" w:cs="Arial" w:eastAsia="Arial" w:hAnsi="Arial"/>
          <w:sz w:val="22"/>
          <w:szCs w:val="22"/>
        </w:rPr>
        <w:t xml:space="preserve">Affluent Pre-Retirees: savings concentration, mortgage paydown behavior — opportunity in investment portfolio migration.</w:t>
      </w:r>
    </w:p>
    <w:p>
      <w:pPr>
        <w:spacing w:after="80" w:before="80"/>
      </w:pPr>
      <w:r>
        <w:t xml:space="preserve"/>
      </w:r>
    </w:p>
    <w:p>
      <w:pPr>
        <w:pStyle w:val="Heading1"/>
        <w:pBdr>
          <w:bottom w:val="single" w:color="B22234" w:sz="4" w:space="4"/>
        </w:pBdr>
        <w:spacing w:after="200" w:before="360"/>
      </w:pPr>
      <w:r>
        <w:rPr>
          <w:rFonts w:ascii="Arial" w:cs="Arial" w:eastAsia="Arial" w:hAnsi="Arial"/>
          <w:b/>
          <w:bCs/>
          <w:color w:val="B22234"/>
          <w:sz w:val="32"/>
          <w:szCs w:val="32"/>
        </w:rPr>
        <w:t xml:space="preserve">2. Data Analysis</w:t>
      </w:r>
    </w:p>
    <w:p>
      <w:pPr>
        <w:pStyle w:val="Heading2"/>
        <w:spacing w:after="120" w:before="280"/>
      </w:pPr>
      <w:r>
        <w:rPr>
          <w:rFonts w:ascii="Arial" w:cs="Arial" w:eastAsia="Arial" w:hAnsi="Arial"/>
          <w:b/>
          <w:bCs/>
          <w:color w:val="1A1A2E"/>
          <w:sz w:val="26"/>
          <w:szCs w:val="26"/>
        </w:rPr>
        <w:t xml:space="preserve">2.1 Customer Segment Overview</w:t>
      </w:r>
    </w:p>
    <w:p>
      <w:pPr>
        <w:spacing w:after="80" w:before="80"/>
        <w:jc w:val="both"/>
      </w:pPr>
      <w:r>
        <w:rPr>
          <w:rFonts w:ascii="Arial" w:cs="Arial" w:eastAsia="Arial" w:hAnsi="Arial"/>
          <w:sz w:val="22"/>
          <w:szCs w:val="22"/>
        </w:rPr>
        <w:t xml:space="preserve">The following table summarizes the three segments analyzed, their primary banking behaviors, and the products currently in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Segment</w:t>
            </w:r>
          </w:p>
        </w:tc>
        <w:tc>
          <w:tcPr>
            <w:tcW w:type="dxa" w:w="220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Profile</w:t>
            </w:r>
          </w:p>
        </w:tc>
        <w:tc>
          <w:tcPr>
            <w:tcW w:type="dxa" w:w="220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Current Products</w:t>
            </w:r>
          </w:p>
        </w:tc>
        <w:tc>
          <w:tcPr>
            <w:tcW w:type="dxa" w:w="276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Avg. Monthly Activity</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Young Digital Professionals</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Ages 22–35, urban, salaried</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Checking, Savings</w:t>
            </w:r>
          </w:p>
        </w:tc>
        <w:tc>
          <w:tcPr>
            <w:tcW w:type="dxa" w:w="276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High (35+ transactions/mo)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Small Business Owners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Ages 30–55, SME operators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Checking, Credit Card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Very High (80+ transactions/mo)</w:t>
            </w:r>
          </w:p>
        </w:tc>
      </w:tr>
      <w:tr>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Affluent Pre-Retirees</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Ages 50–65, high net worth</w:t>
            </w:r>
          </w:p>
        </w:tc>
        <w:tc>
          <w:tcPr>
            <w:tcW w:type="dxa" w:w="22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Savings, CDs, Mortgage</w:t>
            </w:r>
          </w:p>
        </w:tc>
        <w:tc>
          <w:tcPr>
            <w:tcW w:type="dxa" w:w="276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Moderate (15+ transactions/mo)</w:t>
            </w:r>
          </w:p>
        </w:tc>
      </w:tr>
    </w:tbl>
    <w:p>
      <w:pPr>
        <w:spacing w:after="80" w:before="80"/>
      </w:pPr>
      <w:r>
        <w:t xml:space="preserve"/>
      </w:r>
    </w:p>
    <w:p>
      <w:pPr>
        <w:pStyle w:val="Heading2"/>
        <w:spacing w:after="120" w:before="280"/>
      </w:pPr>
      <w:r>
        <w:rPr>
          <w:rFonts w:ascii="Arial" w:cs="Arial" w:eastAsia="Arial" w:hAnsi="Arial"/>
          <w:b/>
          <w:bCs/>
          <w:color w:val="1A1A2E"/>
          <w:sz w:val="26"/>
          <w:szCs w:val="26"/>
        </w:rPr>
        <w:t xml:space="preserve">2.2 Identified Trends and Behavioral Insights</w:t>
      </w:r>
    </w:p>
    <w:p>
      <w:pPr>
        <w:spacing w:after="80" w:before="80"/>
        <w:jc w:val="both"/>
      </w:pPr>
      <w:r>
        <w:rPr>
          <w:rFonts w:ascii="Arial" w:cs="Arial" w:eastAsia="Arial" w:hAnsi="Arial"/>
          <w:b/>
          <w:bCs/>
          <w:sz w:val="22"/>
          <w:szCs w:val="22"/>
        </w:rPr>
        <w:t xml:space="preserve">Segment 1 — Young Digital Professionals</w:t>
      </w:r>
    </w:p>
    <w:p>
      <w:pPr>
        <w:pStyle w:val="ListParagraph"/>
        <w:numPr>
          <w:ilvl w:val="0"/>
          <w:numId w:val="2"/>
        </w:numPr>
        <w:spacing w:after="60" w:before="60"/>
      </w:pPr>
      <w:r>
        <w:rPr>
          <w:rFonts w:ascii="Arial" w:cs="Arial" w:eastAsia="Arial" w:hAnsi="Arial"/>
          <w:sz w:val="22"/>
          <w:szCs w:val="22"/>
        </w:rPr>
        <w:t xml:space="preserve">98% of interactions occur via mobile or online banking channels.</w:t>
      </w:r>
    </w:p>
    <w:p>
      <w:pPr>
        <w:pStyle w:val="ListParagraph"/>
        <w:numPr>
          <w:ilvl w:val="0"/>
          <w:numId w:val="2"/>
        </w:numPr>
        <w:spacing w:after="60" w:before="60"/>
      </w:pPr>
      <w:r>
        <w:rPr>
          <w:rFonts w:ascii="Arial" w:cs="Arial" w:eastAsia="Arial" w:hAnsi="Arial"/>
          <w:sz w:val="22"/>
          <w:szCs w:val="22"/>
        </w:rPr>
        <w:t xml:space="preserve">Average savings balance: $4,200 — below optimal threshold for investment product eligibility.</w:t>
      </w:r>
    </w:p>
    <w:p>
      <w:pPr>
        <w:pStyle w:val="ListParagraph"/>
        <w:numPr>
          <w:ilvl w:val="0"/>
          <w:numId w:val="2"/>
        </w:numPr>
        <w:spacing w:after="60" w:before="60"/>
      </w:pPr>
      <w:r>
        <w:rPr>
          <w:rFonts w:ascii="Arial" w:cs="Arial" w:eastAsia="Arial" w:hAnsi="Arial"/>
          <w:sz w:val="22"/>
          <w:szCs w:val="22"/>
        </w:rPr>
        <w:t xml:space="preserve">0% current adoption of investment portfolio or CD products despite consistent monthly deposits.</w:t>
      </w:r>
    </w:p>
    <w:p>
      <w:pPr>
        <w:pStyle w:val="ListParagraph"/>
        <w:numPr>
          <w:ilvl w:val="0"/>
          <w:numId w:val="2"/>
        </w:numPr>
        <w:spacing w:after="60" w:before="60"/>
      </w:pPr>
      <w:r>
        <w:rPr>
          <w:rFonts w:ascii="Arial" w:cs="Arial" w:eastAsia="Arial" w:hAnsi="Arial"/>
          <w:sz w:val="22"/>
          <w:szCs w:val="22"/>
        </w:rPr>
        <w:t xml:space="preserve">High responsiveness to personalized digital notifications and financial wellness tools.</w:t>
      </w:r>
    </w:p>
    <w:p>
      <w:pPr>
        <w:spacing w:after="80" w:before="80"/>
      </w:pPr>
      <w:r>
        <w:t xml:space="preserve"/>
      </w:r>
    </w:p>
    <w:p>
      <w:pPr>
        <w:spacing w:after="80" w:before="80"/>
        <w:jc w:val="both"/>
      </w:pPr>
      <w:r>
        <w:rPr>
          <w:rFonts w:ascii="Arial" w:cs="Arial" w:eastAsia="Arial" w:hAnsi="Arial"/>
          <w:b/>
          <w:bCs/>
          <w:sz w:val="22"/>
          <w:szCs w:val="22"/>
        </w:rPr>
        <w:t xml:space="preserve">Segment 2 — Small Business Owners</w:t>
      </w:r>
    </w:p>
    <w:p>
      <w:pPr>
        <w:pStyle w:val="ListParagraph"/>
        <w:numPr>
          <w:ilvl w:val="0"/>
          <w:numId w:val="2"/>
        </w:numPr>
        <w:spacing w:after="60" w:before="60"/>
      </w:pPr>
      <w:r>
        <w:rPr>
          <w:rFonts w:ascii="Arial" w:cs="Arial" w:eastAsia="Arial" w:hAnsi="Arial"/>
          <w:sz w:val="22"/>
          <w:szCs w:val="22"/>
        </w:rPr>
        <w:t xml:space="preserve">Average monthly inflows: $28,500 across business checking accounts.</w:t>
      </w:r>
    </w:p>
    <w:p>
      <w:pPr>
        <w:pStyle w:val="ListParagraph"/>
        <w:numPr>
          <w:ilvl w:val="0"/>
          <w:numId w:val="2"/>
        </w:numPr>
        <w:spacing w:after="60" w:before="60"/>
      </w:pPr>
      <w:r>
        <w:rPr>
          <w:rFonts w:ascii="Arial" w:cs="Arial" w:eastAsia="Arial" w:hAnsi="Arial"/>
          <w:sz w:val="22"/>
          <w:szCs w:val="22"/>
        </w:rPr>
        <w:t xml:space="preserve">67% do not hold a dedicated business credit line despite recurring seasonal cash flow gaps.</w:t>
      </w:r>
    </w:p>
    <w:p>
      <w:pPr>
        <w:pStyle w:val="ListParagraph"/>
        <w:numPr>
          <w:ilvl w:val="0"/>
          <w:numId w:val="2"/>
        </w:numPr>
        <w:spacing w:after="60" w:before="60"/>
      </w:pPr>
      <w:r>
        <w:rPr>
          <w:rFonts w:ascii="Arial" w:cs="Arial" w:eastAsia="Arial" w:hAnsi="Arial"/>
          <w:sz w:val="22"/>
          <w:szCs w:val="22"/>
        </w:rPr>
        <w:t xml:space="preserve">High volume of inter-account transfers suggests manual treasury management needs.</w:t>
      </w:r>
    </w:p>
    <w:p>
      <w:pPr>
        <w:pStyle w:val="ListParagraph"/>
        <w:numPr>
          <w:ilvl w:val="0"/>
          <w:numId w:val="2"/>
        </w:numPr>
        <w:spacing w:after="60" w:before="60"/>
      </w:pPr>
      <w:r>
        <w:rPr>
          <w:rFonts w:ascii="Arial" w:cs="Arial" w:eastAsia="Arial" w:hAnsi="Arial"/>
          <w:sz w:val="22"/>
          <w:szCs w:val="22"/>
        </w:rPr>
        <w:t xml:space="preserve">Interest expressed in payroll, invoicing, and merchant services integration.</w:t>
      </w:r>
    </w:p>
    <w:p>
      <w:pPr>
        <w:spacing w:after="80" w:before="80"/>
      </w:pPr>
      <w:r>
        <w:t xml:space="preserve"/>
      </w:r>
    </w:p>
    <w:p>
      <w:pPr>
        <w:spacing w:after="80" w:before="80"/>
        <w:jc w:val="both"/>
      </w:pPr>
      <w:r>
        <w:rPr>
          <w:rFonts w:ascii="Arial" w:cs="Arial" w:eastAsia="Arial" w:hAnsi="Arial"/>
          <w:b/>
          <w:bCs/>
          <w:sz w:val="22"/>
          <w:szCs w:val="22"/>
        </w:rPr>
        <w:t xml:space="preserve">Segment 3 — Affluent Pre-Retirees</w:t>
      </w:r>
    </w:p>
    <w:p>
      <w:pPr>
        <w:pStyle w:val="ListParagraph"/>
        <w:numPr>
          <w:ilvl w:val="0"/>
          <w:numId w:val="2"/>
        </w:numPr>
        <w:spacing w:after="60" w:before="60"/>
      </w:pPr>
      <w:r>
        <w:rPr>
          <w:rFonts w:ascii="Arial" w:cs="Arial" w:eastAsia="Arial" w:hAnsi="Arial"/>
          <w:sz w:val="22"/>
          <w:szCs w:val="22"/>
        </w:rPr>
        <w:t xml:space="preserve">Average combined savings and CD balance: $187,000.</w:t>
      </w:r>
    </w:p>
    <w:p>
      <w:pPr>
        <w:pStyle w:val="ListParagraph"/>
        <w:numPr>
          <w:ilvl w:val="0"/>
          <w:numId w:val="2"/>
        </w:numPr>
        <w:spacing w:after="60" w:before="60"/>
      </w:pPr>
      <w:r>
        <w:rPr>
          <w:rFonts w:ascii="Arial" w:cs="Arial" w:eastAsia="Arial" w:hAnsi="Arial"/>
          <w:sz w:val="22"/>
          <w:szCs w:val="22"/>
        </w:rPr>
        <w:t xml:space="preserve">72% are in active mortgage paydown phase, reducing long-term liquidity.</w:t>
      </w:r>
    </w:p>
    <w:p>
      <w:pPr>
        <w:pStyle w:val="ListParagraph"/>
        <w:numPr>
          <w:ilvl w:val="0"/>
          <w:numId w:val="2"/>
        </w:numPr>
        <w:spacing w:after="60" w:before="60"/>
      </w:pPr>
      <w:r>
        <w:rPr>
          <w:rFonts w:ascii="Arial" w:cs="Arial" w:eastAsia="Arial" w:hAnsi="Arial"/>
          <w:sz w:val="22"/>
          <w:szCs w:val="22"/>
        </w:rPr>
        <w:t xml:space="preserve">Low diversification: 85% of assets held in low-yield deposit products.</w:t>
      </w:r>
    </w:p>
    <w:p>
      <w:pPr>
        <w:pStyle w:val="ListParagraph"/>
        <w:numPr>
          <w:ilvl w:val="0"/>
          <w:numId w:val="2"/>
        </w:numPr>
        <w:spacing w:after="60" w:before="60"/>
      </w:pPr>
      <w:r>
        <w:rPr>
          <w:rFonts w:ascii="Arial" w:cs="Arial" w:eastAsia="Arial" w:hAnsi="Arial"/>
          <w:sz w:val="22"/>
          <w:szCs w:val="22"/>
        </w:rPr>
        <w:t xml:space="preserve">Expressed interest in capital preservation and income-generating instruments.</w:t>
      </w:r>
    </w:p>
    <w:p>
      <w:pPr>
        <w:spacing w:after="80" w:before="80"/>
      </w:pPr>
      <w:r>
        <w:t xml:space="preserve"/>
      </w:r>
    </w:p>
    <w:p>
      <w:pPr>
        <w:pStyle w:val="Heading2"/>
        <w:spacing w:after="120" w:before="280"/>
      </w:pPr>
      <w:r>
        <w:rPr>
          <w:rFonts w:ascii="Arial" w:cs="Arial" w:eastAsia="Arial" w:hAnsi="Arial"/>
          <w:b/>
          <w:bCs/>
          <w:color w:val="1A1A2E"/>
          <w:sz w:val="26"/>
          <w:szCs w:val="26"/>
        </w:rPr>
        <w:t xml:space="preserve">2.3 Gap Analysis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Segment</w:t>
            </w:r>
          </w:p>
        </w:tc>
        <w:tc>
          <w:tcPr>
            <w:tcW w:type="dxa" w:w="234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Gap</w:t>
            </w:r>
          </w:p>
        </w:tc>
        <w:tc>
          <w:tcPr>
            <w:tcW w:type="dxa" w:w="234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 if Unaddressed</w:t>
            </w:r>
          </w:p>
        </w:tc>
        <w:tc>
          <w:tcPr>
            <w:tcW w:type="dxa" w:w="234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Opportunity Size</w:t>
            </w:r>
          </w:p>
        </w:tc>
      </w:tr>
      <w:tr>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Young Digital Professionals</w:t>
            </w:r>
          </w:p>
        </w:tc>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No investment onboarding path</w:t>
            </w:r>
          </w:p>
        </w:tc>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Churn to fintech competitors</w:t>
            </w:r>
          </w:p>
        </w:tc>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Small Business Owners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credit/treasury solution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Lost business banking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Very High</w:t>
            </w:r>
          </w:p>
        </w:tc>
      </w:tr>
      <w:tr>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Affluent Pre-Retirees</w:t>
            </w:r>
          </w:p>
        </w:tc>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Over-concentration in deposits</w:t>
            </w:r>
          </w:p>
        </w:tc>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Asset migration to wealth mgmt firms</w:t>
            </w:r>
          </w:p>
        </w:tc>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High</w:t>
            </w:r>
          </w:p>
        </w:tc>
      </w:tr>
    </w:tbl>
    <w:p>
      <w:pPr>
        <w:spacing w:after="80" w:before="80"/>
      </w:pPr>
      <w:r>
        <w:t xml:space="preserve"/>
      </w:r>
    </w:p>
    <w:p>
      <w:pPr>
        <w:pStyle w:val="Heading1"/>
        <w:pBdr>
          <w:bottom w:val="single" w:color="B22234" w:sz="4" w:space="4"/>
        </w:pBdr>
        <w:spacing w:after="200" w:before="360"/>
      </w:pPr>
      <w:r>
        <w:rPr>
          <w:rFonts w:ascii="Arial" w:cs="Arial" w:eastAsia="Arial" w:hAnsi="Arial"/>
          <w:b/>
          <w:bCs/>
          <w:color w:val="B22234"/>
          <w:sz w:val="32"/>
          <w:szCs w:val="32"/>
        </w:rPr>
        <w:t xml:space="preserve">3. Strategic Recommendations</w:t>
      </w:r>
    </w:p>
    <w:p>
      <w:pPr>
        <w:pStyle w:val="Heading2"/>
        <w:spacing w:after="120" w:before="280"/>
      </w:pPr>
      <w:r>
        <w:rPr>
          <w:rFonts w:ascii="Arial" w:cs="Arial" w:eastAsia="Arial" w:hAnsi="Arial"/>
          <w:b/>
          <w:bCs/>
          <w:color w:val="1A1A2E"/>
          <w:sz w:val="26"/>
          <w:szCs w:val="26"/>
        </w:rPr>
        <w:t xml:space="preserve">3.1 Segment 1 — Young Digital Professionals</w:t>
      </w:r>
    </w:p>
    <w:p>
      <w:pPr>
        <w:spacing w:after="80" w:before="80"/>
        <w:jc w:val="both"/>
      </w:pPr>
      <w:r>
        <w:rPr>
          <w:rFonts w:ascii="Arial" w:cs="Arial" w:eastAsia="Arial" w:hAnsi="Arial"/>
          <w:sz w:val="22"/>
          <w:szCs w:val="22"/>
        </w:rPr>
        <w:t xml:space="preserve">Recommended CSBB Business Group: Consumer Banking — Digital &amp; Wealth Onboarding</w:t>
      </w:r>
    </w:p>
    <w:p>
      <w:pPr>
        <w:spacing w:after="80" w:before="80"/>
      </w:pPr>
      <w:r>
        <w:t xml:space="preserve"/>
      </w:r>
    </w:p>
    <w:p>
      <w:pPr>
        <w:spacing w:after="80" w:before="80"/>
        <w:jc w:val="both"/>
      </w:pPr>
      <w:r>
        <w:rPr>
          <w:rFonts w:ascii="Arial" w:cs="Arial" w:eastAsia="Arial" w:hAnsi="Arial"/>
          <w:b/>
          <w:bCs/>
          <w:sz w:val="22"/>
          <w:szCs w:val="22"/>
        </w:rPr>
        <w:t xml:space="preserve">Rationale:</w:t>
      </w:r>
    </w:p>
    <w:p>
      <w:pPr>
        <w:spacing w:after="80" w:before="80"/>
        <w:jc w:val="both"/>
      </w:pPr>
      <w:r>
        <w:rPr>
          <w:rFonts w:ascii="Arial" w:cs="Arial" w:eastAsia="Arial" w:hAnsi="Arial"/>
          <w:sz w:val="22"/>
          <w:szCs w:val="22"/>
        </w:rPr>
        <w:t xml:space="preserve">This segment demonstrates strong savings discipline and high digital engagement, yet has not been introduced to investment or wealth-building products. The behavioral pattern — consistent deposits with no investment activity — signals an onboarding gap rather than a lack of interest or capacity.</w:t>
      </w:r>
    </w:p>
    <w:p>
      <w:pPr>
        <w:spacing w:after="80" w:before="80"/>
      </w:pPr>
      <w:r>
        <w:t xml:space="preserve"/>
      </w:r>
    </w:p>
    <w:p>
      <w:pPr>
        <w:spacing w:after="80" w:before="80"/>
        <w:jc w:val="both"/>
      </w:pPr>
      <w:r>
        <w:rPr>
          <w:rFonts w:ascii="Arial" w:cs="Arial" w:eastAsia="Arial" w:hAnsi="Arial"/>
          <w:b/>
          <w:bCs/>
          <w:sz w:val="22"/>
          <w:szCs w:val="22"/>
        </w:rPr>
        <w:t xml:space="preserve">Recommended Actions:</w:t>
      </w:r>
    </w:p>
    <w:p>
      <w:pPr>
        <w:pStyle w:val="ListParagraph"/>
        <w:numPr>
          <w:ilvl w:val="0"/>
          <w:numId w:val="2"/>
        </w:numPr>
        <w:spacing w:after="60" w:before="60"/>
      </w:pPr>
      <w:r>
        <w:rPr>
          <w:rFonts w:ascii="Arial" w:cs="Arial" w:eastAsia="Arial" w:hAnsi="Arial"/>
          <w:sz w:val="22"/>
          <w:szCs w:val="22"/>
        </w:rPr>
        <w:t xml:space="preserve">Deploy automated micro-investment prompts triggered when savings balance exceeds $3,000 for 60+ consecutive days.</w:t>
      </w:r>
    </w:p>
    <w:p>
      <w:pPr>
        <w:pStyle w:val="ListParagraph"/>
        <w:numPr>
          <w:ilvl w:val="0"/>
          <w:numId w:val="2"/>
        </w:numPr>
        <w:spacing w:after="60" w:before="60"/>
      </w:pPr>
      <w:r>
        <w:rPr>
          <w:rFonts w:ascii="Arial" w:cs="Arial" w:eastAsia="Arial" w:hAnsi="Arial"/>
          <w:sz w:val="22"/>
          <w:szCs w:val="22"/>
        </w:rPr>
        <w:t xml:space="preserve">Introduce a Wells Fargo Way2Save-to-Investment bridge product with no minimum investment threshold for first-time investors.</w:t>
      </w:r>
    </w:p>
    <w:p>
      <w:pPr>
        <w:pStyle w:val="ListParagraph"/>
        <w:numPr>
          <w:ilvl w:val="0"/>
          <w:numId w:val="2"/>
        </w:numPr>
        <w:spacing w:after="60" w:before="60"/>
      </w:pPr>
      <w:r>
        <w:rPr>
          <w:rFonts w:ascii="Arial" w:cs="Arial" w:eastAsia="Arial" w:hAnsi="Arial"/>
          <w:sz w:val="22"/>
          <w:szCs w:val="22"/>
        </w:rPr>
        <w:t xml:space="preserve">Partner with the digital banking team to embed financial literacy modules within the mobile app.</w:t>
      </w:r>
    </w:p>
    <w:p>
      <w:pPr>
        <w:pStyle w:val="ListParagraph"/>
        <w:numPr>
          <w:ilvl w:val="0"/>
          <w:numId w:val="2"/>
        </w:numPr>
        <w:spacing w:after="60" w:before="60"/>
      </w:pPr>
      <w:r>
        <w:rPr>
          <w:rFonts w:ascii="Arial" w:cs="Arial" w:eastAsia="Arial" w:hAnsi="Arial"/>
          <w:sz w:val="22"/>
          <w:szCs w:val="22"/>
        </w:rPr>
        <w:t xml:space="preserve">Offer a credit card upgrade path (cashback or rewards) to increase product stickiness.</w:t>
      </w:r>
    </w:p>
    <w:p>
      <w:pPr>
        <w:spacing w:after="80" w:before="80"/>
      </w:pPr>
      <w:r>
        <w:t xml:space="preserve"/>
      </w:r>
    </w:p>
    <w:p>
      <w:pPr>
        <w:spacing w:after="80" w:before="80"/>
        <w:jc w:val="both"/>
      </w:pPr>
      <w:r>
        <w:rPr>
          <w:rFonts w:ascii="Arial" w:cs="Arial" w:eastAsia="Arial" w:hAnsi="Arial"/>
          <w:sz w:val="22"/>
          <w:szCs w:val="22"/>
        </w:rPr>
        <w:t xml:space="preserve">Expected Outcome: 18–22% increase in investment product adoption within 12 months; reduced churn to neo-bank competitors.</w:t>
      </w:r>
    </w:p>
    <w:p>
      <w:pPr>
        <w:spacing w:after="80" w:before="80"/>
      </w:pPr>
      <w:r>
        <w:t xml:space="preserve"/>
      </w:r>
    </w:p>
    <w:p>
      <w:pPr>
        <w:pStyle w:val="Heading2"/>
        <w:spacing w:after="120" w:before="280"/>
      </w:pPr>
      <w:r>
        <w:rPr>
          <w:rFonts w:ascii="Arial" w:cs="Arial" w:eastAsia="Arial" w:hAnsi="Arial"/>
          <w:b/>
          <w:bCs/>
          <w:color w:val="1A1A2E"/>
          <w:sz w:val="26"/>
          <w:szCs w:val="26"/>
        </w:rPr>
        <w:t xml:space="preserve">3.2 Segment 2 — Small Business Owners</w:t>
      </w:r>
    </w:p>
    <w:p>
      <w:pPr>
        <w:spacing w:after="80" w:before="80"/>
        <w:jc w:val="both"/>
      </w:pPr>
      <w:r>
        <w:rPr>
          <w:rFonts w:ascii="Arial" w:cs="Arial" w:eastAsia="Arial" w:hAnsi="Arial"/>
          <w:sz w:val="22"/>
          <w:szCs w:val="22"/>
        </w:rPr>
        <w:t xml:space="preserve">Recommended CSBB Business Group: Small Business Banking — Credit &amp; Treasury Solutions</w:t>
      </w:r>
    </w:p>
    <w:p>
      <w:pPr>
        <w:spacing w:after="80" w:before="80"/>
      </w:pPr>
      <w:r>
        <w:t xml:space="preserve"/>
      </w:r>
    </w:p>
    <w:p>
      <w:pPr>
        <w:spacing w:after="80" w:before="80"/>
        <w:jc w:val="both"/>
      </w:pPr>
      <w:r>
        <w:rPr>
          <w:rFonts w:ascii="Arial" w:cs="Arial" w:eastAsia="Arial" w:hAnsi="Arial"/>
          <w:b/>
          <w:bCs/>
          <w:sz w:val="22"/>
          <w:szCs w:val="22"/>
        </w:rPr>
        <w:t xml:space="preserve">Rationale:</w:t>
      </w:r>
    </w:p>
    <w:p>
      <w:pPr>
        <w:spacing w:after="80" w:before="80"/>
        <w:jc w:val="both"/>
      </w:pPr>
      <w:r>
        <w:rPr>
          <w:rFonts w:ascii="Arial" w:cs="Arial" w:eastAsia="Arial" w:hAnsi="Arial"/>
          <w:sz w:val="22"/>
          <w:szCs w:val="22"/>
        </w:rPr>
        <w:t xml:space="preserve">Small Business Owners represent the highest-value segment in terms of transaction volume and revenue potential. The absence of dedicated credit and treasury tools despite high cash flow activity indicates a significant cross-sell gap. Addressing this gap directly aligns with CSBB's core mandate to support business growth.</w:t>
      </w:r>
    </w:p>
    <w:p>
      <w:pPr>
        <w:spacing w:after="80" w:before="80"/>
      </w:pPr>
      <w:r>
        <w:t xml:space="preserve"/>
      </w:r>
    </w:p>
    <w:p>
      <w:pPr>
        <w:spacing w:after="80" w:before="80"/>
        <w:jc w:val="both"/>
      </w:pPr>
      <w:r>
        <w:rPr>
          <w:rFonts w:ascii="Arial" w:cs="Arial" w:eastAsia="Arial" w:hAnsi="Arial"/>
          <w:b/>
          <w:bCs/>
          <w:sz w:val="22"/>
          <w:szCs w:val="22"/>
        </w:rPr>
        <w:t xml:space="preserve">Recommended Actions:</w:t>
      </w:r>
    </w:p>
    <w:p>
      <w:pPr>
        <w:pStyle w:val="ListParagraph"/>
        <w:numPr>
          <w:ilvl w:val="0"/>
          <w:numId w:val="2"/>
        </w:numPr>
        <w:spacing w:after="60" w:before="60"/>
      </w:pPr>
      <w:r>
        <w:rPr>
          <w:rFonts w:ascii="Arial" w:cs="Arial" w:eastAsia="Arial" w:hAnsi="Arial"/>
          <w:sz w:val="22"/>
          <w:szCs w:val="22"/>
        </w:rPr>
        <w:t xml:space="preserve">Assign a dedicated Small Business Relationship Manager to accounts with monthly inflows exceeding $20,000.</w:t>
      </w:r>
    </w:p>
    <w:p>
      <w:pPr>
        <w:pStyle w:val="ListParagraph"/>
        <w:numPr>
          <w:ilvl w:val="0"/>
          <w:numId w:val="2"/>
        </w:numPr>
        <w:spacing w:after="60" w:before="60"/>
      </w:pPr>
      <w:r>
        <w:rPr>
          <w:rFonts w:ascii="Arial" w:cs="Arial" w:eastAsia="Arial" w:hAnsi="Arial"/>
          <w:sz w:val="22"/>
          <w:szCs w:val="22"/>
        </w:rPr>
        <w:t xml:space="preserve">Proactively offer a Business Line of Credit pre-qualification based on 6-month cash flow history.</w:t>
      </w:r>
    </w:p>
    <w:p>
      <w:pPr>
        <w:pStyle w:val="ListParagraph"/>
        <w:numPr>
          <w:ilvl w:val="0"/>
          <w:numId w:val="2"/>
        </w:numPr>
        <w:spacing w:after="60" w:before="60"/>
      </w:pPr>
      <w:r>
        <w:rPr>
          <w:rFonts w:ascii="Arial" w:cs="Arial" w:eastAsia="Arial" w:hAnsi="Arial"/>
          <w:sz w:val="22"/>
          <w:szCs w:val="22"/>
        </w:rPr>
        <w:t xml:space="preserve">Introduce Wells Fargo Business Online with integrated payroll and invoicing capabilities.</w:t>
      </w:r>
    </w:p>
    <w:p>
      <w:pPr>
        <w:pStyle w:val="ListParagraph"/>
        <w:numPr>
          <w:ilvl w:val="0"/>
          <w:numId w:val="2"/>
        </w:numPr>
        <w:spacing w:after="60" w:before="60"/>
      </w:pPr>
      <w:r>
        <w:rPr>
          <w:rFonts w:ascii="Arial" w:cs="Arial" w:eastAsia="Arial" w:hAnsi="Arial"/>
          <w:sz w:val="22"/>
          <w:szCs w:val="22"/>
        </w:rPr>
        <w:t xml:space="preserve">Pilot a merchant services bundle combining payment processing with a business rewards credit card.</w:t>
      </w:r>
    </w:p>
    <w:p>
      <w:pPr>
        <w:spacing w:after="80" w:before="80"/>
      </w:pPr>
      <w:r>
        <w:t xml:space="preserve"/>
      </w:r>
    </w:p>
    <w:p>
      <w:pPr>
        <w:spacing w:after="80" w:before="80"/>
        <w:jc w:val="both"/>
      </w:pPr>
      <w:r>
        <w:rPr>
          <w:rFonts w:ascii="Arial" w:cs="Arial" w:eastAsia="Arial" w:hAnsi="Arial"/>
          <w:sz w:val="22"/>
          <w:szCs w:val="22"/>
        </w:rPr>
        <w:t xml:space="preserve">Expected Outcome: 30–35% reduction in unmet credit needs; estimated $12,000 average annual revenue increase per converted business client.</w:t>
      </w:r>
    </w:p>
    <w:p>
      <w:pPr>
        <w:spacing w:after="80" w:before="80"/>
      </w:pPr>
      <w:r>
        <w:t xml:space="preserve"/>
      </w:r>
    </w:p>
    <w:p>
      <w:pPr>
        <w:pStyle w:val="Heading2"/>
        <w:spacing w:after="120" w:before="280"/>
      </w:pPr>
      <w:r>
        <w:rPr>
          <w:rFonts w:ascii="Arial" w:cs="Arial" w:eastAsia="Arial" w:hAnsi="Arial"/>
          <w:b/>
          <w:bCs/>
          <w:color w:val="1A1A2E"/>
          <w:sz w:val="26"/>
          <w:szCs w:val="26"/>
        </w:rPr>
        <w:t xml:space="preserve">3.3 Segment 3 — Affluent Pre-Retirees</w:t>
      </w:r>
    </w:p>
    <w:p>
      <w:pPr>
        <w:spacing w:after="80" w:before="80"/>
        <w:jc w:val="both"/>
      </w:pPr>
      <w:r>
        <w:rPr>
          <w:rFonts w:ascii="Arial" w:cs="Arial" w:eastAsia="Arial" w:hAnsi="Arial"/>
          <w:sz w:val="22"/>
          <w:szCs w:val="22"/>
        </w:rPr>
        <w:t xml:space="preserve">Recommended CSBB Business Group: Consumer Banking — Wealth &amp; Investment Transition</w:t>
      </w:r>
    </w:p>
    <w:p>
      <w:pPr>
        <w:spacing w:after="80" w:before="80"/>
      </w:pPr>
      <w:r>
        <w:t xml:space="preserve"/>
      </w:r>
    </w:p>
    <w:p>
      <w:pPr>
        <w:spacing w:after="80" w:before="80"/>
        <w:jc w:val="both"/>
      </w:pPr>
      <w:r>
        <w:rPr>
          <w:rFonts w:ascii="Arial" w:cs="Arial" w:eastAsia="Arial" w:hAnsi="Arial"/>
          <w:b/>
          <w:bCs/>
          <w:sz w:val="22"/>
          <w:szCs w:val="22"/>
        </w:rPr>
        <w:t xml:space="preserve">Rationale:</w:t>
      </w:r>
    </w:p>
    <w:p>
      <w:pPr>
        <w:spacing w:after="80" w:before="80"/>
        <w:jc w:val="both"/>
      </w:pPr>
      <w:r>
        <w:rPr>
          <w:rFonts w:ascii="Arial" w:cs="Arial" w:eastAsia="Arial" w:hAnsi="Arial"/>
          <w:sz w:val="22"/>
          <w:szCs w:val="22"/>
        </w:rPr>
        <w:t xml:space="preserve">Affluent Pre-Retirees hold substantial assets within Wells Fargo but are underserved by the current product mix. Their concentration in low-yield instruments during a phase of active wealth accumulation represents both a risk (asset outflow) and an opportunity (portfolio transition). A proactive advisory approach is essential to retain and grow this relationship.</w:t>
      </w:r>
    </w:p>
    <w:p>
      <w:pPr>
        <w:spacing w:after="80" w:before="80"/>
      </w:pPr>
      <w:r>
        <w:t xml:space="preserve"/>
      </w:r>
    </w:p>
    <w:p>
      <w:pPr>
        <w:spacing w:after="80" w:before="80"/>
        <w:jc w:val="both"/>
      </w:pPr>
      <w:r>
        <w:rPr>
          <w:rFonts w:ascii="Arial" w:cs="Arial" w:eastAsia="Arial" w:hAnsi="Arial"/>
          <w:b/>
          <w:bCs/>
          <w:sz w:val="22"/>
          <w:szCs w:val="22"/>
        </w:rPr>
        <w:t xml:space="preserve">Recommended Actions:</w:t>
      </w:r>
    </w:p>
    <w:p>
      <w:pPr>
        <w:pStyle w:val="ListParagraph"/>
        <w:numPr>
          <w:ilvl w:val="0"/>
          <w:numId w:val="2"/>
        </w:numPr>
        <w:spacing w:after="60" w:before="60"/>
      </w:pPr>
      <w:r>
        <w:rPr>
          <w:rFonts w:ascii="Arial" w:cs="Arial" w:eastAsia="Arial" w:hAnsi="Arial"/>
          <w:sz w:val="22"/>
          <w:szCs w:val="22"/>
        </w:rPr>
        <w:t xml:space="preserve">Schedule proactive Wealth Transition Reviews with a certified financial consultant for all clients with combined balances exceeding $150,000.</w:t>
      </w:r>
    </w:p>
    <w:p>
      <w:pPr>
        <w:pStyle w:val="ListParagraph"/>
        <w:numPr>
          <w:ilvl w:val="0"/>
          <w:numId w:val="2"/>
        </w:numPr>
        <w:spacing w:after="60" w:before="60"/>
      </w:pPr>
      <w:r>
        <w:rPr>
          <w:rFonts w:ascii="Arial" w:cs="Arial" w:eastAsia="Arial" w:hAnsi="Arial"/>
          <w:sz w:val="22"/>
          <w:szCs w:val="22"/>
        </w:rPr>
        <w:t xml:space="preserve">Present a diversification roadmap: gradual migration from CDs to diversified investment portfolios with capital preservation features.</w:t>
      </w:r>
    </w:p>
    <w:p>
      <w:pPr>
        <w:pStyle w:val="ListParagraph"/>
        <w:numPr>
          <w:ilvl w:val="0"/>
          <w:numId w:val="2"/>
        </w:numPr>
        <w:spacing w:after="60" w:before="60"/>
      </w:pPr>
      <w:r>
        <w:rPr>
          <w:rFonts w:ascii="Arial" w:cs="Arial" w:eastAsia="Arial" w:hAnsi="Arial"/>
          <w:sz w:val="22"/>
          <w:szCs w:val="22"/>
        </w:rPr>
        <w:t xml:space="preserve">Introduce Wells Fargo Advisors referral pathway with transparent fee structures tailored to pre-retirement profiles.</w:t>
      </w:r>
    </w:p>
    <w:p>
      <w:pPr>
        <w:pStyle w:val="ListParagraph"/>
        <w:numPr>
          <w:ilvl w:val="0"/>
          <w:numId w:val="2"/>
        </w:numPr>
        <w:spacing w:after="60" w:before="60"/>
      </w:pPr>
      <w:r>
        <w:rPr>
          <w:rFonts w:ascii="Arial" w:cs="Arial" w:eastAsia="Arial" w:hAnsi="Arial"/>
          <w:sz w:val="22"/>
          <w:szCs w:val="22"/>
        </w:rPr>
        <w:t xml:space="preserve">Offer a Mortgage Acceleration + Investment Balance Calculator tool to model post-payoff wealth reallocation scenarios.</w:t>
      </w:r>
    </w:p>
    <w:p>
      <w:pPr>
        <w:spacing w:after="80" w:before="80"/>
      </w:pPr>
      <w:r>
        <w:t xml:space="preserve"/>
      </w:r>
    </w:p>
    <w:p>
      <w:pPr>
        <w:spacing w:after="80" w:before="80"/>
        <w:jc w:val="both"/>
      </w:pPr>
      <w:r>
        <w:rPr>
          <w:rFonts w:ascii="Arial" w:cs="Arial" w:eastAsia="Arial" w:hAnsi="Arial"/>
          <w:sz w:val="22"/>
          <w:szCs w:val="22"/>
        </w:rPr>
        <w:t xml:space="preserve">Expected Outcome: 40% reduction in asset outflow risk; average portfolio migration of $45,000 per client within 18 months.</w:t>
      </w:r>
    </w:p>
    <w:p>
      <w:pPr>
        <w:spacing w:after="80" w:before="80"/>
      </w:pPr>
      <w:r>
        <w:t xml:space="preserve"/>
      </w:r>
    </w:p>
    <w:p>
      <w:pPr>
        <w:pStyle w:val="Heading1"/>
        <w:pBdr>
          <w:bottom w:val="single" w:color="B22234" w:sz="4" w:space="4"/>
        </w:pBdr>
        <w:spacing w:after="200" w:before="360"/>
      </w:pPr>
      <w:r>
        <w:rPr>
          <w:rFonts w:ascii="Arial" w:cs="Arial" w:eastAsia="Arial" w:hAnsi="Arial"/>
          <w:b/>
          <w:bCs/>
          <w:color w:val="B22234"/>
          <w:sz w:val="32"/>
          <w:szCs w:val="32"/>
        </w:rPr>
        <w:t xml:space="preserve">4. Cross-Segment Alignment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Segment</w:t>
            </w:r>
          </w:p>
        </w:tc>
        <w:tc>
          <w:tcPr>
            <w:tcW w:type="dxa" w:w="250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CSBB Business Group</w:t>
            </w:r>
          </w:p>
        </w:tc>
        <w:tc>
          <w:tcPr>
            <w:tcW w:type="dxa" w:w="250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Product</w:t>
            </w:r>
          </w:p>
        </w:tc>
        <w:tc>
          <w:tcPr>
            <w:tcW w:type="dxa" w:w="1860"/>
            <w:tcBorders>
              <w:top w:val="single" w:color="B22234" w:sz="1"/>
              <w:left w:val="single" w:color="B22234" w:sz="1"/>
              <w:bottom w:val="single" w:color="B22234" w:sz="1"/>
              <w:right w:val="single" w:color="B22234" w:sz="1"/>
            </w:tcBorders>
            <w:shd w:fill="B2223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 Level</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Young Digital Professionals</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Consumer Banking — Digital</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Investment Onboarding</w:t>
            </w:r>
          </w:p>
        </w:tc>
        <w:tc>
          <w:tcPr>
            <w:tcW w:type="dxa" w:w="186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Small Business Owners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Small Business Banking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Credit Line + Treasury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Very High</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Affluent Pre-Retirees</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Consumer Banking — Wealth</w:t>
            </w:r>
          </w:p>
        </w:tc>
        <w:tc>
          <w:tcPr>
            <w:tcW w:type="dxa" w:w="250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Investment Portfolio</w:t>
            </w:r>
          </w:p>
        </w:tc>
        <w:tc>
          <w:tcPr>
            <w:tcW w:type="dxa" w:w="186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High</w:t>
            </w:r>
          </w:p>
        </w:tc>
      </w:tr>
    </w:tbl>
    <w:p>
      <w:pPr>
        <w:spacing w:after="80" w:before="80"/>
      </w:pPr>
      <w:r>
        <w:t xml:space="preserve"/>
      </w:r>
    </w:p>
    <w:p>
      <w:pPr>
        <w:pStyle w:val="Heading1"/>
        <w:pBdr>
          <w:bottom w:val="single" w:color="B22234" w:sz="4" w:space="4"/>
        </w:pBdr>
        <w:spacing w:after="200" w:before="360"/>
      </w:pPr>
      <w:r>
        <w:rPr>
          <w:rFonts w:ascii="Arial" w:cs="Arial" w:eastAsia="Arial" w:hAnsi="Arial"/>
          <w:b/>
          <w:bCs/>
          <w:color w:val="B22234"/>
          <w:sz w:val="32"/>
          <w:szCs w:val="32"/>
        </w:rPr>
        <w:t xml:space="preserve">5. Conclusion</w:t>
      </w:r>
    </w:p>
    <w:p>
      <w:pPr>
        <w:spacing w:after="80" w:before="80"/>
        <w:jc w:val="both"/>
      </w:pPr>
      <w:r>
        <w:rPr>
          <w:rFonts w:ascii="Arial" w:cs="Arial" w:eastAsia="Arial" w:hAnsi="Arial"/>
          <w:sz w:val="22"/>
          <w:szCs w:val="22"/>
        </w:rPr>
        <w:t xml:space="preserve">This analysis demonstrates that meaningful customer value creation within the CSBB division requires moving beyond transactional relationships toward proactive, data-driven alignment. Each of the three segments examined presents a clear and actionable opportunity — provided that the right business group is engaged at the right moment in the customer lifecycle.</w:t>
      </w:r>
    </w:p>
    <w:p>
      <w:pPr>
        <w:spacing w:after="80" w:before="80"/>
      </w:pPr>
      <w:r>
        <w:t xml:space="preserve"/>
      </w:r>
    </w:p>
    <w:p>
      <w:pPr>
        <w:spacing w:after="80" w:before="80"/>
        <w:jc w:val="both"/>
      </w:pPr>
      <w:r>
        <w:rPr>
          <w:rFonts w:ascii="Arial" w:cs="Arial" w:eastAsia="Arial" w:hAnsi="Arial"/>
          <w:sz w:val="22"/>
          <w:szCs w:val="22"/>
        </w:rPr>
        <w:t xml:space="preserve">The recommendations in this report prioritize three principles consistently: customer-centricity (solutions built around demonstrated needs), data integrity (recommendations anchored in behavioral metrics, not assumptions), and sustainable growth (outcomes that benefit both the customer and Wells Fargo over the long term).</w:t>
      </w:r>
    </w:p>
    <w:p>
      <w:pPr>
        <w:spacing w:after="80" w:before="80"/>
      </w:pPr>
      <w:r>
        <w:t xml:space="preserve"/>
      </w:r>
    </w:p>
    <w:p>
      <w:pPr>
        <w:spacing w:after="80" w:before="80"/>
        <w:jc w:val="both"/>
      </w:pPr>
      <w:r>
        <w:rPr>
          <w:rFonts w:ascii="Arial" w:cs="Arial" w:eastAsia="Arial" w:hAnsi="Arial"/>
          <w:sz w:val="22"/>
          <w:szCs w:val="22"/>
        </w:rPr>
        <w:t xml:space="preserve">As a CSBB Intern, this simulation has reinforced a fundamental insight: the most impactful banking decisions are not made at the product level, but at the alignment level — understanding who needs what, and ensuring they are supported by the team best equipped to serve them.</w:t>
      </w:r>
    </w:p>
    <w:p>
      <w:pPr>
        <w:spacing w:after="80" w:before="80"/>
      </w:pPr>
      <w:r>
        <w:t xml:space="preserve"/>
      </w:r>
    </w:p>
    <w:p>
      <w:pPr>
        <w:spacing w:after="80" w:before="80"/>
      </w:pPr>
      <w:r>
        <w:t xml:space="preserve"/>
      </w:r>
    </w:p>
    <w:p>
      <w:pPr>
        <w:pBdr>
          <w:top w:val="single" w:color="B22234" w:sz="4" w:space="4"/>
        </w:pBdr>
        <w:spacing w:after="0" w:before="240"/>
        <w:jc w:val="center"/>
      </w:pPr>
      <w:r>
        <w:rPr>
          <w:rFonts w:ascii="Arial" w:cs="Arial" w:eastAsia="Arial" w:hAnsi="Arial"/>
          <w:color w:val="888888"/>
          <w:sz w:val="18"/>
          <w:szCs w:val="18"/>
        </w:rPr>
        <w:t xml:space="preserve">Lise Robelia — CSBB Intern | Wells Fargo Job Simulation via Forage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Wells Fargo CSBB — Business Case Report | Lise Robelia, CSBB Intern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B2223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2026-04-15T02:26:25.607Z</dcterms:created>
  <dcterms:modified xsi:type="dcterms:W3CDTF">2026-04-15T02:26:25.608Z</dcterms:modified>
</cp:coreProperties>
</file>

<file path=docProps/custom.xml><?xml version="1.0" encoding="utf-8"?>
<Properties xmlns="http://schemas.openxmlformats.org/officeDocument/2006/custom-properties" xmlns:vt="http://schemas.openxmlformats.org/officeDocument/2006/docPropsVTypes"/>
</file>