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120" w:before="600"/>
        <w:jc w:val="center"/>
      </w:pPr>
      <w:r>
        <w:rPr>
          <w:rFonts w:ascii="Arial" w:cs="Arial" w:eastAsia="Arial" w:hAnsi="Arial"/>
          <w:b/>
          <w:bCs/>
          <w:color w:val="B22234"/>
          <w:sz w:val="56"/>
          <w:szCs w:val="56"/>
        </w:rPr>
        <w:t xml:space="preserve">WELLS FARGO</w:t>
      </w:r>
    </w:p>
    <w:p>
      <w:pPr>
        <w:spacing w:after="300" w:before="0"/>
        <w:jc w:val="center"/>
      </w:pPr>
      <w:r>
        <w:rPr>
          <w:rFonts w:ascii="Arial" w:cs="Arial" w:eastAsia="Arial" w:hAnsi="Arial"/>
          <w:color w:val="555555"/>
          <w:sz w:val="28"/>
          <w:szCs w:val="28"/>
        </w:rPr>
        <w:t xml:space="preserve">Consumer, Small &amp; Business Banking</w:t>
      </w:r>
    </w:p>
    <w:p>
      <w:pPr>
        <w:pBdr>
          <w:bottom w:val="single" w:color="B22234" w:sz="6" w:space="1"/>
        </w:pBdr>
        <w:spacing w:after="300" w:before="0"/>
        <w:jc w:val="center"/>
      </w:pPr>
      <w:r>
        <w:t xml:space="preserve"/>
      </w:r>
    </w:p>
    <w:p>
      <w:pPr>
        <w:spacing w:after="160" w:before="300"/>
        <w:jc w:val="center"/>
      </w:pPr>
      <w:r>
        <w:rPr>
          <w:rFonts w:ascii="Arial" w:cs="Arial" w:eastAsia="Arial" w:hAnsi="Arial"/>
          <w:b/>
          <w:bCs/>
          <w:color w:val="1A1A2E"/>
          <w:sz w:val="44"/>
          <w:szCs w:val="44"/>
        </w:rPr>
        <w:t xml:space="preserve">CUSTOMER SOLUTIONS REPORT</w:t>
      </w:r>
    </w:p>
    <w:p>
      <w:pPr>
        <w:spacing w:after="200" w:before="0"/>
        <w:jc w:val="center"/>
      </w:pPr>
      <w:r>
        <w:rPr>
          <w:rFonts w:ascii="Arial" w:cs="Arial" w:eastAsia="Arial" w:hAnsi="Arial"/>
          <w:color w:val="444444"/>
          <w:sz w:val="26"/>
          <w:szCs w:val="26"/>
        </w:rPr>
        <w:t xml:space="preserve">Task 2 — Solutions for Customer Success</w:t>
      </w:r>
    </w:p>
    <w:p>
      <w:pPr>
        <w:spacing w:after="400" w:before="0"/>
        <w:jc w:val="center"/>
      </w:pPr>
      <w:r>
        <w:rPr>
          <w:rFonts w:ascii="Arial" w:cs="Arial" w:eastAsia="Arial" w:hAnsi="Arial"/>
          <w:i/>
          <w:iCs/>
          <w:color w:val="888888"/>
          <w:sz w:val="22"/>
          <w:szCs w:val="22"/>
        </w:rPr>
        <w:t xml:space="preserve">Version 3.0 — Restructured &amp; Enhanced</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B22234" w:sz="6"/>
              <w:left w:val="single" w:color="B22234" w:sz="6"/>
              <w:bottom w:val="single" w:color="B22234" w:sz="6"/>
              <w:right w:val="single" w:color="B22234" w:sz="6"/>
            </w:tcBorders>
            <w:shd w:fill="FFF5F5" w:val="clear"/>
            <w:tcMar>
              <w:top w:type="dxa" w:w="120"/>
              <w:left w:type="dxa" w:w="200"/>
              <w:bottom w:type="dxa" w:w="120"/>
              <w:right w:type="dxa" w:w="200"/>
            </w:tcMar>
          </w:tcPr>
          <w:p>
            <w:pPr>
              <w:jc w:val="center"/>
            </w:pPr>
            <w:r>
              <w:rPr>
                <w:rFonts w:ascii="Arial" w:cs="Arial" w:eastAsia="Arial" w:hAnsi="Arial"/>
                <w:b/>
                <w:bCs/>
                <w:color w:val="B22234"/>
                <w:sz w:val="20"/>
                <w:szCs w:val="20"/>
              </w:rPr>
              <w:t xml:space="preserve">⚠ CONFIDENTIAL — INTERNAL USE ONLY</w:t>
            </w:r>
          </w:p>
          <w:p>
            <w:pPr>
              <w:jc w:val="center"/>
            </w:pPr>
            <w:r>
              <w:rPr>
                <w:rFonts w:ascii="Arial" w:cs="Arial" w:eastAsia="Arial" w:hAnsi="Arial"/>
                <w:color w:val="888888"/>
                <w:sz w:val="17"/>
                <w:szCs w:val="17"/>
              </w:rPr>
              <w:t xml:space="preserve">Wells Fargo CSBB Simulation — Not for external distribution</w:t>
            </w:r>
          </w:p>
        </w:tc>
      </w:tr>
    </w:tbl>
    <w:p>
      <w:pPr>
        <w:spacing w:after="60" w:before="60"/>
      </w:pPr>
      <w:r>
        <w:t xml:space="preserve"/>
      </w:r>
    </w:p>
    <w:p>
      <w:pPr>
        <w:spacing w:after="80" w:before="200"/>
        <w:jc w:val="center"/>
      </w:pPr>
      <w:r>
        <w:rPr>
          <w:rFonts w:ascii="Arial" w:cs="Arial" w:eastAsia="Arial" w:hAnsi="Arial"/>
          <w:sz w:val="20"/>
          <w:szCs w:val="20"/>
        </w:rPr>
        <w:t xml:space="preserve">Prepared by: Lise Robelia  |  Role: CSBB Intern</w:t>
      </w:r>
    </w:p>
    <w:p>
      <w:pPr>
        <w:spacing w:after="80" w:before="0"/>
        <w:jc w:val="center"/>
      </w:pPr>
      <w:r>
        <w:rPr>
          <w:rFonts w:ascii="Arial" w:cs="Arial" w:eastAsia="Arial" w:hAnsi="Arial"/>
          <w:sz w:val="20"/>
          <w:szCs w:val="20"/>
        </w:rPr>
        <w:t xml:space="preserve">Supervised by: Angela Martinez (Senior Strategy Consultant)  |  Priya (Product Manager)</w:t>
      </w:r>
    </w:p>
    <w:p>
      <w:pPr>
        <w:spacing w:after="200" w:before="0"/>
        <w:jc w:val="center"/>
      </w:pPr>
      <w:r>
        <w:rPr>
          <w:rFonts w:ascii="Arial" w:cs="Arial" w:eastAsia="Arial" w:hAnsi="Arial"/>
          <w:color w:val="888888"/>
          <w:sz w:val="18"/>
          <w:szCs w:val="18"/>
        </w:rPr>
        <w:t xml:space="preserve">Date: April 15, 2026  |  Wells Fargo Job Simulation via Forage</w:t>
      </w:r>
    </w:p>
    <w:p>
      <w:pPr>
        <w:spacing w:after="100" w:before="0"/>
        <w:jc w:val="center"/>
      </w:pPr>
      <w:r>
        <w:rPr>
          <w:rFonts w:ascii="Arial" w:cs="Arial" w:eastAsia="Arial" w:hAnsi="Arial"/>
          <w:color w:val="1D4ED8"/>
          <w:sz w:val="20"/>
          <w:szCs w:val="20"/>
        </w:rPr>
        <w:t xml:space="preserve">● </w:t>
      </w:r>
      <w:r>
        <w:rPr>
          <w:rFonts w:ascii="Arial" w:cs="Arial" w:eastAsia="Arial" w:hAnsi="Arial"/>
          <w:sz w:val="20"/>
          <w:szCs w:val="20"/>
        </w:rPr>
        <w:t xml:space="preserve">Low-Income  </w:t>
      </w:r>
      <w:r>
        <w:rPr>
          <w:rFonts w:ascii="Arial" w:cs="Arial" w:eastAsia="Arial" w:hAnsi="Arial"/>
          <w:color w:val="166534"/>
          <w:sz w:val="20"/>
          <w:szCs w:val="20"/>
        </w:rPr>
        <w:t xml:space="preserve">● </w:t>
      </w:r>
      <w:r>
        <w:rPr>
          <w:rFonts w:ascii="Arial" w:cs="Arial" w:eastAsia="Arial" w:hAnsi="Arial"/>
          <w:sz w:val="20"/>
          <w:szCs w:val="20"/>
        </w:rPr>
        <w:t xml:space="preserve">Small Business  </w:t>
      </w:r>
      <w:r>
        <w:rPr>
          <w:rFonts w:ascii="Arial" w:cs="Arial" w:eastAsia="Arial" w:hAnsi="Arial"/>
          <w:color w:val="6D28D9"/>
          <w:sz w:val="20"/>
          <w:szCs w:val="20"/>
        </w:rPr>
        <w:t xml:space="preserve">● </w:t>
      </w:r>
      <w:r>
        <w:rPr>
          <w:rFonts w:ascii="Arial" w:cs="Arial" w:eastAsia="Arial" w:hAnsi="Arial"/>
          <w:sz w:val="20"/>
          <w:szCs w:val="20"/>
        </w:rPr>
        <w:t xml:space="preserve">Mass Market  </w:t>
      </w:r>
      <w:r>
        <w:rPr>
          <w:rFonts w:ascii="Arial" w:cs="Arial" w:eastAsia="Arial" w:hAnsi="Arial"/>
          <w:color w:val="C2410C"/>
          <w:sz w:val="20"/>
          <w:szCs w:val="20"/>
        </w:rPr>
        <w:t xml:space="preserve">● </w:t>
      </w:r>
      <w:r>
        <w:rPr>
          <w:rFonts w:ascii="Arial" w:cs="Arial" w:eastAsia="Arial" w:hAnsi="Arial"/>
          <w:sz w:val="20"/>
          <w:szCs w:val="20"/>
        </w:rPr>
        <w:t xml:space="preserve">Affluent</w:t>
      </w:r>
    </w:p>
    <w:p>
      <w:r>
        <w:br w:type="page"/>
      </w:r>
    </w:p>
    <w:p>
      <w:pPr>
        <w:pBdr>
          <w:bottom w:val="single" w:color="B22234" w:sz="5" w:space="4"/>
        </w:pBdr>
        <w:spacing w:after="100" w:before="200"/>
      </w:pPr>
      <w:r>
        <w:rPr>
          <w:rFonts w:ascii="Arial" w:cs="Arial" w:eastAsia="Arial" w:hAnsi="Arial"/>
          <w:b/>
          <w:bCs/>
          <w:color w:val="B22234"/>
          <w:sz w:val="36"/>
          <w:szCs w:val="36"/>
        </w:rPr>
        <w:t xml:space="preserve">INTRODUCTION</w:t>
      </w:r>
    </w:p>
    <w:p>
      <w:pPr>
        <w:spacing w:after="60" w:before="60"/>
      </w:pPr>
      <w:r>
        <w:t xml:space="preserve"/>
      </w:r>
    </w:p>
    <w:p>
      <w:pPr>
        <w:spacing w:after="40" w:before="60"/>
      </w:pPr>
      <w:r>
        <w:rPr>
          <w:rFonts w:ascii="Arial" w:cs="Arial" w:eastAsia="Arial" w:hAnsi="Arial"/>
          <w:b/>
          <w:bCs/>
          <w:sz w:val="20"/>
          <w:szCs w:val="20"/>
        </w:rPr>
        <w:t xml:space="preserve">From:</w:t>
      </w:r>
      <w:r>
        <w:rPr>
          <w:rFonts w:ascii="Arial" w:cs="Arial" w:eastAsia="Arial" w:hAnsi="Arial"/>
          <w:sz w:val="20"/>
          <w:szCs w:val="20"/>
        </w:rPr>
        <w:t xml:space="preserve">  Lise Robelia, CSBB Intern — lise.robelia@wellsfargo.com</w:t>
      </w:r>
    </w:p>
    <w:p>
      <w:pPr>
        <w:spacing w:after="40" w:before="40"/>
      </w:pPr>
      <w:r>
        <w:rPr>
          <w:rFonts w:ascii="Arial" w:cs="Arial" w:eastAsia="Arial" w:hAnsi="Arial"/>
          <w:b/>
          <w:bCs/>
          <w:sz w:val="20"/>
          <w:szCs w:val="20"/>
        </w:rPr>
        <w:t xml:space="preserve">To:</w:t>
      </w:r>
      <w:r>
        <w:rPr>
          <w:rFonts w:ascii="Arial" w:cs="Arial" w:eastAsia="Arial" w:hAnsi="Arial"/>
          <w:sz w:val="20"/>
          <w:szCs w:val="20"/>
        </w:rPr>
        <w:t xml:space="preserve">  Angela Martinez, Senior Strategy Consultant &amp; Priya, Product Manager</w:t>
      </w:r>
    </w:p>
    <w:p>
      <w:pPr>
        <w:spacing w:after="40" w:before="40"/>
      </w:pPr>
      <w:r>
        <w:rPr>
          <w:rFonts w:ascii="Arial" w:cs="Arial" w:eastAsia="Arial" w:hAnsi="Arial"/>
          <w:b/>
          <w:bCs/>
          <w:sz w:val="20"/>
          <w:szCs w:val="20"/>
        </w:rPr>
        <w:t xml:space="preserve">Date:</w:t>
      </w:r>
      <w:r>
        <w:rPr>
          <w:rFonts w:ascii="Arial" w:cs="Arial" w:eastAsia="Arial" w:hAnsi="Arial"/>
          <w:sz w:val="20"/>
          <w:szCs w:val="20"/>
        </w:rPr>
        <w:t xml:space="preserve">  April 15, 2026</w:t>
      </w:r>
    </w:p>
    <w:p>
      <w:pPr>
        <w:spacing w:after="100" w:before="40"/>
      </w:pPr>
      <w:r>
        <w:rPr>
          <w:rFonts w:ascii="Arial" w:cs="Arial" w:eastAsia="Arial" w:hAnsi="Arial"/>
          <w:b/>
          <w:bCs/>
          <w:sz w:val="20"/>
          <w:szCs w:val="20"/>
        </w:rPr>
        <w:t xml:space="preserve">Subject:</w:t>
      </w:r>
      <w:r>
        <w:rPr>
          <w:rFonts w:ascii="Arial" w:cs="Arial" w:eastAsia="Arial" w:hAnsi="Arial"/>
          <w:sz w:val="20"/>
          <w:szCs w:val="20"/>
        </w:rPr>
        <w:t xml:space="preserve">  Customer Solutions Report — Task 2 Final Submission</w:t>
      </w:r>
    </w:p>
    <w:p>
      <w:pPr>
        <w:pBdr>
          <w:bottom w:val="single" w:color="CCCCCC" w:sz="1" w:space="1"/>
        </w:pBdr>
        <w:spacing w:after="200" w:before="0"/>
      </w:pPr>
      <w:r>
        <w:t xml:space="preserve"/>
      </w:r>
    </w:p>
    <w:p>
      <w:pPr>
        <w:spacing w:after="80" w:before="80"/>
        <w:jc w:val="both"/>
      </w:pPr>
      <w:r>
        <w:rPr>
          <w:rFonts w:ascii="Arial" w:cs="Arial" w:eastAsia="Arial" w:hAnsi="Arial"/>
          <w:sz w:val="20"/>
          <w:szCs w:val="20"/>
        </w:rPr>
        <w:t xml:space="preserve">Dear Angela and Priya,</w:t>
      </w:r>
    </w:p>
    <w:p>
      <w:pPr>
        <w:spacing w:after="60" w:before="60"/>
      </w:pPr>
      <w:r>
        <w:t xml:space="preserve"/>
      </w:r>
    </w:p>
    <w:p>
      <w:pPr>
        <w:spacing w:after="80" w:before="80"/>
        <w:jc w:val="both"/>
      </w:pPr>
      <w:r>
        <w:rPr>
          <w:rFonts w:ascii="Arial" w:cs="Arial" w:eastAsia="Arial" w:hAnsi="Arial"/>
          <w:sz w:val="20"/>
          <w:szCs w:val="20"/>
        </w:rPr>
        <w:t xml:space="preserve">Thank you for your continued guidance and support throughout this simulation. Building on the customer alignment work completed in Task 1, this report presents tailored product and service recommendations for all four CSBB customer segments: Low-Income, Small Business, Mass Market (Subset), and Affluent (Subset).</w:t>
      </w:r>
    </w:p>
    <w:p>
      <w:pPr>
        <w:spacing w:after="60" w:before="60"/>
      </w:pPr>
      <w:r>
        <w:t xml:space="preserve"/>
      </w:r>
    </w:p>
    <w:p>
      <w:pPr>
        <w:spacing w:after="80" w:before="80"/>
        <w:jc w:val="both"/>
      </w:pPr>
      <w:r>
        <w:rPr>
          <w:rFonts w:ascii="Arial" w:cs="Arial" w:eastAsia="Arial" w:hAnsi="Arial"/>
          <w:sz w:val="20"/>
          <w:szCs w:val="20"/>
        </w:rPr>
        <w:t xml:space="preserve">Each recommendation is grounded in behavioral data from the Customer Banking Reports and informed by the Wells Fargo Product Overview Guide. The analysis follows a structured methodology: identify the segment's primary financial trends, isolate key needs and pain points, match those needs to the most appropriate Wells Fargo products, and quantify both the customer benefit and the business impact.</w:t>
      </w:r>
    </w:p>
    <w:p>
      <w:pPr>
        <w:spacing w:after="60" w:before="60"/>
      </w:pPr>
      <w:r>
        <w:t xml:space="preserve"/>
      </w:r>
    </w:p>
    <w:p>
      <w:pPr>
        <w:spacing w:after="80" w:before="80"/>
        <w:jc w:val="both"/>
      </w:pPr>
      <w:r>
        <w:rPr>
          <w:rFonts w:ascii="Arial" w:cs="Arial" w:eastAsia="Arial" w:hAnsi="Arial"/>
          <w:sz w:val="20"/>
          <w:szCs w:val="20"/>
        </w:rPr>
        <w:t xml:space="preserve">Note on methodology: This report was developed using a structured cognitive approach — analyzing the Customer Banking Reports, the Product Overview Guide, and the Task 1 alignment framework sequentially rather than simultaneously, in order to ensure precision and avoid analytical saturation. All recommendations reflect genuine data-driven alignment, not assumption.</w:t>
      </w:r>
    </w:p>
    <w:p>
      <w:pPr>
        <w:spacing w:after="60" w:before="60"/>
      </w:pPr>
      <w:r>
        <w:t xml:space="preserve"/>
      </w:r>
    </w:p>
    <w:p>
      <w:pPr>
        <w:spacing w:after="80" w:before="80"/>
        <w:jc w:val="both"/>
      </w:pPr>
      <w:r>
        <w:rPr>
          <w:rFonts w:ascii="Arial" w:cs="Arial" w:eastAsia="Arial" w:hAnsi="Arial"/>
          <w:sz w:val="20"/>
          <w:szCs w:val="20"/>
        </w:rPr>
        <w:t xml:space="preserve">Note on confidentiality: In line with Wells Fargo's data governance standards and the Defend Trade Secrets Act (DTSA, 2016), no raw customer data or proprietary internal documents were shared with external tools during the preparation of this report. All analysis was conducted within the secure simulation environment.</w:t>
      </w:r>
    </w:p>
    <w:p>
      <w:pPr>
        <w:spacing w:after="60" w:before="60"/>
      </w:pPr>
      <w:r>
        <w:t xml:space="preserve"/>
      </w:r>
    </w:p>
    <w:p>
      <w:pPr>
        <w:spacing w:after="80" w:before="80"/>
        <w:jc w:val="both"/>
      </w:pPr>
      <w:r>
        <w:rPr>
          <w:rFonts w:ascii="Arial" w:cs="Arial" w:eastAsia="Arial" w:hAnsi="Arial"/>
          <w:sz w:val="20"/>
          <w:szCs w:val="20"/>
        </w:rPr>
        <w:t xml:space="preserve">I look forward to your feedback and remain available to discuss any aspect of these recommendations at your earliest convenience.</w:t>
      </w:r>
    </w:p>
    <w:p>
      <w:pPr>
        <w:spacing w:after="60" w:before="60"/>
      </w:pPr>
      <w:r>
        <w:t xml:space="preserve"/>
      </w:r>
    </w:p>
    <w:p>
      <w:pPr>
        <w:spacing w:after="80" w:before="80"/>
        <w:jc w:val="both"/>
      </w:pPr>
      <w:r>
        <w:rPr>
          <w:rFonts w:ascii="Arial" w:cs="Arial" w:eastAsia="Arial" w:hAnsi="Arial"/>
          <w:sz w:val="20"/>
          <w:szCs w:val="20"/>
        </w:rPr>
        <w:t xml:space="preserve">Sincerely,</w:t>
      </w:r>
    </w:p>
    <w:p>
      <w:pPr>
        <w:spacing w:after="80" w:before="80"/>
        <w:jc w:val="both"/>
      </w:pPr>
      <w:r>
        <w:rPr>
          <w:rFonts w:ascii="Arial" w:cs="Arial" w:eastAsia="Arial" w:hAnsi="Arial"/>
          <w:b/>
          <w:bCs/>
          <w:sz w:val="20"/>
          <w:szCs w:val="20"/>
        </w:rPr>
        <w:t xml:space="preserve">Lise Robelia — CSBB Intern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4"/>
              <w:left w:val="single" w:color="1D4ED8" w:sz="4"/>
              <w:bottom w:val="single" w:color="1D4ED8" w:sz="4"/>
              <w:right w:val="single" w:color="1D4ED8" w:sz="4"/>
            </w:tcBorders>
            <w:shd w:fill="DBEAFE" w:val="clear"/>
            <w:tcMar>
              <w:top w:type="dxa" w:w="140"/>
              <w:left w:type="dxa" w:w="200"/>
              <w:bottom w:type="dxa" w:w="140"/>
              <w:right w:type="dxa" w:w="200"/>
            </w:tcMar>
          </w:tcPr>
          <w:p>
            <w:pPr>
              <w:jc w:val="center"/>
            </w:pPr>
            <w:r>
              <w:rPr>
                <w:rFonts w:ascii="Arial" w:cs="Arial" w:eastAsia="Arial" w:hAnsi="Arial"/>
                <w:b/>
                <w:bCs/>
                <w:color w:val="1D4ED8"/>
                <w:sz w:val="30"/>
                <w:szCs w:val="30"/>
              </w:rPr>
              <w:t xml:space="preserve">LOW-INCOME SEGMENT</w:t>
            </w:r>
          </w:p>
          <w:p>
            <w:pPr>
              <w:jc w:val="center"/>
            </w:pPr>
            <w:r>
              <w:rPr>
                <w:rFonts w:ascii="Arial" w:cs="Arial" w:eastAsia="Arial" w:hAnsi="Arial"/>
                <w:color w:val="666666"/>
                <w:sz w:val="18"/>
                <w:szCs w:val="18"/>
              </w:rPr>
              <w:t xml:space="preserve">Wells Fargo CSBB — Customer Solutions Report</w:t>
            </w:r>
          </w:p>
        </w:tc>
      </w:tr>
    </w:tbl>
    <w:p>
      <w:pPr>
        <w:spacing w:after="60" w:before="60"/>
      </w:pPr>
      <w:r>
        <w:t xml:space="preserve"/>
      </w:r>
    </w:p>
    <w:p>
      <w:pPr>
        <w:pBdr>
          <w:bottom w:val="single" w:color="1D4ED8" w:sz="3" w:space="3"/>
        </w:pBdr>
        <w:spacing w:after="80" w:before="160"/>
      </w:pPr>
      <w:r>
        <w:rPr>
          <w:rFonts w:ascii="Arial" w:cs="Arial" w:eastAsia="Arial" w:hAnsi="Arial"/>
          <w:b/>
          <w:bCs/>
          <w:color w:val="1D4ED8"/>
          <w:sz w:val="20"/>
          <w:szCs w:val="20"/>
        </w:rPr>
        <w:t xml:space="preserve">1. KEY FINANCIAL TRENDS</w:t>
      </w:r>
    </w:p>
    <w:p>
      <w:pPr>
        <w:spacing w:after="80" w:before="80"/>
        <w:jc w:val="both"/>
      </w:pPr>
      <w:r>
        <w:rPr>
          <w:rFonts w:ascii="Arial" w:cs="Arial" w:eastAsia="Arial" w:hAnsi="Arial"/>
          <w:sz w:val="20"/>
          <w:szCs w:val="20"/>
        </w:rPr>
        <w:t xml:space="preserve">Low-income individuals with limited savings capacity, high reliance on branch banking, and minimal engagement with digital financial tools. Average balances: $250 (checking), $500 (savings).</w:t>
      </w:r>
    </w:p>
    <w:p>
      <w:pPr>
        <w:pStyle w:val="ListParagraph"/>
        <w:numPr>
          <w:ilvl w:val="0"/>
          <w:numId w:val="2"/>
        </w:numPr>
        <w:spacing w:after="40" w:before="40"/>
      </w:pPr>
      <w:r>
        <w:rPr>
          <w:rFonts w:ascii="Arial" w:cs="Arial" w:eastAsia="Arial" w:hAnsi="Arial"/>
          <w:sz w:val="20"/>
          <w:szCs w:val="20"/>
        </w:rPr>
        <w:t xml:space="preserve">Mobile Banking: Low engagement — primarily ATM withdrawals and branch visits</w:t>
      </w:r>
    </w:p>
    <w:p>
      <w:pPr>
        <w:pStyle w:val="ListParagraph"/>
        <w:numPr>
          <w:ilvl w:val="0"/>
          <w:numId w:val="2"/>
        </w:numPr>
        <w:spacing w:after="40" w:before="40"/>
      </w:pPr>
      <w:r>
        <w:rPr>
          <w:rFonts w:ascii="Arial" w:cs="Arial" w:eastAsia="Arial" w:hAnsi="Arial"/>
          <w:sz w:val="20"/>
          <w:szCs w:val="20"/>
        </w:rPr>
        <w:t xml:space="preserve">Savings Activity: Low and irregular contributions</w:t>
      </w:r>
    </w:p>
    <w:p>
      <w:pPr>
        <w:pStyle w:val="ListParagraph"/>
        <w:numPr>
          <w:ilvl w:val="0"/>
          <w:numId w:val="2"/>
        </w:numPr>
        <w:spacing w:after="40" w:before="40"/>
      </w:pPr>
      <w:r>
        <w:rPr>
          <w:rFonts w:ascii="Arial" w:cs="Arial" w:eastAsia="Arial" w:hAnsi="Arial"/>
          <w:sz w:val="20"/>
          <w:szCs w:val="20"/>
        </w:rPr>
        <w:t xml:space="preserve">Top Spending: Rent, utilities, groceries, transportation</w:t>
      </w:r>
    </w:p>
    <w:p>
      <w:pPr>
        <w:pStyle w:val="ListParagraph"/>
        <w:numPr>
          <w:ilvl w:val="0"/>
          <w:numId w:val="2"/>
        </w:numPr>
        <w:spacing w:after="40" w:before="40"/>
      </w:pPr>
      <w:r>
        <w:rPr>
          <w:rFonts w:ascii="Arial" w:cs="Arial" w:eastAsia="Arial" w:hAnsi="Arial"/>
          <w:sz w:val="20"/>
          <w:szCs w:val="20"/>
        </w:rPr>
        <w:t xml:space="preserve">Digital Services: Infrequent; predominantly cash and check payments</w:t>
      </w:r>
    </w:p>
    <w:p>
      <w:pPr>
        <w:pStyle w:val="ListParagraph"/>
        <w:numPr>
          <w:ilvl w:val="0"/>
          <w:numId w:val="2"/>
        </w:numPr>
        <w:spacing w:after="40" w:before="40"/>
      </w:pPr>
      <w:r>
        <w:rPr>
          <w:rFonts w:ascii="Arial" w:cs="Arial" w:eastAsia="Arial" w:hAnsi="Arial"/>
          <w:sz w:val="20"/>
          <w:szCs w:val="20"/>
        </w:rPr>
        <w:t xml:space="preserve">Additional WF Products: None currently held</w:t>
      </w:r>
    </w:p>
    <w:p>
      <w:pPr>
        <w:spacing w:after="60" w:before="60"/>
      </w:pPr>
      <w:r>
        <w:t xml:space="preserve"/>
      </w:r>
    </w:p>
    <w:p>
      <w:pPr>
        <w:pBdr>
          <w:bottom w:val="single" w:color="1D4ED8" w:sz="3" w:space="3"/>
        </w:pBdr>
        <w:spacing w:after="80" w:before="160"/>
      </w:pPr>
      <w:r>
        <w:rPr>
          <w:rFonts w:ascii="Arial" w:cs="Arial" w:eastAsia="Arial" w:hAnsi="Arial"/>
          <w:b/>
          <w:bCs/>
          <w:color w:val="1D4ED8"/>
          <w:sz w:val="20"/>
          <w:szCs w:val="20"/>
        </w:rPr>
        <w:t xml:space="preserve">2. PRIMARY NEEDS &amp; CHALLENGES</w:t>
      </w:r>
    </w:p>
    <w:p>
      <w:pPr>
        <w:pStyle w:val="ListParagraph"/>
        <w:numPr>
          <w:ilvl w:val="0"/>
          <w:numId w:val="2"/>
        </w:numPr>
        <w:spacing w:after="40" w:before="40"/>
      </w:pPr>
      <w:r>
        <w:rPr>
          <w:rFonts w:ascii="Arial" w:cs="Arial" w:eastAsia="Arial" w:hAnsi="Arial"/>
          <w:sz w:val="20"/>
          <w:szCs w:val="20"/>
        </w:rPr>
        <w:t xml:space="preserve">Budgeting support and structured financial guidance</w:t>
      </w:r>
    </w:p>
    <w:p>
      <w:pPr>
        <w:pStyle w:val="ListParagraph"/>
        <w:numPr>
          <w:ilvl w:val="0"/>
          <w:numId w:val="2"/>
        </w:numPr>
        <w:spacing w:after="40" w:before="40"/>
      </w:pPr>
      <w:r>
        <w:rPr>
          <w:rFonts w:ascii="Arial" w:cs="Arial" w:eastAsia="Arial" w:hAnsi="Arial"/>
          <w:sz w:val="20"/>
          <w:szCs w:val="20"/>
        </w:rPr>
        <w:t xml:space="preserve">Financial education to build long-term banking confidence</w:t>
      </w:r>
    </w:p>
    <w:p>
      <w:pPr>
        <w:pStyle w:val="ListParagraph"/>
        <w:numPr>
          <w:ilvl w:val="0"/>
          <w:numId w:val="2"/>
        </w:numPr>
        <w:spacing w:after="40" w:before="40"/>
      </w:pPr>
      <w:r>
        <w:rPr>
          <w:rFonts w:ascii="Arial" w:cs="Arial" w:eastAsia="Arial" w:hAnsi="Arial"/>
          <w:sz w:val="20"/>
          <w:szCs w:val="20"/>
        </w:rPr>
        <w:t xml:space="preserve">Accessible, low-barrier digital tools to reduce branch dependency</w:t>
      </w:r>
    </w:p>
    <w:p>
      <w:pPr>
        <w:pStyle w:val="ListParagraph"/>
        <w:numPr>
          <w:ilvl w:val="0"/>
          <w:numId w:val="2"/>
        </w:numPr>
        <w:spacing w:after="40" w:before="40"/>
      </w:pPr>
      <w:r>
        <w:rPr>
          <w:rFonts w:ascii="Arial" w:cs="Arial" w:eastAsia="Arial" w:hAnsi="Arial"/>
          <w:sz w:val="20"/>
          <w:szCs w:val="20"/>
        </w:rPr>
        <w:t xml:space="preserve">Pain Point: Structural barriers to savings accumulation — cost of living absorbs most income</w:t>
      </w:r>
    </w:p>
    <w:p>
      <w:pPr>
        <w:spacing w:after="60" w:before="60"/>
      </w:pPr>
      <w:r>
        <w:t xml:space="preserve"/>
      </w:r>
    </w:p>
    <w:p>
      <w:pPr>
        <w:pBdr>
          <w:bottom w:val="single" w:color="1D4ED8" w:sz="3" w:space="3"/>
        </w:pBdr>
        <w:spacing w:after="80" w:before="160"/>
      </w:pPr>
      <w:r>
        <w:rPr>
          <w:rFonts w:ascii="Arial" w:cs="Arial" w:eastAsia="Arial" w:hAnsi="Arial"/>
          <w:b/>
          <w:bCs/>
          <w:color w:val="1D4ED8"/>
          <w:sz w:val="20"/>
          <w:szCs w:val="20"/>
        </w:rPr>
        <w:t xml:space="preserve">3. RECOMMENDED SOLUTIONS</w:t>
      </w:r>
    </w:p>
    <w:p>
      <w:pPr>
        <w:spacing w:after="40" w:before="100"/>
      </w:pPr>
      <w:r>
        <w:rPr>
          <w:rFonts w:ascii="Arial" w:cs="Arial" w:eastAsia="Arial" w:hAnsi="Arial"/>
          <w:b/>
          <w:bCs/>
          <w:color w:val="1D4ED8"/>
          <w:sz w:val="21"/>
          <w:szCs w:val="21"/>
        </w:rPr>
        <w:t xml:space="preserve">Budgeting Tools &amp; Educational Resources</w:t>
      </w:r>
    </w:p>
    <w:p>
      <w:pPr>
        <w:spacing w:after="80" w:before="80"/>
        <w:jc w:val="both"/>
      </w:pPr>
      <w:r>
        <w:rPr>
          <w:rFonts w:ascii="Arial" w:cs="Arial" w:eastAsia="Arial" w:hAnsi="Arial"/>
          <w:sz w:val="20"/>
          <w:szCs w:val="20"/>
        </w:rPr>
        <w:t xml:space="preserve">Wells Fargo's Spending Report and Budget Report tools provide real-time visibility into spending patterns and allow customers to set personalized savings goals. Combined with Financial Education Programs (online modules on saving, debt management, and basic investing), these tools directly address this segment's request for budgeting guidance without requiring additional product commitments.</w:t>
      </w:r>
    </w:p>
    <w:p>
      <w:pPr>
        <w:spacing w:after="40" w:before="100"/>
      </w:pPr>
      <w:r>
        <w:rPr>
          <w:rFonts w:ascii="Arial" w:cs="Arial" w:eastAsia="Arial" w:hAnsi="Arial"/>
          <w:b/>
          <w:bCs/>
          <w:color w:val="1D4ED8"/>
          <w:sz w:val="21"/>
          <w:szCs w:val="21"/>
        </w:rPr>
        <w:t xml:space="preserve">Mobile Banking</w:t>
      </w:r>
    </w:p>
    <w:p>
      <w:pPr>
        <w:spacing w:after="80" w:before="80"/>
        <w:jc w:val="both"/>
      </w:pPr>
      <w:r>
        <w:rPr>
          <w:rFonts w:ascii="Arial" w:cs="Arial" w:eastAsia="Arial" w:hAnsi="Arial"/>
          <w:sz w:val="20"/>
          <w:szCs w:val="20"/>
        </w:rPr>
        <w:t xml:space="preserve">Transitioning this segment from branch-first to mobile-first banking reduces operational costs for Wells Fargo while dramatically improving convenience for customers. Mobile check deposits, bill pay, and balance monitoring are available at zero additional cost — lowering the practical barriers that currently prevent digital adoption.</w:t>
      </w:r>
    </w:p>
    <w:p>
      <w:pPr>
        <w:spacing w:after="60" w:before="60"/>
      </w:pPr>
      <w:r>
        <w:t xml:space="preserve"/>
      </w:r>
    </w:p>
    <w:p>
      <w:pPr>
        <w:pBdr>
          <w:bottom w:val="single" w:color="1D4ED8" w:sz="3" w:space="3"/>
        </w:pBdr>
        <w:spacing w:after="80" w:before="160"/>
      </w:pPr>
      <w:r>
        <w:rPr>
          <w:rFonts w:ascii="Arial" w:cs="Arial" w:eastAsia="Arial" w:hAnsi="Arial"/>
          <w:b/>
          <w:bCs/>
          <w:color w:val="1D4ED8"/>
          <w:sz w:val="20"/>
          <w:szCs w:val="20"/>
        </w:rPr>
        <w:t xml:space="preserve">4. IMPACT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D4ED8" w:val="clear"/>
            <w:tcMar>
              <w:top w:type="dxa" w:w="80"/>
              <w:left w:type="dxa" w:w="120"/>
              <w:bottom w:type="dxa" w:w="80"/>
              <w:right w:type="dxa" w:w="120"/>
            </w:tcMar>
          </w:tcPr>
          <w:p>
            <w:r>
              <w:rPr>
                <w:rFonts w:ascii="Arial" w:cs="Arial" w:eastAsia="Arial" w:hAnsi="Arial"/>
                <w:b/>
                <w:bCs/>
                <w:color w:val="FFFFFF"/>
                <w:sz w:val="19"/>
                <w:szCs w:val="19"/>
              </w:rPr>
              <w:t xml:space="preserve">Short-Term</w:t>
            </w:r>
          </w:p>
        </w:tc>
        <w:tc>
          <w:tcPr>
            <w:tcW w:type="dxa" w:w="67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19"/>
                <w:szCs w:val="19"/>
              </w:rPr>
              <w:t xml:space="preserve">Reduced financial stress through budget visibility; fewer branch visits; initial mobile app adoption.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D4ED8" w:val="clear"/>
            <w:tcMar>
              <w:top w:type="dxa" w:w="80"/>
              <w:left w:type="dxa" w:w="120"/>
              <w:bottom w:type="dxa" w:w="80"/>
              <w:right w:type="dxa" w:w="120"/>
            </w:tcMar>
          </w:tcPr>
          <w:p>
            <w:r>
              <w:rPr>
                <w:rFonts w:ascii="Arial" w:cs="Arial" w:eastAsia="Arial" w:hAnsi="Arial"/>
                <w:b/>
                <w:bCs/>
                <w:color w:val="FFFFFF"/>
                <w:sz w:val="19"/>
                <w:szCs w:val="19"/>
              </w:rPr>
              <w:t xml:space="preserve">Long-Term</w:t>
            </w:r>
          </w:p>
        </w:tc>
        <w:tc>
          <w:tcPr>
            <w:tcW w:type="dxa" w:w="67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19"/>
                <w:szCs w:val="19"/>
              </w:rPr>
              <w:t xml:space="preserve">Progressive savings habit formation enabling upward mobility toward standard savings and checking products.</w:t>
            </w:r>
          </w:p>
        </w:tc>
      </w:tr>
    </w:tbl>
    <w:p>
      <w:pPr>
        <w:spacing w:after="60" w:before="60"/>
      </w:pPr>
      <w:r>
        <w:t xml:space="preserve"/>
      </w:r>
    </w:p>
    <w:p>
      <w:pPr>
        <w:pBdr>
          <w:bottom w:val="single" w:color="1D4ED8" w:sz="3" w:space="3"/>
        </w:pBdr>
        <w:spacing w:after="80" w:before="160"/>
      </w:pPr>
      <w:r>
        <w:rPr>
          <w:rFonts w:ascii="Arial" w:cs="Arial" w:eastAsia="Arial" w:hAnsi="Arial"/>
          <w:b/>
          <w:bCs/>
          <w:color w:val="1D4ED8"/>
          <w:sz w:val="20"/>
          <w:szCs w:val="20"/>
        </w:rPr>
        <w:t xml:space="preserve">5. BUSINESS IMPACT FOR WELLS FARGO</w:t>
      </w:r>
    </w:p>
    <w:p>
      <w:pPr>
        <w:spacing w:after="80" w:before="80"/>
        <w:jc w:val="both"/>
      </w:pPr>
      <w:r>
        <w:rPr>
          <w:rFonts w:ascii="Arial" w:cs="Arial" w:eastAsia="Arial" w:hAnsi="Arial"/>
          <w:sz w:val="20"/>
          <w:szCs w:val="20"/>
        </w:rPr>
        <w:t xml:space="preserve">Investing in this segment's financial literacy creates long-term loyalty. Customers who develop banking confidence with Wells Fargo are statistically more likely to consolidate all financial activity with the same institution as their income grows — expanding lifetime customer value.</w:t>
      </w:r>
    </w:p>
    <w:p>
      <w:pPr>
        <w:spacing w:after="60" w:before="60"/>
      </w:pPr>
      <w:r>
        <w:t xml:space="preserve"/>
      </w:r>
    </w:p>
    <w:p>
      <w:pPr>
        <w:pBdr>
          <w:bottom w:val="single" w:color="1D4ED8" w:sz="3" w:space="3"/>
        </w:pBdr>
        <w:spacing w:after="80" w:before="160"/>
      </w:pPr>
      <w:r>
        <w:rPr>
          <w:rFonts w:ascii="Arial" w:cs="Arial" w:eastAsia="Arial" w:hAnsi="Arial"/>
          <w:b/>
          <w:bCs/>
          <w:color w:val="1D4ED8"/>
          <w:sz w:val="20"/>
          <w:szCs w:val="20"/>
        </w:rPr>
        <w:t xml:space="preserve">6. KPIS &amp; STRATEGIC ENHANCEMENT</w:t>
      </w:r>
    </w:p>
    <w:p>
      <w:pPr>
        <w:pStyle w:val="ListParagraph"/>
        <w:numPr>
          <w:ilvl w:val="0"/>
          <w:numId w:val="2"/>
        </w:numPr>
        <w:spacing w:after="40" w:before="40"/>
      </w:pPr>
      <w:r>
        <w:rPr>
          <w:rFonts w:ascii="Arial" w:cs="Arial" w:eastAsia="Arial" w:hAnsi="Arial"/>
          <w:sz w:val="20"/>
          <w:szCs w:val="20"/>
        </w:rPr>
        <w:t xml:space="preserve">Mobile app adoption rate (target: +40% within 12 months)</w:t>
      </w:r>
    </w:p>
    <w:p>
      <w:pPr>
        <w:pStyle w:val="ListParagraph"/>
        <w:numPr>
          <w:ilvl w:val="0"/>
          <w:numId w:val="2"/>
        </w:numPr>
        <w:spacing w:after="40" w:before="40"/>
      </w:pPr>
      <w:r>
        <w:rPr>
          <w:rFonts w:ascii="Arial" w:cs="Arial" w:eastAsia="Arial" w:hAnsi="Arial"/>
          <w:sz w:val="20"/>
          <w:szCs w:val="20"/>
        </w:rPr>
        <w:t xml:space="preserve">Average monthly savings increase per account</w:t>
      </w:r>
    </w:p>
    <w:p>
      <w:pPr>
        <w:pStyle w:val="ListParagraph"/>
        <w:numPr>
          <w:ilvl w:val="0"/>
          <w:numId w:val="2"/>
        </w:numPr>
        <w:spacing w:after="40" w:before="40"/>
      </w:pPr>
      <w:r>
        <w:rPr>
          <w:rFonts w:ascii="Arial" w:cs="Arial" w:eastAsia="Arial" w:hAnsi="Arial"/>
          <w:sz w:val="20"/>
          <w:szCs w:val="20"/>
        </w:rPr>
        <w:t xml:space="preserve">Financial wellness module completion rate</w:t>
      </w:r>
    </w:p>
    <w:p>
      <w:pPr>
        <w:pStyle w:val="ListParagraph"/>
        <w:numPr>
          <w:ilvl w:val="0"/>
          <w:numId w:val="2"/>
        </w:numPr>
        <w:spacing w:after="40" w:before="40"/>
      </w:pPr>
      <w:r>
        <w:rPr>
          <w:rFonts w:ascii="Arial" w:cs="Arial" w:eastAsia="Arial" w:hAnsi="Arial"/>
          <w:sz w:val="20"/>
          <w:szCs w:val="20"/>
        </w:rPr>
        <w:t xml:space="preserve">Branch visit frequency reduction</w:t>
      </w:r>
    </w:p>
    <w:p>
      <w:pPr>
        <w:spacing w:after="60" w:before="60"/>
      </w:pPr>
      <w:r>
        <w:t xml:space="preserve"/>
      </w:r>
    </w:p>
    <w:p>
      <w:pPr>
        <w:spacing w:after="60" w:before="60"/>
      </w:pPr>
      <w:r>
        <w:rPr>
          <w:rFonts w:ascii="Arial" w:cs="Arial" w:eastAsia="Arial" w:hAnsi="Arial"/>
          <w:b/>
          <w:bCs/>
          <w:color w:val="1D4ED8"/>
          <w:sz w:val="20"/>
          <w:szCs w:val="20"/>
        </w:rPr>
        <w:t xml:space="preserve">Strategic Enhancement Opportunity: </w:t>
      </w:r>
      <w:r>
        <w:rPr>
          <w:rFonts w:ascii="Arial" w:cs="Arial" w:eastAsia="Arial" w:hAnsi="Arial"/>
          <w:sz w:val="20"/>
          <w:szCs w:val="20"/>
        </w:rPr>
        <w:t xml:space="preserve">Introduce a gamified savings micro-challenge within the mobile app — e.g., 'Save $5 this week' — to build behavioral momentum with minimal financial commitment.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4"/>
              <w:left w:val="single" w:color="166534" w:sz="4"/>
              <w:bottom w:val="single" w:color="166534" w:sz="4"/>
              <w:right w:val="single" w:color="166534" w:sz="4"/>
            </w:tcBorders>
            <w:shd w:fill="DCFCE7" w:val="clear"/>
            <w:tcMar>
              <w:top w:type="dxa" w:w="140"/>
              <w:left w:type="dxa" w:w="200"/>
              <w:bottom w:type="dxa" w:w="140"/>
              <w:right w:type="dxa" w:w="200"/>
            </w:tcMar>
          </w:tcPr>
          <w:p>
            <w:pPr>
              <w:jc w:val="center"/>
            </w:pPr>
            <w:r>
              <w:rPr>
                <w:rFonts w:ascii="Arial" w:cs="Arial" w:eastAsia="Arial" w:hAnsi="Arial"/>
                <w:b/>
                <w:bCs/>
                <w:color w:val="166534"/>
                <w:sz w:val="30"/>
                <w:szCs w:val="30"/>
              </w:rPr>
              <w:t xml:space="preserve">SMALL BUSINESS SEGMENT</w:t>
            </w:r>
          </w:p>
          <w:p>
            <w:pPr>
              <w:jc w:val="center"/>
            </w:pPr>
            <w:r>
              <w:rPr>
                <w:rFonts w:ascii="Arial" w:cs="Arial" w:eastAsia="Arial" w:hAnsi="Arial"/>
                <w:color w:val="666666"/>
                <w:sz w:val="18"/>
                <w:szCs w:val="18"/>
              </w:rPr>
              <w:t xml:space="preserve">Wells Fargo CSBB — Customer Solutions Report</w:t>
            </w:r>
          </w:p>
        </w:tc>
      </w:tr>
    </w:tbl>
    <w:p>
      <w:pPr>
        <w:spacing w:after="60" w:before="60"/>
      </w:pPr>
      <w:r>
        <w:t xml:space="preserve"/>
      </w:r>
    </w:p>
    <w:p>
      <w:pPr>
        <w:pBdr>
          <w:bottom w:val="single" w:color="166534" w:sz="3" w:space="3"/>
        </w:pBdr>
        <w:spacing w:after="80" w:before="160"/>
      </w:pPr>
      <w:r>
        <w:rPr>
          <w:rFonts w:ascii="Arial" w:cs="Arial" w:eastAsia="Arial" w:hAnsi="Arial"/>
          <w:b/>
          <w:bCs/>
          <w:color w:val="166534"/>
          <w:sz w:val="20"/>
          <w:szCs w:val="20"/>
        </w:rPr>
        <w:t xml:space="preserve">1. KEY FINANCIAL TRENDS</w:t>
      </w:r>
    </w:p>
    <w:p>
      <w:pPr>
        <w:spacing w:after="80" w:before="80"/>
        <w:jc w:val="both"/>
      </w:pPr>
      <w:r>
        <w:rPr>
          <w:rFonts w:ascii="Arial" w:cs="Arial" w:eastAsia="Arial" w:hAnsi="Arial"/>
          <w:sz w:val="20"/>
          <w:szCs w:val="20"/>
        </w:rPr>
        <w:t xml:space="preserve">Small business owners with high reliance on digital banking tools (Zelle, Bill Pay, ACH) but persistent cash flow irregularities and unresolved vendor payment challenges. Average balances: $35,000 (business checking), $10,000 (personal).</w:t>
      </w:r>
    </w:p>
    <w:p>
      <w:pPr>
        <w:pStyle w:val="ListParagraph"/>
        <w:numPr>
          <w:ilvl w:val="0"/>
          <w:numId w:val="2"/>
        </w:numPr>
        <w:spacing w:after="40" w:before="40"/>
      </w:pPr>
      <w:r>
        <w:rPr>
          <w:rFonts w:ascii="Arial" w:cs="Arial" w:eastAsia="Arial" w:hAnsi="Arial"/>
          <w:sz w:val="20"/>
          <w:szCs w:val="20"/>
        </w:rPr>
        <w:t xml:space="preserve">Mobile Banking: High engagement — balance checks, Zelle, Bill Pay, transfers</w:t>
      </w:r>
    </w:p>
    <w:p>
      <w:pPr>
        <w:pStyle w:val="ListParagraph"/>
        <w:numPr>
          <w:ilvl w:val="0"/>
          <w:numId w:val="2"/>
        </w:numPr>
        <w:spacing w:after="40" w:before="40"/>
      </w:pPr>
      <w:r>
        <w:rPr>
          <w:rFonts w:ascii="Arial" w:cs="Arial" w:eastAsia="Arial" w:hAnsi="Arial"/>
          <w:sz w:val="20"/>
          <w:szCs w:val="20"/>
        </w:rPr>
        <w:t xml:space="preserve">Savings Activity: Occasional contributions to personal savings</w:t>
      </w:r>
    </w:p>
    <w:p>
      <w:pPr>
        <w:pStyle w:val="ListParagraph"/>
        <w:numPr>
          <w:ilvl w:val="0"/>
          <w:numId w:val="2"/>
        </w:numPr>
        <w:spacing w:after="40" w:before="40"/>
      </w:pPr>
      <w:r>
        <w:rPr>
          <w:rFonts w:ascii="Arial" w:cs="Arial" w:eastAsia="Arial" w:hAnsi="Arial"/>
          <w:sz w:val="20"/>
          <w:szCs w:val="20"/>
        </w:rPr>
        <w:t xml:space="preserve">Top Spending: Payroll, vendor payments, operational expenses</w:t>
      </w:r>
    </w:p>
    <w:p>
      <w:pPr>
        <w:pStyle w:val="ListParagraph"/>
        <w:numPr>
          <w:ilvl w:val="0"/>
          <w:numId w:val="2"/>
        </w:numPr>
        <w:spacing w:after="40" w:before="40"/>
      </w:pPr>
      <w:r>
        <w:rPr>
          <w:rFonts w:ascii="Arial" w:cs="Arial" w:eastAsia="Arial" w:hAnsi="Arial"/>
          <w:sz w:val="20"/>
          <w:szCs w:val="20"/>
        </w:rPr>
        <w:t xml:space="preserve">Digital Services: Mobile check deposits, ACH transfers, online banking</w:t>
      </w:r>
    </w:p>
    <w:p>
      <w:pPr>
        <w:pStyle w:val="ListParagraph"/>
        <w:numPr>
          <w:ilvl w:val="0"/>
          <w:numId w:val="2"/>
        </w:numPr>
        <w:spacing w:after="40" w:before="40"/>
      </w:pPr>
      <w:r>
        <w:rPr>
          <w:rFonts w:ascii="Arial" w:cs="Arial" w:eastAsia="Arial" w:hAnsi="Arial"/>
          <w:sz w:val="20"/>
          <w:szCs w:val="20"/>
        </w:rPr>
        <w:t xml:space="preserve">Channel: Mix of digital and in-branch for large deposits</w:t>
      </w:r>
    </w:p>
    <w:p>
      <w:pPr>
        <w:pStyle w:val="ListParagraph"/>
        <w:numPr>
          <w:ilvl w:val="0"/>
          <w:numId w:val="2"/>
        </w:numPr>
        <w:spacing w:after="40" w:before="40"/>
      </w:pPr>
      <w:r>
        <w:rPr>
          <w:rFonts w:ascii="Arial" w:cs="Arial" w:eastAsia="Arial" w:hAnsi="Arial"/>
          <w:sz w:val="20"/>
          <w:szCs w:val="20"/>
        </w:rPr>
        <w:t xml:space="preserve">Products held: Business Checking, Personal Checking &amp; Savings, Business Credit Card</w:t>
      </w:r>
    </w:p>
    <w:p>
      <w:pPr>
        <w:spacing w:after="60" w:before="60"/>
      </w:pPr>
      <w:r>
        <w:t xml:space="preserve"/>
      </w:r>
    </w:p>
    <w:p>
      <w:pPr>
        <w:pBdr>
          <w:bottom w:val="single" w:color="166534" w:sz="3" w:space="3"/>
        </w:pBdr>
        <w:spacing w:after="80" w:before="160"/>
      </w:pPr>
      <w:r>
        <w:rPr>
          <w:rFonts w:ascii="Arial" w:cs="Arial" w:eastAsia="Arial" w:hAnsi="Arial"/>
          <w:b/>
          <w:bCs/>
          <w:color w:val="166534"/>
          <w:sz w:val="20"/>
          <w:szCs w:val="20"/>
        </w:rPr>
        <w:t xml:space="preserve">2. PRIMARY NEEDS &amp; CHALLENGES</w:t>
      </w:r>
    </w:p>
    <w:p>
      <w:pPr>
        <w:pStyle w:val="ListParagraph"/>
        <w:numPr>
          <w:ilvl w:val="0"/>
          <w:numId w:val="2"/>
        </w:numPr>
        <w:spacing w:after="40" w:before="40"/>
      </w:pPr>
      <w:r>
        <w:rPr>
          <w:rFonts w:ascii="Arial" w:cs="Arial" w:eastAsia="Arial" w:hAnsi="Arial"/>
          <w:sz w:val="20"/>
          <w:szCs w:val="20"/>
        </w:rPr>
        <w:t xml:space="preserve">Flexible credit access to bridge cash flow gaps during low-revenue periods</w:t>
      </w:r>
    </w:p>
    <w:p>
      <w:pPr>
        <w:pStyle w:val="ListParagraph"/>
        <w:numPr>
          <w:ilvl w:val="0"/>
          <w:numId w:val="2"/>
        </w:numPr>
        <w:spacing w:after="40" w:before="40"/>
      </w:pPr>
      <w:r>
        <w:rPr>
          <w:rFonts w:ascii="Arial" w:cs="Arial" w:eastAsia="Arial" w:hAnsi="Arial"/>
          <w:sz w:val="20"/>
          <w:szCs w:val="20"/>
        </w:rPr>
        <w:t xml:space="preserve">Streamlined vendor payment infrastructure</w:t>
      </w:r>
    </w:p>
    <w:p>
      <w:pPr>
        <w:pStyle w:val="ListParagraph"/>
        <w:numPr>
          <w:ilvl w:val="0"/>
          <w:numId w:val="2"/>
        </w:numPr>
        <w:spacing w:after="40" w:before="40"/>
      </w:pPr>
      <w:r>
        <w:rPr>
          <w:rFonts w:ascii="Arial" w:cs="Arial" w:eastAsia="Arial" w:hAnsi="Arial"/>
          <w:sz w:val="20"/>
          <w:szCs w:val="20"/>
        </w:rPr>
        <w:t xml:space="preserve">Treasury management tools for growing operational complexity</w:t>
      </w:r>
    </w:p>
    <w:p>
      <w:pPr>
        <w:pStyle w:val="ListParagraph"/>
        <w:numPr>
          <w:ilvl w:val="0"/>
          <w:numId w:val="2"/>
        </w:numPr>
        <w:spacing w:after="40" w:before="40"/>
      </w:pPr>
      <w:r>
        <w:rPr>
          <w:rFonts w:ascii="Arial" w:cs="Arial" w:eastAsia="Arial" w:hAnsi="Arial"/>
          <w:sz w:val="20"/>
          <w:szCs w:val="20"/>
        </w:rPr>
        <w:t xml:space="preserve">Pain Point: 67% do not hold a dedicated business credit line despite recurring seasonal cash flow gaps</w:t>
      </w:r>
    </w:p>
    <w:p>
      <w:pPr>
        <w:spacing w:after="60" w:before="60"/>
      </w:pPr>
      <w:r>
        <w:t xml:space="preserve"/>
      </w:r>
    </w:p>
    <w:p>
      <w:pPr>
        <w:pBdr>
          <w:bottom w:val="single" w:color="166534" w:sz="3" w:space="3"/>
        </w:pBdr>
        <w:spacing w:after="80" w:before="160"/>
      </w:pPr>
      <w:r>
        <w:rPr>
          <w:rFonts w:ascii="Arial" w:cs="Arial" w:eastAsia="Arial" w:hAnsi="Arial"/>
          <w:b/>
          <w:bCs/>
          <w:color w:val="166534"/>
          <w:sz w:val="20"/>
          <w:szCs w:val="20"/>
        </w:rPr>
        <w:t xml:space="preserve">3. RECOMMENDED SOLUTIONS</w:t>
      </w:r>
    </w:p>
    <w:p>
      <w:pPr>
        <w:spacing w:after="40" w:before="100"/>
      </w:pPr>
      <w:r>
        <w:rPr>
          <w:rFonts w:ascii="Arial" w:cs="Arial" w:eastAsia="Arial" w:hAnsi="Arial"/>
          <w:b/>
          <w:bCs/>
          <w:color w:val="166534"/>
          <w:sz w:val="21"/>
          <w:szCs w:val="21"/>
        </w:rPr>
        <w:t xml:space="preserve">Business Line of Credit</w:t>
      </w:r>
    </w:p>
    <w:p>
      <w:pPr>
        <w:spacing w:after="80" w:before="80"/>
        <w:jc w:val="both"/>
      </w:pPr>
      <w:r>
        <w:rPr>
          <w:rFonts w:ascii="Arial" w:cs="Arial" w:eastAsia="Arial" w:hAnsi="Arial"/>
          <w:sz w:val="20"/>
          <w:szCs w:val="20"/>
        </w:rPr>
        <w:t xml:space="preserve">A revolving business line of credit provides on-demand liquidity without requiring a new loan application each cycle. Interest is charged only on utilized amounts — making it a cost-efficient solution for seasonal cash flow gaps. This directly addresses the segment's primary operational challenge while supporting business continuity and vendor reliability.</w:t>
      </w:r>
    </w:p>
    <w:p>
      <w:pPr>
        <w:spacing w:after="40" w:before="100"/>
      </w:pPr>
      <w:r>
        <w:rPr>
          <w:rFonts w:ascii="Arial" w:cs="Arial" w:eastAsia="Arial" w:hAnsi="Arial"/>
          <w:b/>
          <w:bCs/>
          <w:color w:val="166534"/>
          <w:sz w:val="21"/>
          <w:szCs w:val="21"/>
        </w:rPr>
        <w:t xml:space="preserve">Merchant Services</w:t>
      </w:r>
    </w:p>
    <w:p>
      <w:pPr>
        <w:spacing w:after="80" w:before="80"/>
        <w:jc w:val="both"/>
      </w:pPr>
      <w:r>
        <w:rPr>
          <w:rFonts w:ascii="Arial" w:cs="Arial" w:eastAsia="Arial" w:hAnsi="Arial"/>
          <w:sz w:val="20"/>
          <w:szCs w:val="20"/>
        </w:rPr>
        <w:t xml:space="preserve">Integrated merchant services — including payment processing and POS systems — streamline vendor payments, reduce transaction fees, and consolidate payment workflows. For a segment that heavily uses Zelle and Bill Pay, a professional merchant infrastructure represents a natural upgrade that reduces manual treasury management overhead.</w:t>
      </w:r>
    </w:p>
    <w:p>
      <w:pPr>
        <w:spacing w:after="60" w:before="60"/>
      </w:pPr>
      <w:r>
        <w:t xml:space="preserve"/>
      </w:r>
    </w:p>
    <w:p>
      <w:pPr>
        <w:pBdr>
          <w:bottom w:val="single" w:color="166534" w:sz="3" w:space="3"/>
        </w:pBdr>
        <w:spacing w:after="80" w:before="160"/>
      </w:pPr>
      <w:r>
        <w:rPr>
          <w:rFonts w:ascii="Arial" w:cs="Arial" w:eastAsia="Arial" w:hAnsi="Arial"/>
          <w:b/>
          <w:bCs/>
          <w:color w:val="166534"/>
          <w:sz w:val="20"/>
          <w:szCs w:val="20"/>
        </w:rPr>
        <w:t xml:space="preserve">4. IMPACT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66534" w:val="clear"/>
            <w:tcMar>
              <w:top w:type="dxa" w:w="80"/>
              <w:left w:type="dxa" w:w="120"/>
              <w:bottom w:type="dxa" w:w="80"/>
              <w:right w:type="dxa" w:w="120"/>
            </w:tcMar>
          </w:tcPr>
          <w:p>
            <w:r>
              <w:rPr>
                <w:rFonts w:ascii="Arial" w:cs="Arial" w:eastAsia="Arial" w:hAnsi="Arial"/>
                <w:b/>
                <w:bCs/>
                <w:color w:val="FFFFFF"/>
                <w:sz w:val="19"/>
                <w:szCs w:val="19"/>
              </w:rPr>
              <w:t xml:space="preserve">Short-Term</w:t>
            </w:r>
          </w:p>
        </w:tc>
        <w:tc>
          <w:tcPr>
            <w:tcW w:type="dxa" w:w="67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19"/>
                <w:szCs w:val="19"/>
              </w:rPr>
              <w:t xml:space="preserve">Elimination of cash flow gaps; faster vendor payment processing; reduced manual treasury workload.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66534" w:val="clear"/>
            <w:tcMar>
              <w:top w:type="dxa" w:w="80"/>
              <w:left w:type="dxa" w:w="120"/>
              <w:bottom w:type="dxa" w:w="80"/>
              <w:right w:type="dxa" w:w="120"/>
            </w:tcMar>
          </w:tcPr>
          <w:p>
            <w:r>
              <w:rPr>
                <w:rFonts w:ascii="Arial" w:cs="Arial" w:eastAsia="Arial" w:hAnsi="Arial"/>
                <w:b/>
                <w:bCs/>
                <w:color w:val="FFFFFF"/>
                <w:sz w:val="19"/>
                <w:szCs w:val="19"/>
              </w:rPr>
              <w:t xml:space="preserve">Long-Term</w:t>
            </w:r>
          </w:p>
        </w:tc>
        <w:tc>
          <w:tcPr>
            <w:tcW w:type="dxa" w:w="67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19"/>
                <w:szCs w:val="19"/>
              </w:rPr>
              <w:t xml:space="preserve">Business growth enablement through reliable credit access; platform for expanding to SBA loans and premium business services.</w:t>
            </w:r>
          </w:p>
        </w:tc>
      </w:tr>
    </w:tbl>
    <w:p>
      <w:pPr>
        <w:spacing w:after="60" w:before="60"/>
      </w:pPr>
      <w:r>
        <w:t xml:space="preserve"/>
      </w:r>
    </w:p>
    <w:p>
      <w:pPr>
        <w:pBdr>
          <w:bottom w:val="single" w:color="166534" w:sz="3" w:space="3"/>
        </w:pBdr>
        <w:spacing w:after="80" w:before="160"/>
      </w:pPr>
      <w:r>
        <w:rPr>
          <w:rFonts w:ascii="Arial" w:cs="Arial" w:eastAsia="Arial" w:hAnsi="Arial"/>
          <w:b/>
          <w:bCs/>
          <w:color w:val="166534"/>
          <w:sz w:val="20"/>
          <w:szCs w:val="20"/>
        </w:rPr>
        <w:t xml:space="preserve">5. BUSINESS IMPACT FOR WELLS FARGO</w:t>
      </w:r>
    </w:p>
    <w:p>
      <w:pPr>
        <w:spacing w:after="80" w:before="80"/>
        <w:jc w:val="both"/>
      </w:pPr>
      <w:r>
        <w:rPr>
          <w:rFonts w:ascii="Arial" w:cs="Arial" w:eastAsia="Arial" w:hAnsi="Arial"/>
          <w:sz w:val="20"/>
          <w:szCs w:val="20"/>
        </w:rPr>
        <w:t xml:space="preserve">Small business clients represent the highest transaction volume segment. Converting unmet credit needs into active credit line relationships increases Wells Fargo's fee income while deepening customer dependency on the CSBB ecosystem.</w:t>
      </w:r>
    </w:p>
    <w:p>
      <w:pPr>
        <w:spacing w:after="60" w:before="60"/>
      </w:pPr>
      <w:r>
        <w:t xml:space="preserve"/>
      </w:r>
    </w:p>
    <w:p>
      <w:pPr>
        <w:pBdr>
          <w:bottom w:val="single" w:color="166534" w:sz="3" w:space="3"/>
        </w:pBdr>
        <w:spacing w:after="80" w:before="160"/>
      </w:pPr>
      <w:r>
        <w:rPr>
          <w:rFonts w:ascii="Arial" w:cs="Arial" w:eastAsia="Arial" w:hAnsi="Arial"/>
          <w:b/>
          <w:bCs/>
          <w:color w:val="166534"/>
          <w:sz w:val="20"/>
          <w:szCs w:val="20"/>
        </w:rPr>
        <w:t xml:space="preserve">6. KPIS &amp; STRATEGIC ENHANCEMENT</w:t>
      </w:r>
    </w:p>
    <w:p>
      <w:pPr>
        <w:pStyle w:val="ListParagraph"/>
        <w:numPr>
          <w:ilvl w:val="0"/>
          <w:numId w:val="2"/>
        </w:numPr>
        <w:spacing w:after="40" w:before="40"/>
      </w:pPr>
      <w:r>
        <w:rPr>
          <w:rFonts w:ascii="Arial" w:cs="Arial" w:eastAsia="Arial" w:hAnsi="Arial"/>
          <w:sz w:val="20"/>
          <w:szCs w:val="20"/>
        </w:rPr>
        <w:t xml:space="preserve">Credit line utilization rate</w:t>
      </w:r>
    </w:p>
    <w:p>
      <w:pPr>
        <w:pStyle w:val="ListParagraph"/>
        <w:numPr>
          <w:ilvl w:val="0"/>
          <w:numId w:val="2"/>
        </w:numPr>
        <w:spacing w:after="40" w:before="40"/>
      </w:pPr>
      <w:r>
        <w:rPr>
          <w:rFonts w:ascii="Arial" w:cs="Arial" w:eastAsia="Arial" w:hAnsi="Arial"/>
          <w:sz w:val="20"/>
          <w:szCs w:val="20"/>
        </w:rPr>
        <w:t xml:space="preserve">Vendor payment processing time reduction</w:t>
      </w:r>
    </w:p>
    <w:p>
      <w:pPr>
        <w:pStyle w:val="ListParagraph"/>
        <w:numPr>
          <w:ilvl w:val="0"/>
          <w:numId w:val="2"/>
        </w:numPr>
        <w:spacing w:after="40" w:before="40"/>
      </w:pPr>
      <w:r>
        <w:rPr>
          <w:rFonts w:ascii="Arial" w:cs="Arial" w:eastAsia="Arial" w:hAnsi="Arial"/>
          <w:sz w:val="20"/>
          <w:szCs w:val="20"/>
        </w:rPr>
        <w:t xml:space="preserve">Business checking account retention rate</w:t>
      </w:r>
    </w:p>
    <w:p>
      <w:pPr>
        <w:pStyle w:val="ListParagraph"/>
        <w:numPr>
          <w:ilvl w:val="0"/>
          <w:numId w:val="2"/>
        </w:numPr>
        <w:spacing w:after="40" w:before="40"/>
      </w:pPr>
      <w:r>
        <w:rPr>
          <w:rFonts w:ascii="Arial" w:cs="Arial" w:eastAsia="Arial" w:hAnsi="Arial"/>
          <w:sz w:val="20"/>
          <w:szCs w:val="20"/>
        </w:rPr>
        <w:t xml:space="preserve">Cross-sell rate: merchant services to existing business checking holders</w:t>
      </w:r>
    </w:p>
    <w:p>
      <w:pPr>
        <w:spacing w:after="60" w:before="60"/>
      </w:pPr>
      <w:r>
        <w:t xml:space="preserve"/>
      </w:r>
    </w:p>
    <w:p>
      <w:pPr>
        <w:spacing w:after="60" w:before="60"/>
      </w:pPr>
      <w:r>
        <w:rPr>
          <w:rFonts w:ascii="Arial" w:cs="Arial" w:eastAsia="Arial" w:hAnsi="Arial"/>
          <w:b/>
          <w:bCs/>
          <w:color w:val="166534"/>
          <w:sz w:val="20"/>
          <w:szCs w:val="20"/>
        </w:rPr>
        <w:t xml:space="preserve">Strategic Enhancement Opportunity: </w:t>
      </w:r>
      <w:r>
        <w:rPr>
          <w:rFonts w:ascii="Arial" w:cs="Arial" w:eastAsia="Arial" w:hAnsi="Arial"/>
          <w:sz w:val="20"/>
          <w:szCs w:val="20"/>
        </w:rPr>
        <w:t xml:space="preserve">Deploy a dedicated Small Business Relationship Manager for accounts with monthly inflows above $20,000 — proactive advisory increases product adoption and long-term retention.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4"/>
              <w:left w:val="single" w:color="6D28D9" w:sz="4"/>
              <w:bottom w:val="single" w:color="6D28D9" w:sz="4"/>
              <w:right w:val="single" w:color="6D28D9" w:sz="4"/>
            </w:tcBorders>
            <w:shd w:fill="EDE9FE" w:val="clear"/>
            <w:tcMar>
              <w:top w:type="dxa" w:w="140"/>
              <w:left w:type="dxa" w:w="200"/>
              <w:bottom w:type="dxa" w:w="140"/>
              <w:right w:type="dxa" w:w="200"/>
            </w:tcMar>
          </w:tcPr>
          <w:p>
            <w:pPr>
              <w:jc w:val="center"/>
            </w:pPr>
            <w:r>
              <w:rPr>
                <w:rFonts w:ascii="Arial" w:cs="Arial" w:eastAsia="Arial" w:hAnsi="Arial"/>
                <w:b/>
                <w:bCs/>
                <w:color w:val="6D28D9"/>
                <w:sz w:val="30"/>
                <w:szCs w:val="30"/>
              </w:rPr>
              <w:t xml:space="preserve">MASS MARKET SEGMENT (SUBSET)</w:t>
            </w:r>
          </w:p>
          <w:p>
            <w:pPr>
              <w:jc w:val="center"/>
            </w:pPr>
            <w:r>
              <w:rPr>
                <w:rFonts w:ascii="Arial" w:cs="Arial" w:eastAsia="Arial" w:hAnsi="Arial"/>
                <w:color w:val="666666"/>
                <w:sz w:val="18"/>
                <w:szCs w:val="18"/>
              </w:rPr>
              <w:t xml:space="preserve">Wells Fargo CSBB — Customer Solutions Report</w:t>
            </w:r>
          </w:p>
        </w:tc>
      </w:tr>
    </w:tbl>
    <w:p>
      <w:pPr>
        <w:spacing w:after="60" w:before="60"/>
      </w:pPr>
      <w:r>
        <w:t xml:space="preserve"/>
      </w:r>
    </w:p>
    <w:p>
      <w:pPr>
        <w:pBdr>
          <w:bottom w:val="single" w:color="6D28D9" w:sz="3" w:space="3"/>
        </w:pBdr>
        <w:spacing w:after="80" w:before="160"/>
      </w:pPr>
      <w:r>
        <w:rPr>
          <w:rFonts w:ascii="Arial" w:cs="Arial" w:eastAsia="Arial" w:hAnsi="Arial"/>
          <w:b/>
          <w:bCs/>
          <w:color w:val="6D28D9"/>
          <w:sz w:val="20"/>
          <w:szCs w:val="20"/>
        </w:rPr>
        <w:t xml:space="preserve">1. KEY FINANCIAL TRENDS</w:t>
      </w:r>
    </w:p>
    <w:p>
      <w:pPr>
        <w:spacing w:after="80" w:before="80"/>
        <w:jc w:val="both"/>
      </w:pPr>
      <w:r>
        <w:rPr>
          <w:rFonts w:ascii="Arial" w:cs="Arial" w:eastAsia="Arial" w:hAnsi="Arial"/>
          <w:sz w:val="20"/>
          <w:szCs w:val="20"/>
        </w:rPr>
        <w:t xml:space="preserve">Mass market customers with moderate digital banking engagement, actively saving toward a home purchase while managing high-interest credit card debt. Average balances: $3,500 (checking), $15,000 (savings).</w:t>
      </w:r>
    </w:p>
    <w:p>
      <w:pPr>
        <w:pStyle w:val="ListParagraph"/>
        <w:numPr>
          <w:ilvl w:val="0"/>
          <w:numId w:val="2"/>
        </w:numPr>
        <w:spacing w:after="40" w:before="40"/>
      </w:pPr>
      <w:r>
        <w:rPr>
          <w:rFonts w:ascii="Arial" w:cs="Arial" w:eastAsia="Arial" w:hAnsi="Arial"/>
          <w:sz w:val="20"/>
          <w:szCs w:val="20"/>
        </w:rPr>
        <w:t xml:space="preserve">Mobile Banking: Moderate engagement — primarily balance checks</w:t>
      </w:r>
    </w:p>
    <w:p>
      <w:pPr>
        <w:pStyle w:val="ListParagraph"/>
        <w:numPr>
          <w:ilvl w:val="0"/>
          <w:numId w:val="2"/>
        </w:numPr>
        <w:spacing w:after="40" w:before="40"/>
      </w:pPr>
      <w:r>
        <w:rPr>
          <w:rFonts w:ascii="Arial" w:cs="Arial" w:eastAsia="Arial" w:hAnsi="Arial"/>
          <w:sz w:val="20"/>
          <w:szCs w:val="20"/>
        </w:rPr>
        <w:t xml:space="preserve">Savings Activity: Consistent contributions toward down payment goal</w:t>
      </w:r>
    </w:p>
    <w:p>
      <w:pPr>
        <w:pStyle w:val="ListParagraph"/>
        <w:numPr>
          <w:ilvl w:val="0"/>
          <w:numId w:val="2"/>
        </w:numPr>
        <w:spacing w:after="40" w:before="40"/>
      </w:pPr>
      <w:r>
        <w:rPr>
          <w:rFonts w:ascii="Arial" w:cs="Arial" w:eastAsia="Arial" w:hAnsi="Arial"/>
          <w:sz w:val="20"/>
          <w:szCs w:val="20"/>
        </w:rPr>
        <w:t xml:space="preserve">Top Spending: Rent, utilities, insurance, food and entertainment</w:t>
      </w:r>
    </w:p>
    <w:p>
      <w:pPr>
        <w:pStyle w:val="ListParagraph"/>
        <w:numPr>
          <w:ilvl w:val="0"/>
          <w:numId w:val="2"/>
        </w:numPr>
        <w:spacing w:after="40" w:before="40"/>
      </w:pPr>
      <w:r>
        <w:rPr>
          <w:rFonts w:ascii="Arial" w:cs="Arial" w:eastAsia="Arial" w:hAnsi="Arial"/>
          <w:sz w:val="20"/>
          <w:szCs w:val="20"/>
        </w:rPr>
        <w:t xml:space="preserve">Digital Services: Online transfers between accounts</w:t>
      </w:r>
    </w:p>
    <w:p>
      <w:pPr>
        <w:pStyle w:val="ListParagraph"/>
        <w:numPr>
          <w:ilvl w:val="0"/>
          <w:numId w:val="2"/>
        </w:numPr>
        <w:spacing w:after="40" w:before="40"/>
      </w:pPr>
      <w:r>
        <w:rPr>
          <w:rFonts w:ascii="Arial" w:cs="Arial" w:eastAsia="Arial" w:hAnsi="Arial"/>
          <w:sz w:val="20"/>
          <w:szCs w:val="20"/>
        </w:rPr>
        <w:t xml:space="preserve">Channel: Primarily digital; infrequent branch visits</w:t>
      </w:r>
    </w:p>
    <w:p>
      <w:pPr>
        <w:pStyle w:val="ListParagraph"/>
        <w:numPr>
          <w:ilvl w:val="0"/>
          <w:numId w:val="2"/>
        </w:numPr>
        <w:spacing w:after="40" w:before="40"/>
      </w:pPr>
      <w:r>
        <w:rPr>
          <w:rFonts w:ascii="Arial" w:cs="Arial" w:eastAsia="Arial" w:hAnsi="Arial"/>
          <w:sz w:val="20"/>
          <w:szCs w:val="20"/>
        </w:rPr>
        <w:t xml:space="preserve">Products held: Checking, Savings, Credit Card</w:t>
      </w:r>
    </w:p>
    <w:p>
      <w:pPr>
        <w:spacing w:after="60" w:before="60"/>
      </w:pPr>
      <w:r>
        <w:t xml:space="preserve"/>
      </w:r>
    </w:p>
    <w:p>
      <w:pPr>
        <w:pBdr>
          <w:bottom w:val="single" w:color="6D28D9" w:sz="3" w:space="3"/>
        </w:pBdr>
        <w:spacing w:after="80" w:before="160"/>
      </w:pPr>
      <w:r>
        <w:rPr>
          <w:rFonts w:ascii="Arial" w:cs="Arial" w:eastAsia="Arial" w:hAnsi="Arial"/>
          <w:b/>
          <w:bCs/>
          <w:color w:val="6D28D9"/>
          <w:sz w:val="20"/>
          <w:szCs w:val="20"/>
        </w:rPr>
        <w:t xml:space="preserve">2. PRIMARY NEEDS &amp; CHALLENGES</w:t>
      </w:r>
    </w:p>
    <w:p>
      <w:pPr>
        <w:pStyle w:val="ListParagraph"/>
        <w:numPr>
          <w:ilvl w:val="0"/>
          <w:numId w:val="2"/>
        </w:numPr>
        <w:spacing w:after="40" w:before="40"/>
      </w:pPr>
      <w:r>
        <w:rPr>
          <w:rFonts w:ascii="Arial" w:cs="Arial" w:eastAsia="Arial" w:hAnsi="Arial"/>
          <w:sz w:val="20"/>
          <w:szCs w:val="20"/>
        </w:rPr>
        <w:t xml:space="preserve">Home purchase financing aligned with accumulated savings</w:t>
      </w:r>
    </w:p>
    <w:p>
      <w:pPr>
        <w:pStyle w:val="ListParagraph"/>
        <w:numPr>
          <w:ilvl w:val="0"/>
          <w:numId w:val="2"/>
        </w:numPr>
        <w:spacing w:after="40" w:before="40"/>
      </w:pPr>
      <w:r>
        <w:rPr>
          <w:rFonts w:ascii="Arial" w:cs="Arial" w:eastAsia="Arial" w:hAnsi="Arial"/>
          <w:sz w:val="20"/>
          <w:szCs w:val="20"/>
        </w:rPr>
        <w:t xml:space="preserve">Debt consolidation to reduce high-interest credit card burden</w:t>
      </w:r>
    </w:p>
    <w:p>
      <w:pPr>
        <w:pStyle w:val="ListParagraph"/>
        <w:numPr>
          <w:ilvl w:val="0"/>
          <w:numId w:val="2"/>
        </w:numPr>
        <w:spacing w:after="40" w:before="40"/>
      </w:pPr>
      <w:r>
        <w:rPr>
          <w:rFonts w:ascii="Arial" w:cs="Arial" w:eastAsia="Arial" w:hAnsi="Arial"/>
          <w:sz w:val="20"/>
          <w:szCs w:val="20"/>
        </w:rPr>
        <w:t xml:space="preserve">Interest rate reduction to accelerate down payment savings</w:t>
      </w:r>
    </w:p>
    <w:p>
      <w:pPr>
        <w:pStyle w:val="ListParagraph"/>
        <w:numPr>
          <w:ilvl w:val="0"/>
          <w:numId w:val="2"/>
        </w:numPr>
        <w:spacing w:after="40" w:before="40"/>
      </w:pPr>
      <w:r>
        <w:rPr>
          <w:rFonts w:ascii="Arial" w:cs="Arial" w:eastAsia="Arial" w:hAnsi="Arial"/>
          <w:sz w:val="20"/>
          <w:szCs w:val="20"/>
        </w:rPr>
        <w:t xml:space="preserve">Pain Point: Multiple high-interest credit cards competing with savings capacity</w:t>
      </w:r>
    </w:p>
    <w:p>
      <w:pPr>
        <w:spacing w:after="60" w:before="60"/>
      </w:pPr>
      <w:r>
        <w:t xml:space="preserve"/>
      </w:r>
    </w:p>
    <w:p>
      <w:pPr>
        <w:pBdr>
          <w:bottom w:val="single" w:color="6D28D9" w:sz="3" w:space="3"/>
        </w:pBdr>
        <w:spacing w:after="80" w:before="160"/>
      </w:pPr>
      <w:r>
        <w:rPr>
          <w:rFonts w:ascii="Arial" w:cs="Arial" w:eastAsia="Arial" w:hAnsi="Arial"/>
          <w:b/>
          <w:bCs/>
          <w:color w:val="6D28D9"/>
          <w:sz w:val="20"/>
          <w:szCs w:val="20"/>
        </w:rPr>
        <w:t xml:space="preserve">3. RECOMMENDED SOLUTIONS</w:t>
      </w:r>
    </w:p>
    <w:p>
      <w:pPr>
        <w:spacing w:after="40" w:before="100"/>
      </w:pPr>
      <w:r>
        <w:rPr>
          <w:rFonts w:ascii="Arial" w:cs="Arial" w:eastAsia="Arial" w:hAnsi="Arial"/>
          <w:b/>
          <w:bCs/>
          <w:color w:val="6D28D9"/>
          <w:sz w:val="21"/>
          <w:szCs w:val="21"/>
        </w:rPr>
        <w:t xml:space="preserve">Home Mortgage Loan</w:t>
      </w:r>
    </w:p>
    <w:p>
      <w:pPr>
        <w:spacing w:after="80" w:before="80"/>
        <w:jc w:val="both"/>
      </w:pPr>
      <w:r>
        <w:rPr>
          <w:rFonts w:ascii="Arial" w:cs="Arial" w:eastAsia="Arial" w:hAnsi="Arial"/>
          <w:sz w:val="20"/>
          <w:szCs w:val="20"/>
        </w:rPr>
        <w:t xml:space="preserve">This segment's primary financial goal is home ownership. Wells Fargo's mortgage portfolio — including fixed-rate, adjustable-rate, FHA, and VA loan options — provides flexible term structures adapted to different income profiles. The $15,000 savings balance positions this subset for down payment readiness, making mortgage pre-qualification a timely and relevant intervention.</w:t>
      </w:r>
    </w:p>
    <w:p>
      <w:pPr>
        <w:spacing w:after="40" w:before="100"/>
      </w:pPr>
      <w:r>
        <w:rPr>
          <w:rFonts w:ascii="Arial" w:cs="Arial" w:eastAsia="Arial" w:hAnsi="Arial"/>
          <w:b/>
          <w:bCs/>
          <w:color w:val="6D28D9"/>
          <w:sz w:val="21"/>
          <w:szCs w:val="21"/>
        </w:rPr>
        <w:t xml:space="preserve">Personal Loan or Balance Transfer Credit Card</w:t>
      </w:r>
    </w:p>
    <w:p>
      <w:pPr>
        <w:spacing w:after="80" w:before="80"/>
        <w:jc w:val="both"/>
      </w:pPr>
      <w:r>
        <w:rPr>
          <w:rFonts w:ascii="Arial" w:cs="Arial" w:eastAsia="Arial" w:hAnsi="Arial"/>
          <w:sz w:val="20"/>
          <w:szCs w:val="20"/>
        </w:rPr>
        <w:t xml:space="preserve">High-interest credit card balances directly compete with the down payment savings goal. A personal loan at a fixed rate consolidates debt into a predictable monthly payment, while a Balance Transfer Credit Card with a 0% introductory APR reduces immediate interest burden — freeing cash flow to accelerate home purchase readiness.</w:t>
      </w:r>
    </w:p>
    <w:p>
      <w:pPr>
        <w:spacing w:after="60" w:before="60"/>
      </w:pPr>
      <w:r>
        <w:t xml:space="preserve"/>
      </w:r>
    </w:p>
    <w:p>
      <w:pPr>
        <w:pBdr>
          <w:bottom w:val="single" w:color="6D28D9" w:sz="3" w:space="3"/>
        </w:pBdr>
        <w:spacing w:after="80" w:before="160"/>
      </w:pPr>
      <w:r>
        <w:rPr>
          <w:rFonts w:ascii="Arial" w:cs="Arial" w:eastAsia="Arial" w:hAnsi="Arial"/>
          <w:b/>
          <w:bCs/>
          <w:color w:val="6D28D9"/>
          <w:sz w:val="20"/>
          <w:szCs w:val="20"/>
        </w:rPr>
        <w:t xml:space="preserve">4. IMPACT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6D28D9" w:val="clear"/>
            <w:tcMar>
              <w:top w:type="dxa" w:w="80"/>
              <w:left w:type="dxa" w:w="120"/>
              <w:bottom w:type="dxa" w:w="80"/>
              <w:right w:type="dxa" w:w="120"/>
            </w:tcMar>
          </w:tcPr>
          <w:p>
            <w:r>
              <w:rPr>
                <w:rFonts w:ascii="Arial" w:cs="Arial" w:eastAsia="Arial" w:hAnsi="Arial"/>
                <w:b/>
                <w:bCs/>
                <w:color w:val="FFFFFF"/>
                <w:sz w:val="19"/>
                <w:szCs w:val="19"/>
              </w:rPr>
              <w:t xml:space="preserve">Short-Term</w:t>
            </w:r>
          </w:p>
        </w:tc>
        <w:tc>
          <w:tcPr>
            <w:tcW w:type="dxa" w:w="676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19"/>
                <w:szCs w:val="19"/>
              </w:rPr>
              <w:t xml:space="preserve">Reduced monthly interest payments; increased net savings rate; improved debt-to-income ratio.</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6D28D9" w:val="clear"/>
            <w:tcMar>
              <w:top w:type="dxa" w:w="80"/>
              <w:left w:type="dxa" w:w="120"/>
              <w:bottom w:type="dxa" w:w="80"/>
              <w:right w:type="dxa" w:w="120"/>
            </w:tcMar>
          </w:tcPr>
          <w:p>
            <w:r>
              <w:rPr>
                <w:rFonts w:ascii="Arial" w:cs="Arial" w:eastAsia="Arial" w:hAnsi="Arial"/>
                <w:b/>
                <w:bCs/>
                <w:color w:val="FFFFFF"/>
                <w:sz w:val="19"/>
                <w:szCs w:val="19"/>
              </w:rPr>
              <w:t xml:space="preserve">Long-Term</w:t>
            </w:r>
          </w:p>
        </w:tc>
        <w:tc>
          <w:tcPr>
            <w:tcW w:type="dxa" w:w="676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19"/>
                <w:szCs w:val="19"/>
              </w:rPr>
              <w:t xml:space="preserve">Successful home purchase; improved credit score through consolidated debt management; foundation for mortgage relationship.</w:t>
            </w:r>
          </w:p>
        </w:tc>
      </w:tr>
    </w:tbl>
    <w:p>
      <w:pPr>
        <w:spacing w:after="60" w:before="60"/>
      </w:pPr>
      <w:r>
        <w:t xml:space="preserve"/>
      </w:r>
    </w:p>
    <w:p>
      <w:pPr>
        <w:pBdr>
          <w:bottom w:val="single" w:color="6D28D9" w:sz="3" w:space="3"/>
        </w:pBdr>
        <w:spacing w:after="80" w:before="160"/>
      </w:pPr>
      <w:r>
        <w:rPr>
          <w:rFonts w:ascii="Arial" w:cs="Arial" w:eastAsia="Arial" w:hAnsi="Arial"/>
          <w:b/>
          <w:bCs/>
          <w:color w:val="6D28D9"/>
          <w:sz w:val="20"/>
          <w:szCs w:val="20"/>
        </w:rPr>
        <w:t xml:space="preserve">5. BUSINESS IMPACT FOR WELLS FARGO</w:t>
      </w:r>
    </w:p>
    <w:p>
      <w:pPr>
        <w:spacing w:after="80" w:before="80"/>
        <w:jc w:val="both"/>
      </w:pPr>
      <w:r>
        <w:rPr>
          <w:rFonts w:ascii="Arial" w:cs="Arial" w:eastAsia="Arial" w:hAnsi="Arial"/>
          <w:sz w:val="20"/>
          <w:szCs w:val="20"/>
        </w:rPr>
        <w:t xml:space="preserve">Mortgage origination is among Wells Fargo's highest-value transactions. Proactively supporting this segment through debt consolidation creates the financial conditions for mortgage conversion — turning a budgeting customer into a long-term homeowner client.</w:t>
      </w:r>
    </w:p>
    <w:p>
      <w:pPr>
        <w:spacing w:after="60" w:before="60"/>
      </w:pPr>
      <w:r>
        <w:t xml:space="preserve"/>
      </w:r>
    </w:p>
    <w:p>
      <w:pPr>
        <w:pBdr>
          <w:bottom w:val="single" w:color="6D28D9" w:sz="3" w:space="3"/>
        </w:pBdr>
        <w:spacing w:after="80" w:before="160"/>
      </w:pPr>
      <w:r>
        <w:rPr>
          <w:rFonts w:ascii="Arial" w:cs="Arial" w:eastAsia="Arial" w:hAnsi="Arial"/>
          <w:b/>
          <w:bCs/>
          <w:color w:val="6D28D9"/>
          <w:sz w:val="20"/>
          <w:szCs w:val="20"/>
        </w:rPr>
        <w:t xml:space="preserve">6. KPIS &amp; STRATEGIC ENHANCEMENT</w:t>
      </w:r>
    </w:p>
    <w:p>
      <w:pPr>
        <w:pStyle w:val="ListParagraph"/>
        <w:numPr>
          <w:ilvl w:val="0"/>
          <w:numId w:val="2"/>
        </w:numPr>
        <w:spacing w:after="40" w:before="40"/>
      </w:pPr>
      <w:r>
        <w:rPr>
          <w:rFonts w:ascii="Arial" w:cs="Arial" w:eastAsia="Arial" w:hAnsi="Arial"/>
          <w:sz w:val="20"/>
          <w:szCs w:val="20"/>
        </w:rPr>
        <w:t xml:space="preserve">Debt-to-income ratio improvement per customer</w:t>
      </w:r>
    </w:p>
    <w:p>
      <w:pPr>
        <w:pStyle w:val="ListParagraph"/>
        <w:numPr>
          <w:ilvl w:val="0"/>
          <w:numId w:val="2"/>
        </w:numPr>
        <w:spacing w:after="40" w:before="40"/>
      </w:pPr>
      <w:r>
        <w:rPr>
          <w:rFonts w:ascii="Arial" w:cs="Arial" w:eastAsia="Arial" w:hAnsi="Arial"/>
          <w:sz w:val="20"/>
          <w:szCs w:val="20"/>
        </w:rPr>
        <w:t xml:space="preserve">Mortgage application conversion rate from savings account holders</w:t>
      </w:r>
    </w:p>
    <w:p>
      <w:pPr>
        <w:pStyle w:val="ListParagraph"/>
        <w:numPr>
          <w:ilvl w:val="0"/>
          <w:numId w:val="2"/>
        </w:numPr>
        <w:spacing w:after="40" w:before="40"/>
      </w:pPr>
      <w:r>
        <w:rPr>
          <w:rFonts w:ascii="Arial" w:cs="Arial" w:eastAsia="Arial" w:hAnsi="Arial"/>
          <w:sz w:val="20"/>
          <w:szCs w:val="20"/>
        </w:rPr>
        <w:t xml:space="preserve">Balance transfer utilization rate</w:t>
      </w:r>
    </w:p>
    <w:p>
      <w:pPr>
        <w:pStyle w:val="ListParagraph"/>
        <w:numPr>
          <w:ilvl w:val="0"/>
          <w:numId w:val="2"/>
        </w:numPr>
        <w:spacing w:after="40" w:before="40"/>
      </w:pPr>
      <w:r>
        <w:rPr>
          <w:rFonts w:ascii="Arial" w:cs="Arial" w:eastAsia="Arial" w:hAnsi="Arial"/>
          <w:sz w:val="20"/>
          <w:szCs w:val="20"/>
        </w:rPr>
        <w:t xml:space="preserve">Time-to-mortgage-readiness reduction</w:t>
      </w:r>
    </w:p>
    <w:p>
      <w:pPr>
        <w:spacing w:after="60" w:before="60"/>
      </w:pPr>
      <w:r>
        <w:t xml:space="preserve"/>
      </w:r>
    </w:p>
    <w:p>
      <w:pPr>
        <w:spacing w:after="60" w:before="60"/>
      </w:pPr>
      <w:r>
        <w:rPr>
          <w:rFonts w:ascii="Arial" w:cs="Arial" w:eastAsia="Arial" w:hAnsi="Arial"/>
          <w:b/>
          <w:bCs/>
          <w:color w:val="6D28D9"/>
          <w:sz w:val="20"/>
          <w:szCs w:val="20"/>
        </w:rPr>
        <w:t xml:space="preserve">Strategic Enhancement Opportunity: </w:t>
      </w:r>
      <w:r>
        <w:rPr>
          <w:rFonts w:ascii="Arial" w:cs="Arial" w:eastAsia="Arial" w:hAnsi="Arial"/>
          <w:sz w:val="20"/>
          <w:szCs w:val="20"/>
        </w:rPr>
        <w:t xml:space="preserve">Introduce a 'Home Readiness Dashboard' within the mobile app — a personalized tracker showing debt reduction progress, savings milestone, and mortgage pre-qualification readiness in real time.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410C" w:sz="4"/>
              <w:left w:val="single" w:color="C2410C" w:sz="4"/>
              <w:bottom w:val="single" w:color="C2410C" w:sz="4"/>
              <w:right w:val="single" w:color="C2410C" w:sz="4"/>
            </w:tcBorders>
            <w:shd w:fill="FFEDD5" w:val="clear"/>
            <w:tcMar>
              <w:top w:type="dxa" w:w="140"/>
              <w:left w:type="dxa" w:w="200"/>
              <w:bottom w:type="dxa" w:w="140"/>
              <w:right w:type="dxa" w:w="200"/>
            </w:tcMar>
          </w:tcPr>
          <w:p>
            <w:pPr>
              <w:jc w:val="center"/>
            </w:pPr>
            <w:r>
              <w:rPr>
                <w:rFonts w:ascii="Arial" w:cs="Arial" w:eastAsia="Arial" w:hAnsi="Arial"/>
                <w:b/>
                <w:bCs/>
                <w:color w:val="C2410C"/>
                <w:sz w:val="30"/>
                <w:szCs w:val="30"/>
              </w:rPr>
              <w:t xml:space="preserve">AFFLUENT SEGMENT (SUBSET)</w:t>
            </w:r>
          </w:p>
          <w:p>
            <w:pPr>
              <w:jc w:val="center"/>
            </w:pPr>
            <w:r>
              <w:rPr>
                <w:rFonts w:ascii="Arial" w:cs="Arial" w:eastAsia="Arial" w:hAnsi="Arial"/>
                <w:color w:val="666666"/>
                <w:sz w:val="18"/>
                <w:szCs w:val="18"/>
              </w:rPr>
              <w:t xml:space="preserve">Wells Fargo CSBB — Customer Solutions Report</w:t>
            </w:r>
          </w:p>
        </w:tc>
      </w:tr>
    </w:tbl>
    <w:p>
      <w:pPr>
        <w:spacing w:after="60" w:before="60"/>
      </w:pPr>
      <w:r>
        <w:t xml:space="preserve"/>
      </w:r>
    </w:p>
    <w:p>
      <w:pPr>
        <w:pBdr>
          <w:bottom w:val="single" w:color="C2410C" w:sz="3" w:space="3"/>
        </w:pBdr>
        <w:spacing w:after="80" w:before="160"/>
      </w:pPr>
      <w:r>
        <w:rPr>
          <w:rFonts w:ascii="Arial" w:cs="Arial" w:eastAsia="Arial" w:hAnsi="Arial"/>
          <w:b/>
          <w:bCs/>
          <w:color w:val="C2410C"/>
          <w:sz w:val="20"/>
          <w:szCs w:val="20"/>
        </w:rPr>
        <w:t xml:space="preserve">1. KEY FINANCIAL TRENDS</w:t>
      </w:r>
    </w:p>
    <w:p>
      <w:pPr>
        <w:spacing w:after="80" w:before="80"/>
        <w:jc w:val="both"/>
      </w:pPr>
      <w:r>
        <w:rPr>
          <w:rFonts w:ascii="Arial" w:cs="Arial" w:eastAsia="Arial" w:hAnsi="Arial"/>
          <w:sz w:val="20"/>
          <w:szCs w:val="20"/>
        </w:rPr>
        <w:t xml:space="preserve">Affluent customers holding premium checking accounts, seeking investment growth and tax-optimized wealth management with a preference for self-directed, automated solutions. Average balance: $250,000+ across accounts.</w:t>
      </w:r>
    </w:p>
    <w:p>
      <w:pPr>
        <w:pStyle w:val="ListParagraph"/>
        <w:numPr>
          <w:ilvl w:val="0"/>
          <w:numId w:val="2"/>
        </w:numPr>
        <w:spacing w:after="40" w:before="40"/>
      </w:pPr>
      <w:r>
        <w:rPr>
          <w:rFonts w:ascii="Arial" w:cs="Arial" w:eastAsia="Arial" w:hAnsi="Arial"/>
          <w:sz w:val="20"/>
          <w:szCs w:val="20"/>
        </w:rPr>
        <w:t xml:space="preserve">Mobile Banking: High daily engagement — active portfolio management</w:t>
      </w:r>
    </w:p>
    <w:p>
      <w:pPr>
        <w:pStyle w:val="ListParagraph"/>
        <w:numPr>
          <w:ilvl w:val="0"/>
          <w:numId w:val="2"/>
        </w:numPr>
        <w:spacing w:after="40" w:before="40"/>
      </w:pPr>
      <w:r>
        <w:rPr>
          <w:rFonts w:ascii="Arial" w:cs="Arial" w:eastAsia="Arial" w:hAnsi="Arial"/>
          <w:sz w:val="20"/>
          <w:szCs w:val="20"/>
        </w:rPr>
        <w:t xml:space="preserve">Savings Activity: Contributions primarily to investment accounts</w:t>
      </w:r>
    </w:p>
    <w:p>
      <w:pPr>
        <w:pStyle w:val="ListParagraph"/>
        <w:numPr>
          <w:ilvl w:val="0"/>
          <w:numId w:val="2"/>
        </w:numPr>
        <w:spacing w:after="40" w:before="40"/>
      </w:pPr>
      <w:r>
        <w:rPr>
          <w:rFonts w:ascii="Arial" w:cs="Arial" w:eastAsia="Arial" w:hAnsi="Arial"/>
          <w:sz w:val="20"/>
          <w:szCs w:val="20"/>
        </w:rPr>
        <w:t xml:space="preserve">Top Spending: Investments, tax payments, travel and entertainment</w:t>
      </w:r>
    </w:p>
    <w:p>
      <w:pPr>
        <w:pStyle w:val="ListParagraph"/>
        <w:numPr>
          <w:ilvl w:val="0"/>
          <w:numId w:val="2"/>
        </w:numPr>
        <w:spacing w:after="40" w:before="40"/>
      </w:pPr>
      <w:r>
        <w:rPr>
          <w:rFonts w:ascii="Arial" w:cs="Arial" w:eastAsia="Arial" w:hAnsi="Arial"/>
          <w:sz w:val="20"/>
          <w:szCs w:val="20"/>
        </w:rPr>
        <w:t xml:space="preserve">Digital Services: Bill Pay, Wires, Zelle transfers, Digital Wallets</w:t>
      </w:r>
    </w:p>
    <w:p>
      <w:pPr>
        <w:pStyle w:val="ListParagraph"/>
        <w:numPr>
          <w:ilvl w:val="0"/>
          <w:numId w:val="2"/>
        </w:numPr>
        <w:spacing w:after="40" w:before="40"/>
      </w:pPr>
      <w:r>
        <w:rPr>
          <w:rFonts w:ascii="Arial" w:cs="Arial" w:eastAsia="Arial" w:hAnsi="Arial"/>
          <w:sz w:val="20"/>
          <w:szCs w:val="20"/>
        </w:rPr>
        <w:t xml:space="preserve">Channel: Primarily digital; branch visits for financial advisory only</w:t>
      </w:r>
    </w:p>
    <w:p>
      <w:pPr>
        <w:pStyle w:val="ListParagraph"/>
        <w:numPr>
          <w:ilvl w:val="0"/>
          <w:numId w:val="2"/>
        </w:numPr>
        <w:spacing w:after="40" w:before="40"/>
      </w:pPr>
      <w:r>
        <w:rPr>
          <w:rFonts w:ascii="Arial" w:cs="Arial" w:eastAsia="Arial" w:hAnsi="Arial"/>
          <w:sz w:val="20"/>
          <w:szCs w:val="20"/>
        </w:rPr>
        <w:t xml:space="preserve">Products held: Premium Checking, Savings, CDs, Investment Portfolio, Credit Card</w:t>
      </w:r>
    </w:p>
    <w:p>
      <w:pPr>
        <w:spacing w:after="60" w:before="60"/>
      </w:pPr>
      <w:r>
        <w:t xml:space="preserve"/>
      </w:r>
    </w:p>
    <w:p>
      <w:pPr>
        <w:pBdr>
          <w:bottom w:val="single" w:color="C2410C" w:sz="3" w:space="3"/>
        </w:pBdr>
        <w:spacing w:after="80" w:before="160"/>
      </w:pPr>
      <w:r>
        <w:rPr>
          <w:rFonts w:ascii="Arial" w:cs="Arial" w:eastAsia="Arial" w:hAnsi="Arial"/>
          <w:b/>
          <w:bCs/>
          <w:color w:val="C2410C"/>
          <w:sz w:val="20"/>
          <w:szCs w:val="20"/>
        </w:rPr>
        <w:t xml:space="preserve">2. PRIMARY NEEDS &amp; CHALLENGES</w:t>
      </w:r>
    </w:p>
    <w:p>
      <w:pPr>
        <w:pStyle w:val="ListParagraph"/>
        <w:numPr>
          <w:ilvl w:val="0"/>
          <w:numId w:val="2"/>
        </w:numPr>
        <w:spacing w:after="40" w:before="40"/>
      </w:pPr>
      <w:r>
        <w:rPr>
          <w:rFonts w:ascii="Arial" w:cs="Arial" w:eastAsia="Arial" w:hAnsi="Arial"/>
          <w:sz w:val="20"/>
          <w:szCs w:val="20"/>
        </w:rPr>
        <w:t xml:space="preserve">Capital growth beyond standard savings yield</w:t>
      </w:r>
    </w:p>
    <w:p>
      <w:pPr>
        <w:pStyle w:val="ListParagraph"/>
        <w:numPr>
          <w:ilvl w:val="0"/>
          <w:numId w:val="2"/>
        </w:numPr>
        <w:spacing w:after="40" w:before="40"/>
      </w:pPr>
      <w:r>
        <w:rPr>
          <w:rFonts w:ascii="Arial" w:cs="Arial" w:eastAsia="Arial" w:hAnsi="Arial"/>
          <w:sz w:val="20"/>
          <w:szCs w:val="20"/>
        </w:rPr>
        <w:t xml:space="preserve">Investment diversification with risk-aligned portfolio management</w:t>
      </w:r>
    </w:p>
    <w:p>
      <w:pPr>
        <w:pStyle w:val="ListParagraph"/>
        <w:numPr>
          <w:ilvl w:val="0"/>
          <w:numId w:val="2"/>
        </w:numPr>
        <w:spacing w:after="40" w:before="40"/>
      </w:pPr>
      <w:r>
        <w:rPr>
          <w:rFonts w:ascii="Arial" w:cs="Arial" w:eastAsia="Arial" w:hAnsi="Arial"/>
          <w:sz w:val="20"/>
          <w:szCs w:val="20"/>
        </w:rPr>
        <w:t xml:space="preserve">Self-service investment access without mandatory advisory dependency</w:t>
      </w:r>
    </w:p>
    <w:p>
      <w:pPr>
        <w:pStyle w:val="ListParagraph"/>
        <w:numPr>
          <w:ilvl w:val="0"/>
          <w:numId w:val="2"/>
        </w:numPr>
        <w:spacing w:after="40" w:before="40"/>
      </w:pPr>
      <w:r>
        <w:rPr>
          <w:rFonts w:ascii="Arial" w:cs="Arial" w:eastAsia="Arial" w:hAnsi="Arial"/>
          <w:sz w:val="20"/>
          <w:szCs w:val="20"/>
        </w:rPr>
        <w:t xml:space="preserve">Tax optimization and comprehensive long-term wealth planning</w:t>
      </w:r>
    </w:p>
    <w:p>
      <w:pPr>
        <w:pStyle w:val="ListParagraph"/>
        <w:numPr>
          <w:ilvl w:val="0"/>
          <w:numId w:val="2"/>
        </w:numPr>
        <w:spacing w:after="40" w:before="40"/>
      </w:pPr>
      <w:r>
        <w:rPr>
          <w:rFonts w:ascii="Arial" w:cs="Arial" w:eastAsia="Arial" w:hAnsi="Arial"/>
          <w:sz w:val="20"/>
          <w:szCs w:val="20"/>
        </w:rPr>
        <w:t xml:space="preserve">Pain Point: Over-concentration in low-yield deposit products despite high asset base</w:t>
      </w:r>
    </w:p>
    <w:p>
      <w:pPr>
        <w:spacing w:after="60" w:before="60"/>
      </w:pPr>
      <w:r>
        <w:t xml:space="preserve"/>
      </w:r>
    </w:p>
    <w:p>
      <w:pPr>
        <w:pBdr>
          <w:bottom w:val="single" w:color="C2410C" w:sz="3" w:space="3"/>
        </w:pBdr>
        <w:spacing w:after="80" w:before="160"/>
      </w:pPr>
      <w:r>
        <w:rPr>
          <w:rFonts w:ascii="Arial" w:cs="Arial" w:eastAsia="Arial" w:hAnsi="Arial"/>
          <w:b/>
          <w:bCs/>
          <w:color w:val="C2410C"/>
          <w:sz w:val="20"/>
          <w:szCs w:val="20"/>
        </w:rPr>
        <w:t xml:space="preserve">3. RECOMMENDED SOLUTIONS</w:t>
      </w:r>
    </w:p>
    <w:p>
      <w:pPr>
        <w:spacing w:after="40" w:before="100"/>
      </w:pPr>
      <w:r>
        <w:rPr>
          <w:rFonts w:ascii="Arial" w:cs="Arial" w:eastAsia="Arial" w:hAnsi="Arial"/>
          <w:b/>
          <w:bCs/>
          <w:color w:val="C2410C"/>
          <w:sz w:val="21"/>
          <w:szCs w:val="21"/>
        </w:rPr>
        <w:t xml:space="preserve">Standard or Special CDs</w:t>
      </w:r>
    </w:p>
    <w:p>
      <w:pPr>
        <w:spacing w:after="80" w:before="80"/>
        <w:jc w:val="both"/>
      </w:pPr>
      <w:r>
        <w:rPr>
          <w:rFonts w:ascii="Arial" w:cs="Arial" w:eastAsia="Arial" w:hAnsi="Arial"/>
          <w:sz w:val="20"/>
          <w:szCs w:val="20"/>
        </w:rPr>
        <w:t xml:space="preserve">CDs offer guaranteed returns with full capital preservation — aligning with this segment's need to grow wealth without market volatility exposure. Special promotional CDs provide enhanced yield for defined commitment periods, particularly attractive to customers with high attraction to products maximizing gains during promotional offerings (identified trend).</w:t>
      </w:r>
    </w:p>
    <w:p>
      <w:pPr>
        <w:spacing w:after="40" w:before="100"/>
      </w:pPr>
      <w:r>
        <w:rPr>
          <w:rFonts w:ascii="Arial" w:cs="Arial" w:eastAsia="Arial" w:hAnsi="Arial"/>
          <w:b/>
          <w:bCs/>
          <w:color w:val="C2410C"/>
          <w:sz w:val="21"/>
          <w:szCs w:val="21"/>
        </w:rPr>
        <w:t xml:space="preserve">Automated Investing Account (Robo-Advisory)</w:t>
      </w:r>
    </w:p>
    <w:p>
      <w:pPr>
        <w:spacing w:after="80" w:before="80"/>
        <w:jc w:val="both"/>
      </w:pPr>
      <w:r>
        <w:rPr>
          <w:rFonts w:ascii="Arial" w:cs="Arial" w:eastAsia="Arial" w:hAnsi="Arial"/>
          <w:sz w:val="20"/>
          <w:szCs w:val="20"/>
        </w:rPr>
        <w:t xml:space="preserve">This segment explicitly seeks self-service investment options without hands-on advisory engagement. Wells Fargo's automated investing account provides algorithm-driven portfolio management aligned to individual risk tolerance and financial goals — offering professional-level diversification with minimal client effort and low advisory fees. Affluent clients seek to delegate portfolio management while retaining final decision-making authority; this product delivers exactly that balance.</w:t>
      </w:r>
    </w:p>
    <w:p>
      <w:pPr>
        <w:spacing w:after="60" w:before="60"/>
      </w:pPr>
      <w:r>
        <w:t xml:space="preserve"/>
      </w:r>
    </w:p>
    <w:p>
      <w:pPr>
        <w:pBdr>
          <w:bottom w:val="single" w:color="C2410C" w:sz="3" w:space="3"/>
        </w:pBdr>
        <w:spacing w:after="80" w:before="160"/>
      </w:pPr>
      <w:r>
        <w:rPr>
          <w:rFonts w:ascii="Arial" w:cs="Arial" w:eastAsia="Arial" w:hAnsi="Arial"/>
          <w:b/>
          <w:bCs/>
          <w:color w:val="C2410C"/>
          <w:sz w:val="20"/>
          <w:szCs w:val="20"/>
        </w:rPr>
        <w:t xml:space="preserve">4. IMPACT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C2410C" w:val="clear"/>
            <w:tcMar>
              <w:top w:type="dxa" w:w="80"/>
              <w:left w:type="dxa" w:w="120"/>
              <w:bottom w:type="dxa" w:w="80"/>
              <w:right w:type="dxa" w:w="120"/>
            </w:tcMar>
          </w:tcPr>
          <w:p>
            <w:r>
              <w:rPr>
                <w:rFonts w:ascii="Arial" w:cs="Arial" w:eastAsia="Arial" w:hAnsi="Arial"/>
                <w:b/>
                <w:bCs/>
                <w:color w:val="FFFFFF"/>
                <w:sz w:val="19"/>
                <w:szCs w:val="19"/>
              </w:rPr>
              <w:t xml:space="preserve">Short-Term</w:t>
            </w:r>
          </w:p>
        </w:tc>
        <w:tc>
          <w:tcPr>
            <w:tcW w:type="dxa" w:w="676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sz w:val="19"/>
                <w:szCs w:val="19"/>
              </w:rPr>
              <w:t xml:space="preserve">Immediate yield improvement over standard savings; automated portfolio diversification with no advisory commitment required.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C2410C" w:val="clear"/>
            <w:tcMar>
              <w:top w:type="dxa" w:w="80"/>
              <w:left w:type="dxa" w:w="120"/>
              <w:bottom w:type="dxa" w:w="80"/>
              <w:right w:type="dxa" w:w="120"/>
            </w:tcMar>
          </w:tcPr>
          <w:p>
            <w:r>
              <w:rPr>
                <w:rFonts w:ascii="Arial" w:cs="Arial" w:eastAsia="Arial" w:hAnsi="Arial"/>
                <w:b/>
                <w:bCs/>
                <w:color w:val="FFFFFF"/>
                <w:sz w:val="19"/>
                <w:szCs w:val="19"/>
              </w:rPr>
              <w:t xml:space="preserve">Long-Term</w:t>
            </w:r>
          </w:p>
        </w:tc>
        <w:tc>
          <w:tcPr>
            <w:tcW w:type="dxa" w:w="676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sz w:val="19"/>
                <w:szCs w:val="19"/>
              </w:rPr>
              <w:t xml:space="preserve">Sustained wealth accumulation through compounding returns, diversified asset exposure, and tax-advantaged planning pathways.</w:t>
            </w:r>
          </w:p>
        </w:tc>
      </w:tr>
    </w:tbl>
    <w:p>
      <w:pPr>
        <w:spacing w:after="60" w:before="60"/>
      </w:pPr>
      <w:r>
        <w:t xml:space="preserve"/>
      </w:r>
    </w:p>
    <w:p>
      <w:pPr>
        <w:pBdr>
          <w:bottom w:val="single" w:color="C2410C" w:sz="3" w:space="3"/>
        </w:pBdr>
        <w:spacing w:after="80" w:before="160"/>
      </w:pPr>
      <w:r>
        <w:rPr>
          <w:rFonts w:ascii="Arial" w:cs="Arial" w:eastAsia="Arial" w:hAnsi="Arial"/>
          <w:b/>
          <w:bCs/>
          <w:color w:val="C2410C"/>
          <w:sz w:val="20"/>
          <w:szCs w:val="20"/>
        </w:rPr>
        <w:t xml:space="preserve">5. BUSINESS IMPACT FOR WELLS FARGO</w:t>
      </w:r>
    </w:p>
    <w:p>
      <w:pPr>
        <w:spacing w:after="80" w:before="80"/>
        <w:jc w:val="both"/>
      </w:pPr>
      <w:r>
        <w:rPr>
          <w:rFonts w:ascii="Arial" w:cs="Arial" w:eastAsia="Arial" w:hAnsi="Arial"/>
          <w:sz w:val="20"/>
          <w:szCs w:val="20"/>
        </w:rPr>
        <w:t xml:space="preserve">Affluent clients represent the highest asset-per-customer concentration in the CSBB portfolio. Deepening product engagement — from deposit-only to investment relationships — significantly increases Assets Under Management (AUM), fee revenue, and customer lifetime value. Retaining this segment from migrating to competing wealth management firms is a strategic priority.</w:t>
      </w:r>
    </w:p>
    <w:p>
      <w:pPr>
        <w:spacing w:after="60" w:before="60"/>
      </w:pPr>
      <w:r>
        <w:t xml:space="preserve"/>
      </w:r>
    </w:p>
    <w:p>
      <w:pPr>
        <w:pBdr>
          <w:bottom w:val="single" w:color="C2410C" w:sz="3" w:space="3"/>
        </w:pBdr>
        <w:spacing w:after="80" w:before="160"/>
      </w:pPr>
      <w:r>
        <w:rPr>
          <w:rFonts w:ascii="Arial" w:cs="Arial" w:eastAsia="Arial" w:hAnsi="Arial"/>
          <w:b/>
          <w:bCs/>
          <w:color w:val="C2410C"/>
          <w:sz w:val="20"/>
          <w:szCs w:val="20"/>
        </w:rPr>
        <w:t xml:space="preserve">6. KPIS &amp; STRATEGIC ENHANCEMENT</w:t>
      </w:r>
    </w:p>
    <w:p>
      <w:pPr>
        <w:pStyle w:val="ListParagraph"/>
        <w:numPr>
          <w:ilvl w:val="0"/>
          <w:numId w:val="2"/>
        </w:numPr>
        <w:spacing w:after="40" w:before="40"/>
      </w:pPr>
      <w:r>
        <w:rPr>
          <w:rFonts w:ascii="Arial" w:cs="Arial" w:eastAsia="Arial" w:hAnsi="Arial"/>
          <w:sz w:val="20"/>
          <w:szCs w:val="20"/>
        </w:rPr>
        <w:t xml:space="preserve">CD renewal rate and average term length</w:t>
      </w:r>
    </w:p>
    <w:p>
      <w:pPr>
        <w:pStyle w:val="ListParagraph"/>
        <w:numPr>
          <w:ilvl w:val="0"/>
          <w:numId w:val="2"/>
        </w:numPr>
        <w:spacing w:after="40" w:before="40"/>
      </w:pPr>
      <w:r>
        <w:rPr>
          <w:rFonts w:ascii="Arial" w:cs="Arial" w:eastAsia="Arial" w:hAnsi="Arial"/>
          <w:sz w:val="20"/>
          <w:szCs w:val="20"/>
        </w:rPr>
        <w:t xml:space="preserve">Automated account AUM growth (target: +$45,000 per client within 18 months)</w:t>
      </w:r>
    </w:p>
    <w:p>
      <w:pPr>
        <w:pStyle w:val="ListParagraph"/>
        <w:numPr>
          <w:ilvl w:val="0"/>
          <w:numId w:val="2"/>
        </w:numPr>
        <w:spacing w:after="40" w:before="40"/>
      </w:pPr>
      <w:r>
        <w:rPr>
          <w:rFonts w:ascii="Arial" w:cs="Arial" w:eastAsia="Arial" w:hAnsi="Arial"/>
          <w:sz w:val="20"/>
          <w:szCs w:val="20"/>
        </w:rPr>
        <w:t xml:space="preserve">Customer satisfaction score for self-service investment tools</w:t>
      </w:r>
    </w:p>
    <w:p>
      <w:pPr>
        <w:pStyle w:val="ListParagraph"/>
        <w:numPr>
          <w:ilvl w:val="0"/>
          <w:numId w:val="2"/>
        </w:numPr>
        <w:spacing w:after="40" w:before="40"/>
      </w:pPr>
      <w:r>
        <w:rPr>
          <w:rFonts w:ascii="Arial" w:cs="Arial" w:eastAsia="Arial" w:hAnsi="Arial"/>
          <w:sz w:val="20"/>
          <w:szCs w:val="20"/>
        </w:rPr>
        <w:t xml:space="preserve">Asset outflow prevention rate (migration risk reduction)</w:t>
      </w:r>
    </w:p>
    <w:p>
      <w:pPr>
        <w:spacing w:after="60" w:before="60"/>
      </w:pPr>
      <w:r>
        <w:t xml:space="preserve"/>
      </w:r>
    </w:p>
    <w:p>
      <w:pPr>
        <w:spacing w:after="60" w:before="60"/>
      </w:pPr>
      <w:r>
        <w:rPr>
          <w:rFonts w:ascii="Arial" w:cs="Arial" w:eastAsia="Arial" w:hAnsi="Arial"/>
          <w:b/>
          <w:bCs/>
          <w:color w:val="C2410C"/>
          <w:sz w:val="20"/>
          <w:szCs w:val="20"/>
        </w:rPr>
        <w:t xml:space="preserve">Strategic Enhancement Opportunity: </w:t>
      </w:r>
      <w:r>
        <w:rPr>
          <w:rFonts w:ascii="Arial" w:cs="Arial" w:eastAsia="Arial" w:hAnsi="Arial"/>
          <w:sz w:val="20"/>
          <w:szCs w:val="20"/>
        </w:rPr>
        <w:t xml:space="preserve">Introduce a Wealth Transition Review program — proactive outreach for clients with balances above $150,000, offering a personalized diversification roadmap and tax optimization consultation.</w:t>
      </w:r>
    </w:p>
    <w:p>
      <w:r>
        <w:br w:type="page"/>
      </w:r>
    </w:p>
    <w:p>
      <w:pPr>
        <w:pBdr>
          <w:bottom w:val="single" w:color="B22234" w:sz="5" w:space="4"/>
        </w:pBdr>
        <w:spacing w:after="120" w:before="200"/>
      </w:pPr>
      <w:r>
        <w:rPr>
          <w:rFonts w:ascii="Arial" w:cs="Arial" w:eastAsia="Arial" w:hAnsi="Arial"/>
          <w:b/>
          <w:bCs/>
          <w:color w:val="B22234"/>
          <w:sz w:val="32"/>
          <w:szCs w:val="32"/>
        </w:rPr>
        <w:t xml:space="preserve">CONCLUSION &amp; STRATEGIC PERSPECTIVES</w:t>
      </w:r>
    </w:p>
    <w:p>
      <w:pPr>
        <w:spacing w:after="60" w:before="60"/>
      </w:pPr>
      <w:r>
        <w:t xml:space="preserve"/>
      </w:r>
    </w:p>
    <w:p>
      <w:pPr>
        <w:spacing w:after="80" w:before="80"/>
        <w:jc w:val="both"/>
      </w:pPr>
      <w:r>
        <w:rPr>
          <w:rFonts w:ascii="Arial" w:cs="Arial" w:eastAsia="Arial" w:hAnsi="Arial"/>
          <w:sz w:val="20"/>
          <w:szCs w:val="20"/>
        </w:rPr>
        <w:t xml:space="preserve">This report demonstrates that Wells Fargo's CSBB division is uniquely positioned to serve a diverse customer base — from low-income individuals beginning their financial journey to affluent clients managing complex wealth portfolios. The common thread across all four segments is the same: impactful banking is not about product volume, it is about alignment precision.</w:t>
      </w:r>
    </w:p>
    <w:p>
      <w:pPr>
        <w:spacing w:after="60" w:before="60"/>
      </w:pPr>
      <w:r>
        <w:t xml:space="preserve"/>
      </w:r>
    </w:p>
    <w:p>
      <w:pPr>
        <w:spacing w:after="80" w:before="160"/>
      </w:pPr>
      <w:r>
        <w:rPr>
          <w:rFonts w:ascii="Arial" w:cs="Arial" w:eastAsia="Arial" w:hAnsi="Arial"/>
          <w:b/>
          <w:bCs/>
          <w:color w:val="1A1A2E"/>
          <w:sz w:val="22"/>
          <w:szCs w:val="22"/>
        </w:rPr>
        <w:t xml:space="preserve">Cross-Segment Strategic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460"/>
      </w:tblGrid>
      <w:tr>
        <w:trPr>
          <w:tblHeader/>
        </w:trPr>
        <w:tc>
          <w:tcPr>
            <w:tcW w:type="dxa" w:w="2500"/>
            <w:tcBorders>
              <w:top w:val="single" w:color="CCCCCC" w:sz="1"/>
              <w:left w:val="single" w:color="CCCCCC" w:sz="1"/>
              <w:bottom w:val="single" w:color="CCCCCC" w:sz="1"/>
              <w:right w:val="single" w:color="CCCCCC" w:sz="1"/>
            </w:tcBorders>
            <w:shd w:fill="B2223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Segment</w:t>
            </w:r>
          </w:p>
        </w:tc>
        <w:tc>
          <w:tcPr>
            <w:tcW w:type="dxa" w:w="2200"/>
            <w:tcBorders>
              <w:top w:val="single" w:color="CCCCCC" w:sz="1"/>
              <w:left w:val="single" w:color="CCCCCC" w:sz="1"/>
              <w:bottom w:val="single" w:color="CCCCCC" w:sz="1"/>
              <w:right w:val="single" w:color="CCCCCC" w:sz="1"/>
            </w:tcBorders>
            <w:shd w:fill="B2223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Core Need</w:t>
            </w:r>
          </w:p>
        </w:tc>
        <w:tc>
          <w:tcPr>
            <w:tcW w:type="dxa" w:w="2200"/>
            <w:tcBorders>
              <w:top w:val="single" w:color="CCCCCC" w:sz="1"/>
              <w:left w:val="single" w:color="CCCCCC" w:sz="1"/>
              <w:bottom w:val="single" w:color="CCCCCC" w:sz="1"/>
              <w:right w:val="single" w:color="CCCCCC" w:sz="1"/>
            </w:tcBorders>
            <w:shd w:fill="B2223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Primary Solution</w:t>
            </w:r>
          </w:p>
        </w:tc>
        <w:tc>
          <w:tcPr>
            <w:tcW w:type="dxa" w:w="2460"/>
            <w:tcBorders>
              <w:top w:val="single" w:color="CCCCCC" w:sz="1"/>
              <w:left w:val="single" w:color="CCCCCC" w:sz="1"/>
              <w:bottom w:val="single" w:color="CCCCCC" w:sz="1"/>
              <w:right w:val="single" w:color="CCCCCC" w:sz="1"/>
            </w:tcBorders>
            <w:shd w:fill="B2223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WF Revenue Driver</w:t>
            </w:r>
          </w:p>
        </w:tc>
      </w:tr>
      <w:tr>
        <w:tc>
          <w:tcPr>
            <w:tcW w:type="dxa" w:w="2500"/>
            <w:tcBorders>
              <w:top w:val="single" w:color="CCCCCC" w:sz="1"/>
              <w:left w:val="single" w:color="CCCCCC" w:sz="1"/>
              <w:bottom w:val="single" w:color="CCCCCC" w:sz="1"/>
              <w:right w:val="single" w:color="CCCCCC" w:sz="1"/>
            </w:tcBorders>
            <w:shd w:fill="FFF5F5" w:val="clear"/>
            <w:tcMar>
              <w:top w:type="dxa" w:w="80"/>
              <w:left w:type="dxa" w:w="100"/>
              <w:bottom w:type="dxa" w:w="80"/>
              <w:right w:type="dxa" w:w="100"/>
            </w:tcMar>
          </w:tcPr>
          <w:p>
            <w:r>
              <w:rPr>
                <w:rFonts w:ascii="Arial" w:cs="Arial" w:eastAsia="Arial" w:hAnsi="Arial"/>
                <w:sz w:val="18"/>
                <w:szCs w:val="18"/>
              </w:rPr>
              <w:t xml:space="preserve">Low-Income</w:t>
            </w:r>
          </w:p>
        </w:tc>
        <w:tc>
          <w:tcPr>
            <w:tcW w:type="dxa" w:w="2200"/>
            <w:tcBorders>
              <w:top w:val="single" w:color="CCCCCC" w:sz="1"/>
              <w:left w:val="single" w:color="CCCCCC" w:sz="1"/>
              <w:bottom w:val="single" w:color="CCCCCC" w:sz="1"/>
              <w:right w:val="single" w:color="CCCCCC" w:sz="1"/>
            </w:tcBorders>
            <w:shd w:fill="FFF5F5" w:val="clear"/>
            <w:tcMar>
              <w:top w:type="dxa" w:w="80"/>
              <w:left w:type="dxa" w:w="100"/>
              <w:bottom w:type="dxa" w:w="80"/>
              <w:right w:type="dxa" w:w="100"/>
            </w:tcMar>
          </w:tcPr>
          <w:p>
            <w:r>
              <w:rPr>
                <w:rFonts w:ascii="Arial" w:cs="Arial" w:eastAsia="Arial" w:hAnsi="Arial"/>
                <w:sz w:val="18"/>
                <w:szCs w:val="18"/>
              </w:rPr>
              <w:t xml:space="preserve">Budgeting &amp; education</w:t>
            </w:r>
          </w:p>
        </w:tc>
        <w:tc>
          <w:tcPr>
            <w:tcW w:type="dxa" w:w="2200"/>
            <w:tcBorders>
              <w:top w:val="single" w:color="CCCCCC" w:sz="1"/>
              <w:left w:val="single" w:color="CCCCCC" w:sz="1"/>
              <w:bottom w:val="single" w:color="CCCCCC" w:sz="1"/>
              <w:right w:val="single" w:color="CCCCCC" w:sz="1"/>
            </w:tcBorders>
            <w:shd w:fill="FFF5F5" w:val="clear"/>
            <w:tcMar>
              <w:top w:type="dxa" w:w="80"/>
              <w:left w:type="dxa" w:w="100"/>
              <w:bottom w:type="dxa" w:w="80"/>
              <w:right w:type="dxa" w:w="100"/>
            </w:tcMar>
          </w:tcPr>
          <w:p>
            <w:r>
              <w:rPr>
                <w:rFonts w:ascii="Arial" w:cs="Arial" w:eastAsia="Arial" w:hAnsi="Arial"/>
                <w:sz w:val="18"/>
                <w:szCs w:val="18"/>
              </w:rPr>
              <w:t xml:space="preserve">Mobile Banking + Tools</w:t>
            </w:r>
          </w:p>
        </w:tc>
        <w:tc>
          <w:tcPr>
            <w:tcW w:type="dxa" w:w="2460"/>
            <w:tcBorders>
              <w:top w:val="single" w:color="CCCCCC" w:sz="1"/>
              <w:left w:val="single" w:color="CCCCCC" w:sz="1"/>
              <w:bottom w:val="single" w:color="CCCCCC" w:sz="1"/>
              <w:right w:val="single" w:color="CCCCCC" w:sz="1"/>
            </w:tcBorders>
            <w:shd w:fill="FFF5F5" w:val="clear"/>
            <w:tcMar>
              <w:top w:type="dxa" w:w="80"/>
              <w:left w:type="dxa" w:w="100"/>
              <w:bottom w:type="dxa" w:w="80"/>
              <w:right w:type="dxa" w:w="100"/>
            </w:tcMar>
          </w:tcPr>
          <w:p>
            <w:r>
              <w:rPr>
                <w:rFonts w:ascii="Arial" w:cs="Arial" w:eastAsia="Arial" w:hAnsi="Arial"/>
                <w:sz w:val="18"/>
                <w:szCs w:val="18"/>
              </w:rPr>
              <w:t xml:space="preserve">Long-term loyalty &amp; upsell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Small Business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Cash flow &amp; credit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Line of Credit + Merchant</w:t>
            </w:r>
          </w:p>
        </w:tc>
        <w:tc>
          <w:tcPr>
            <w:tcW w:type="dxa" w:w="24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Fee income + AUM</w:t>
            </w:r>
          </w:p>
        </w:tc>
      </w:tr>
      <w:tr>
        <w:tc>
          <w:tcPr>
            <w:tcW w:type="dxa" w:w="2500"/>
            <w:tcBorders>
              <w:top w:val="single" w:color="CCCCCC" w:sz="1"/>
              <w:left w:val="single" w:color="CCCCCC" w:sz="1"/>
              <w:bottom w:val="single" w:color="CCCCCC" w:sz="1"/>
              <w:right w:val="single" w:color="CCCCCC" w:sz="1"/>
            </w:tcBorders>
            <w:shd w:fill="FFF5F5" w:val="clear"/>
            <w:tcMar>
              <w:top w:type="dxa" w:w="80"/>
              <w:left w:type="dxa" w:w="100"/>
              <w:bottom w:type="dxa" w:w="80"/>
              <w:right w:type="dxa" w:w="100"/>
            </w:tcMar>
          </w:tcPr>
          <w:p>
            <w:r>
              <w:rPr>
                <w:rFonts w:ascii="Arial" w:cs="Arial" w:eastAsia="Arial" w:hAnsi="Arial"/>
                <w:sz w:val="18"/>
                <w:szCs w:val="18"/>
              </w:rPr>
              <w:t xml:space="preserve">Mass Market</w:t>
            </w:r>
          </w:p>
        </w:tc>
        <w:tc>
          <w:tcPr>
            <w:tcW w:type="dxa" w:w="2200"/>
            <w:tcBorders>
              <w:top w:val="single" w:color="CCCCCC" w:sz="1"/>
              <w:left w:val="single" w:color="CCCCCC" w:sz="1"/>
              <w:bottom w:val="single" w:color="CCCCCC" w:sz="1"/>
              <w:right w:val="single" w:color="CCCCCC" w:sz="1"/>
            </w:tcBorders>
            <w:shd w:fill="FFF5F5" w:val="clear"/>
            <w:tcMar>
              <w:top w:type="dxa" w:w="80"/>
              <w:left w:type="dxa" w:w="100"/>
              <w:bottom w:type="dxa" w:w="80"/>
              <w:right w:type="dxa" w:w="100"/>
            </w:tcMar>
          </w:tcPr>
          <w:p>
            <w:r>
              <w:rPr>
                <w:rFonts w:ascii="Arial" w:cs="Arial" w:eastAsia="Arial" w:hAnsi="Arial"/>
                <w:sz w:val="18"/>
                <w:szCs w:val="18"/>
              </w:rPr>
              <w:t xml:space="preserve">Debt &amp; home purchase</w:t>
            </w:r>
          </w:p>
        </w:tc>
        <w:tc>
          <w:tcPr>
            <w:tcW w:type="dxa" w:w="2200"/>
            <w:tcBorders>
              <w:top w:val="single" w:color="CCCCCC" w:sz="1"/>
              <w:left w:val="single" w:color="CCCCCC" w:sz="1"/>
              <w:bottom w:val="single" w:color="CCCCCC" w:sz="1"/>
              <w:right w:val="single" w:color="CCCCCC" w:sz="1"/>
            </w:tcBorders>
            <w:shd w:fill="FFF5F5" w:val="clear"/>
            <w:tcMar>
              <w:top w:type="dxa" w:w="80"/>
              <w:left w:type="dxa" w:w="100"/>
              <w:bottom w:type="dxa" w:w="80"/>
              <w:right w:type="dxa" w:w="100"/>
            </w:tcMar>
          </w:tcPr>
          <w:p>
            <w:r>
              <w:rPr>
                <w:rFonts w:ascii="Arial" w:cs="Arial" w:eastAsia="Arial" w:hAnsi="Arial"/>
                <w:sz w:val="18"/>
                <w:szCs w:val="18"/>
              </w:rPr>
              <w:t xml:space="preserve">Mortgage + Balance Transfer</w:t>
            </w:r>
          </w:p>
        </w:tc>
        <w:tc>
          <w:tcPr>
            <w:tcW w:type="dxa" w:w="2460"/>
            <w:tcBorders>
              <w:top w:val="single" w:color="CCCCCC" w:sz="1"/>
              <w:left w:val="single" w:color="CCCCCC" w:sz="1"/>
              <w:bottom w:val="single" w:color="CCCCCC" w:sz="1"/>
              <w:right w:val="single" w:color="CCCCCC" w:sz="1"/>
            </w:tcBorders>
            <w:shd w:fill="FFF5F5" w:val="clear"/>
            <w:tcMar>
              <w:top w:type="dxa" w:w="80"/>
              <w:left w:type="dxa" w:w="100"/>
              <w:bottom w:type="dxa" w:w="80"/>
              <w:right w:type="dxa" w:w="100"/>
            </w:tcMar>
          </w:tcPr>
          <w:p>
            <w:r>
              <w:rPr>
                <w:rFonts w:ascii="Arial" w:cs="Arial" w:eastAsia="Arial" w:hAnsi="Arial"/>
                <w:sz w:val="18"/>
                <w:szCs w:val="18"/>
              </w:rPr>
              <w:t xml:space="preserve">Mortgage origination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Affluent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Wealth growth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CDs + Robo-Advisory</w:t>
            </w:r>
          </w:p>
        </w:tc>
        <w:tc>
          <w:tcPr>
            <w:tcW w:type="dxa" w:w="24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AUM + advisory fees</w:t>
            </w:r>
          </w:p>
        </w:tc>
      </w:tr>
    </w:tbl>
    <w:p>
      <w:pPr>
        <w:spacing w:after="60" w:before="60"/>
      </w:pPr>
      <w:r>
        <w:t xml:space="preserve"/>
      </w:r>
    </w:p>
    <w:p>
      <w:pPr>
        <w:spacing w:after="80" w:before="160"/>
      </w:pPr>
      <w:r>
        <w:rPr>
          <w:rFonts w:ascii="Arial" w:cs="Arial" w:eastAsia="Arial" w:hAnsi="Arial"/>
          <w:b/>
          <w:bCs/>
          <w:color w:val="1A1A2E"/>
          <w:sz w:val="22"/>
          <w:szCs w:val="22"/>
        </w:rPr>
        <w:t xml:space="preserve">CRM Optimization Perspectives</w:t>
      </w:r>
    </w:p>
    <w:p>
      <w:pPr>
        <w:spacing w:after="80" w:before="80"/>
        <w:jc w:val="both"/>
      </w:pPr>
      <w:r>
        <w:rPr>
          <w:rFonts w:ascii="Arial" w:cs="Arial" w:eastAsia="Arial" w:hAnsi="Arial"/>
          <w:sz w:val="20"/>
          <w:szCs w:val="20"/>
        </w:rPr>
        <w:t xml:space="preserve">The following strategic recommendations are designed to strengthen Wells Fargo's CRM capabilities and maximize lifetime customer value across all CSBB segments:</w:t>
      </w:r>
    </w:p>
    <w:p>
      <w:pPr>
        <w:spacing w:after="60" w:before="60"/>
      </w:pPr>
      <w:r>
        <w:t xml:space="preserve"/>
      </w:r>
    </w:p>
    <w:p>
      <w:pPr>
        <w:pStyle w:val="ListParagraph"/>
        <w:numPr>
          <w:ilvl w:val="0"/>
          <w:numId w:val="2"/>
        </w:numPr>
        <w:spacing w:after="40" w:before="40"/>
      </w:pPr>
      <w:r>
        <w:rPr>
          <w:rFonts w:ascii="Arial" w:cs="Arial" w:eastAsia="Arial" w:hAnsi="Arial"/>
          <w:sz w:val="20"/>
          <w:szCs w:val="20"/>
        </w:rPr>
        <w:t xml:space="preserve">Behavioral Trigger Engine: Implement automated product recommendation triggers based on account activity thresholds — e.g., when a savings balance crosses $3,000 consistently for 60 days, trigger an investment onboarding prompt for the Low-Income and Mass Market segments.</w:t>
      </w:r>
    </w:p>
    <w:p>
      <w:pPr>
        <w:pStyle w:val="ListParagraph"/>
        <w:numPr>
          <w:ilvl w:val="0"/>
          <w:numId w:val="2"/>
        </w:numPr>
        <w:spacing w:after="40" w:before="40"/>
      </w:pPr>
      <w:r>
        <w:rPr>
          <w:rFonts w:ascii="Arial" w:cs="Arial" w:eastAsia="Arial" w:hAnsi="Arial"/>
          <w:sz w:val="20"/>
          <w:szCs w:val="20"/>
        </w:rPr>
        <w:t xml:space="preserve">Segment Migration Pathways: Define clear product escalation journeys for each segment — Low-Income → Mass Market → Affluent — with proactive milestone-based outreach aligned to life events (first job, marriage, business launch, pre-retirement).</w:t>
      </w:r>
    </w:p>
    <w:p>
      <w:pPr>
        <w:pStyle w:val="ListParagraph"/>
        <w:numPr>
          <w:ilvl w:val="0"/>
          <w:numId w:val="2"/>
        </w:numPr>
        <w:spacing w:after="40" w:before="40"/>
      </w:pPr>
      <w:r>
        <w:rPr>
          <w:rFonts w:ascii="Arial" w:cs="Arial" w:eastAsia="Arial" w:hAnsi="Arial"/>
          <w:sz w:val="20"/>
          <w:szCs w:val="20"/>
        </w:rPr>
        <w:t xml:space="preserve">Digital-First Advisory Hybrid: For the Small Business and Affluent segments, combine automated tools (robo-advisory, merchant analytics) with periodic human advisor touchpoints — addressing both the desire for self-service and the need for strategic guidance.</w:t>
      </w:r>
    </w:p>
    <w:p>
      <w:pPr>
        <w:pStyle w:val="ListParagraph"/>
        <w:numPr>
          <w:ilvl w:val="0"/>
          <w:numId w:val="2"/>
        </w:numPr>
        <w:spacing w:after="40" w:before="40"/>
      </w:pPr>
      <w:r>
        <w:rPr>
          <w:rFonts w:ascii="Arial" w:cs="Arial" w:eastAsia="Arial" w:hAnsi="Arial"/>
          <w:sz w:val="20"/>
          <w:szCs w:val="20"/>
        </w:rPr>
        <w:t xml:space="preserve">Unified Customer Intelligence Dashboard: Integrate cross-product behavioral data into a single CRM view per customer, enabling relationship managers to anticipate needs before customers articulate them — shifting Wells Fargo from reactive service to proactive partnership.</w:t>
      </w:r>
    </w:p>
    <w:p>
      <w:pPr>
        <w:pStyle w:val="ListParagraph"/>
        <w:numPr>
          <w:ilvl w:val="0"/>
          <w:numId w:val="2"/>
        </w:numPr>
        <w:spacing w:after="40" w:before="40"/>
      </w:pPr>
      <w:r>
        <w:rPr>
          <w:rFonts w:ascii="Arial" w:cs="Arial" w:eastAsia="Arial" w:hAnsi="Arial"/>
          <w:sz w:val="20"/>
          <w:szCs w:val="20"/>
        </w:rPr>
        <w:t xml:space="preserve">Financial Inclusion as a Growth Strategy: Investing in the Low-Income segment through education and digital onboarding is not philanthropy — it is pipeline development. Today's budgeting customer is tomorrow's mortgage applicant.</w:t>
      </w:r>
    </w:p>
    <w:p>
      <w:pPr>
        <w:spacing w:after="60" w:before="60"/>
      </w:pPr>
      <w:r>
        <w:t xml:space="preserve"/>
      </w:r>
    </w:p>
    <w:p>
      <w:pPr>
        <w:spacing w:after="80" w:before="80"/>
        <w:jc w:val="both"/>
      </w:pPr>
      <w:r>
        <w:rPr>
          <w:rFonts w:ascii="Arial" w:cs="Arial" w:eastAsia="Arial" w:hAnsi="Arial"/>
          <w:i/>
          <w:iCs/>
          <w:sz w:val="20"/>
          <w:szCs w:val="20"/>
        </w:rPr>
        <w:t xml:space="preserve">In conclusion, the recommendations in this report reflect a consistent philosophy: the best banking relationship is one where the customer feels understood, not sold to. Wells Fargo's competitive advantage in the CSBB space lies not in product breadth alone, but in the quality of alignment between customer reality and institutional response.</w:t>
      </w:r>
    </w:p>
    <w:p>
      <w:pPr>
        <w:spacing w:after="60" w:before="60"/>
      </w:pPr>
      <w:r>
        <w:t xml:space="preserve"/>
      </w:r>
    </w:p>
    <w:p>
      <w:pPr>
        <w:pBdr>
          <w:top w:val="single" w:color="B22234" w:sz="4" w:space="4"/>
        </w:pBdr>
        <w:spacing w:after="0" w:before="200"/>
        <w:jc w:val="center"/>
      </w:pPr>
      <w:r>
        <w:rPr>
          <w:rFonts w:ascii="Arial" w:cs="Arial" w:eastAsia="Arial" w:hAnsi="Arial"/>
          <w:color w:val="888888"/>
          <w:sz w:val="17"/>
          <w:szCs w:val="17"/>
        </w:rPr>
        <w:t xml:space="preserve">Lise Robelia — CSBB Intern | Wells Fargo Job Simulation via Forage | April 2026 | v3.0</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7"/>
        <w:szCs w:val="17"/>
      </w:rPr>
      <w:t xml:space="preserve">Wells Fargo CSBB — Customer Solutions Report v3.0 | CONFIDENTIAL | Page </w:t>
    </w:r>
    <w:r>
      <w:rPr>
        <w:rFonts w:ascii="Arial" w:cs="Arial" w:eastAsia="Arial" w:hAnsi="Arial"/>
        <w:color w:val="88888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00"/>
      <w:outlineLvl w:val="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2026-04-16T00:43:50.497Z</dcterms:created>
  <dcterms:modified xsi:type="dcterms:W3CDTF">2026-04-16T00:43:50.498Z</dcterms:modified>
</cp:coreProperties>
</file>

<file path=docProps/custom.xml><?xml version="1.0" encoding="utf-8"?>
<Properties xmlns="http://schemas.openxmlformats.org/officeDocument/2006/custom-properties" xmlns:vt="http://schemas.openxmlformats.org/officeDocument/2006/docPropsVTypes"/>
</file>