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ED14" w14:textId="29CCA3F6" w:rsidR="001256DA" w:rsidRPr="001256DA" w:rsidRDefault="001256DA" w:rsidP="001256DA">
      <w:pPr>
        <w:rPr>
          <w:rFonts w:ascii="Times New Roman" w:hAnsi="Times New Roman" w:cs="Times New Roman"/>
          <w:sz w:val="28"/>
          <w:szCs w:val="28"/>
        </w:rPr>
      </w:pPr>
      <w:r w:rsidRPr="001256DA">
        <w:rPr>
          <w:rFonts w:ascii="Times New Roman" w:hAnsi="Times New Roman" w:cs="Times New Roman"/>
          <w:b/>
          <w:bCs/>
          <w:sz w:val="28"/>
          <w:szCs w:val="28"/>
        </w:rPr>
        <w:t>LLM-Enhanced Multi-objective Bayesian Optimization for Fast Charging of Lithium-Ion Batteries</w:t>
      </w:r>
    </w:p>
    <w:p w14:paraId="217943CE" w14:textId="77777777" w:rsidR="001256DA" w:rsidRDefault="001256DA" w:rsidP="001256DA">
      <w:pPr>
        <w:rPr>
          <w:rFonts w:ascii="Times New Roman" w:hAnsi="Times New Roman" w:cs="Times New Roman"/>
        </w:rPr>
      </w:pPr>
    </w:p>
    <w:p w14:paraId="403971B9" w14:textId="77777777" w:rsidR="001256DA" w:rsidRDefault="001256DA" w:rsidP="001256DA">
      <w:pPr>
        <w:rPr>
          <w:rFonts w:ascii="Times New Roman" w:hAnsi="Times New Roman" w:cs="Times New Roman"/>
        </w:rPr>
      </w:pPr>
    </w:p>
    <w:p w14:paraId="422983E9" w14:textId="442AFD05" w:rsidR="001256DA" w:rsidRPr="001256DA" w:rsidRDefault="001256DA" w:rsidP="001256DA">
      <w:pPr>
        <w:rPr>
          <w:rFonts w:ascii="Times New Roman" w:hAnsi="Times New Roman" w:cs="Times New Roman"/>
          <w:sz w:val="28"/>
          <w:szCs w:val="32"/>
        </w:rPr>
      </w:pPr>
      <w:r w:rsidRPr="001256DA">
        <w:rPr>
          <w:rFonts w:ascii="Times New Roman" w:hAnsi="Times New Roman" w:cs="Times New Roman"/>
          <w:sz w:val="28"/>
          <w:szCs w:val="32"/>
        </w:rPr>
        <w:t>Abstract</w:t>
      </w:r>
    </w:p>
    <w:p w14:paraId="4DB64E72" w14:textId="77777777" w:rsidR="001256DA" w:rsidRPr="001256DA" w:rsidRDefault="001256DA" w:rsidP="001256DA">
      <w:pPr>
        <w:rPr>
          <w:rFonts w:ascii="Times New Roman" w:hAnsi="Times New Roman" w:cs="Times New Roman"/>
        </w:rPr>
      </w:pPr>
    </w:p>
    <w:p w14:paraId="3D3F5E71" w14:textId="65EC4C38" w:rsidR="007F1B45" w:rsidRDefault="001256DA" w:rsidP="001256DA">
      <w:pPr>
        <w:rPr>
          <w:rFonts w:ascii="Times New Roman" w:hAnsi="Times New Roman" w:cs="Times New Roman"/>
          <w:sz w:val="24"/>
          <w:szCs w:val="24"/>
        </w:rPr>
      </w:pPr>
      <w:r w:rsidRPr="001256DA">
        <w:rPr>
          <w:rFonts w:ascii="Times New Roman" w:hAnsi="Times New Roman" w:cs="Times New Roman"/>
          <w:sz w:val="24"/>
          <w:szCs w:val="24"/>
        </w:rPr>
        <w:t>Efficient fast-charging of lithium-ion batteries presents a complex multi-objective optimization challenge, demanding a careful balance among charging time, energy efficiency, and battery health. Traditional black-box optimization methods often suffer from low sample efficiency and the "cold-start" problem due to a lack of prior domain knowledge. To address these limitations, this paper proposes a novel framework: Large Language Model-enhanced Multi-Objective Bayesian Optimization (LLM-MOBO). This framework integrates the semantic reasoning and knowledge retrieval capabilities of Large Language Models (LLMs) into the iterative loop of Bayesian Optimization. The LLM functions as a knowledge-driven agent, providing high-quality warm-start candidates and imposing semantic constraints to narrow the search space to physically feasible regions. Coupling this LLM-driven mechanism with a Tchebycheff scalarization-based acquisition function, our method effectively guides the Gaussian Process surrogate model toward the Pareto-optimal front. Comparative experiments based on the PyBaMM electrochemical model demonstrate that LLM-MOBO significantly outperforms traditional Genetic Algorithms (GA), Particle Swarm Optimization (PSO), and standard Bayesian Optimization (BO). The results confirm that the proposed approach achieves superior convergence rates ,offering a data-efficient solution for battery management systems.</w:t>
      </w:r>
    </w:p>
    <w:p w14:paraId="5ADBE42E" w14:textId="77777777" w:rsidR="001256DA" w:rsidRDefault="001256DA" w:rsidP="001256DA">
      <w:pPr>
        <w:rPr>
          <w:rFonts w:ascii="Times New Roman" w:hAnsi="Times New Roman" w:cs="Times New Roman"/>
          <w:sz w:val="24"/>
          <w:szCs w:val="24"/>
        </w:rPr>
      </w:pPr>
    </w:p>
    <w:p w14:paraId="2BFFDFED" w14:textId="3BBCD57F" w:rsidR="001256DA" w:rsidRDefault="001256DA" w:rsidP="001256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Introduction</w:t>
      </w:r>
    </w:p>
    <w:sectPr w:rsidR="001256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BF"/>
    <w:rsid w:val="001256DA"/>
    <w:rsid w:val="001663BF"/>
    <w:rsid w:val="0032672C"/>
    <w:rsid w:val="00652E4E"/>
    <w:rsid w:val="006F7DFC"/>
    <w:rsid w:val="00795DC0"/>
    <w:rsid w:val="007F1B45"/>
    <w:rsid w:val="00857B45"/>
    <w:rsid w:val="008C3609"/>
    <w:rsid w:val="00B32BEB"/>
    <w:rsid w:val="00EE36B6"/>
    <w:rsid w:val="00F4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F442"/>
  <w15:chartTrackingRefBased/>
  <w15:docId w15:val="{E704E4D5-B3CE-4AB8-981A-8543C4AA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63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3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3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3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3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3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3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3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63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6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6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63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63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63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63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63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63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63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6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3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63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3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63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3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3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63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xuanyi li</dc:creator>
  <cp:keywords/>
  <dc:description/>
  <cp:lastModifiedBy>xuanyi li</cp:lastModifiedBy>
  <cp:revision>1</cp:revision>
  <dcterms:created xsi:type="dcterms:W3CDTF">2025-11-29T13:38:00Z</dcterms:created>
  <dcterms:modified xsi:type="dcterms:W3CDTF">2025-12-03T01:15:00Z</dcterms:modified>
</cp:coreProperties>
</file>