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7.png" ContentType="image/png"/>
  <Override PartName="/word/media/rId20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Ли Хан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создания таблиц в системе вёрстки</w:t>
      </w:r>
      <w:r>
        <w:t xml:space="preserve"> </w:t>
      </w:r>
      <w:r>
        <w:rPr>
          <w:b/>
          <w:bCs/>
        </w:rPr>
        <w:t xml:space="preserve">LaTeX</w:t>
      </w:r>
      <w:r>
        <w:t xml:space="preserve">, применение различных типов выравнивания столбцов, использование стилей колонок и продвинутого форматирования таблиц.</w:t>
      </w:r>
    </w:p>
    <w:bookmarkEnd w:id="9"/>
    <w:bookmarkStart w:id="45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16" w:name="создание-простых-таблиц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простых таблиц</w:t>
      </w:r>
    </w:p>
    <w:p>
      <w:pPr>
        <w:pStyle w:val="FirstParagraph"/>
      </w:pPr>
      <w:r>
        <w:t xml:space="preserve">Эксперимент начался с создания простейшей таблицы через окружение</w:t>
      </w:r>
      <w:r>
        <w:t xml:space="preserve"> </w:t>
      </w:r>
      <w:r>
        <w:rPr>
          <w:rStyle w:val="VerbatimChar"/>
        </w:rPr>
        <w:t xml:space="preserve">tabular</w:t>
      </w:r>
      <w:r>
        <w:t xml:space="preserve">. Установлено, что структура таблицы жестко задается в преамбуле, где количество и тип столбцов определяют логику дальнейшего заполнения данными.</w:t>
      </w:r>
    </w:p>
    <w:p>
      <w:pPr>
        <w:pStyle w:val="CaptionedFigure"/>
      </w:pPr>
      <w:r>
        <w:drawing>
          <wp:inline>
            <wp:extent cx="5334000" cy="2371617"/>
            <wp:effectExtent b="0" l="0" r="0" t="0"/>
            <wp:docPr descr="Компиляция простых таблиц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простых таблиц</w:t>
      </w:r>
    </w:p>
    <w:p>
      <w:pPr>
        <w:pStyle w:val="CaptionedFigure"/>
      </w:pPr>
      <w:r>
        <w:drawing>
          <wp:inline>
            <wp:extent cx="4851132" cy="1491915"/>
            <wp:effectExtent b="0" l="0" r="0" t="0"/>
            <wp:docPr descr="Результат первой компиляции" title="" id="14" name="Picture"/>
            <a:graphic>
              <a:graphicData uri="http://schemas.openxmlformats.org/drawingml/2006/picture">
                <pic:pic>
                  <pic:nvPicPr>
                    <pic:cNvPr descr="image/0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32" cy="1491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первой компиляции</w:t>
      </w:r>
    </w:p>
    <w:bookmarkEnd w:id="16"/>
    <w:bookmarkStart w:id="23" w:name="сравнительный-анализ-выравнивания-l-c-r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Сравнительный анализ выравнивания (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)</w:t>
      </w:r>
    </w:p>
    <w:p>
      <w:pPr>
        <w:numPr>
          <w:ilvl w:val="0"/>
          <w:numId w:val="1001"/>
        </w:numPr>
      </w:pPr>
      <w:r>
        <w:t xml:space="preserve">l (left): Текст прижимается к левой границе, оставляя свободное пространство справа. Это стандарт для текстовых данных.</w:t>
      </w:r>
    </w:p>
    <w:p>
      <w:pPr>
        <w:numPr>
          <w:ilvl w:val="0"/>
          <w:numId w:val="1001"/>
        </w:numPr>
      </w:pPr>
      <w:r>
        <w:t xml:space="preserve">c (center): Текст располагается ровно посередине ячейки. Подходит для заголовков или числовых данных.</w:t>
      </w:r>
    </w:p>
    <w:p>
      <w:pPr>
        <w:numPr>
          <w:ilvl w:val="0"/>
          <w:numId w:val="1001"/>
        </w:numPr>
      </w:pPr>
      <w:r>
        <w:t xml:space="preserve">r (right): Текст прижимается к правой границе. Часто используется для выравнивания разрядов в финансовых таблицах.</w:t>
      </w:r>
      <w:r>
        <w:t xml:space="preserve"> </w:t>
      </w: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\hspace</w:t>
      </w:r>
      <w:r>
        <w:t xml:space="preserve"> </w:t>
      </w:r>
      <w:r>
        <w:t xml:space="preserve">позволило наглядно увидеть, как LaTeX распределяет пустое пространство внутри ячейки в зависимости от выбранного флага.</w:t>
      </w:r>
    </w:p>
    <w:p>
      <w:pPr>
        <w:pStyle w:val="CaptionedFigure"/>
      </w:pPr>
      <w:r>
        <w:drawing>
          <wp:inline>
            <wp:extent cx="4283242" cy="4312117"/>
            <wp:effectExtent b="0" l="0" r="0" t="0"/>
            <wp:docPr descr="Сравнительный анализ выравнивания" title="" id="18" name="Picture"/>
            <a:graphic>
              <a:graphicData uri="http://schemas.openxmlformats.org/drawingml/2006/picture">
                <pic:pic>
                  <pic:nvPicPr>
                    <pic:cNvPr descr="image/0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242" cy="4312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Сравнительный анализ выравнивания</w:t>
      </w:r>
    </w:p>
    <w:p>
      <w:pPr>
        <w:pStyle w:val="CaptionedFigure"/>
      </w:pPr>
      <w:r>
        <w:drawing>
          <wp:inline>
            <wp:extent cx="5334000" cy="2430378"/>
            <wp:effectExtent b="0" l="0" r="0" t="0"/>
            <wp:docPr descr="Сравнительный анализ выравнивания" title="" id="21" name="Picture"/>
            <a:graphic>
              <a:graphicData uri="http://schemas.openxmlformats.org/drawingml/2006/picture">
                <pic:pic>
                  <pic:nvPicPr>
                    <pic:cNvPr descr="image/0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Сравнительный анализ выравнивания</w:t>
      </w:r>
    </w:p>
    <w:bookmarkEnd w:id="23"/>
    <w:bookmarkStart w:id="30" w:name="недостаток-элементов-в-строке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Недостаток элементов в строке:</w:t>
      </w:r>
    </w:p>
    <w:p>
      <w:pPr>
        <w:pStyle w:val="FirstParagraph"/>
      </w:pPr>
      <w:r>
        <w:t xml:space="preserve">При заполнении строки меньшим количеством данных (пропуск символа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), чем объявлено в преамбуле, система не выдает ошибку. Вместо этого в правой части таблицы формируются пустые ячейки, что позволяет создавать разреженные структуры данных.</w:t>
      </w:r>
    </w:p>
    <w:p>
      <w:pPr>
        <w:pStyle w:val="CaptionedFigure"/>
      </w:pPr>
      <w:r>
        <w:drawing>
          <wp:inline>
            <wp:extent cx="5334000" cy="954618"/>
            <wp:effectExtent b="0" l="0" r="0" t="0"/>
            <wp:docPr descr="недостаток элементов в строке" title="" id="25" name="Picture"/>
            <a:graphic>
              <a:graphicData uri="http://schemas.openxmlformats.org/drawingml/2006/picture">
                <pic:pic>
                  <pic:nvPicPr>
                    <pic:cNvPr descr="image/0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4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недостаток элементов в строке</w:t>
      </w:r>
    </w:p>
    <w:p>
      <w:pPr>
        <w:pStyle w:val="CaptionedFigure"/>
      </w:pPr>
      <w:r>
        <w:drawing>
          <wp:inline>
            <wp:extent cx="5334000" cy="1164980"/>
            <wp:effectExtent b="0" l="0" r="0" t="0"/>
            <wp:docPr descr="недостаток элементов в строке:" title="" id="28" name="Picture"/>
            <a:graphic>
              <a:graphicData uri="http://schemas.openxmlformats.org/drawingml/2006/picture">
                <pic:pic>
                  <pic:nvPicPr>
                    <pic:cNvPr descr="image/06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4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недостаток элементов в строке:</w:t>
      </w:r>
    </w:p>
    <w:bookmarkEnd w:id="30"/>
    <w:bookmarkStart w:id="37" w:name="избыток-элементов-и-ошибки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Избыток элементов и ошибки:</w:t>
      </w:r>
    </w:p>
    <w:p>
      <w:pPr>
        <w:pStyle w:val="FirstParagraph"/>
      </w:pPr>
      <w:r>
        <w:t xml:space="preserve">На основе эксперимента Было выявлено, что добавление лишних разделителей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нарушает структуру окружения и приводит к критической ошибке компиляции. Это подтверждает необходимость строгого соответствия данных объявленной конфигурации столбцов.</w:t>
      </w:r>
    </w:p>
    <w:p>
      <w:pPr>
        <w:pStyle w:val="CaptionedFigure"/>
      </w:pPr>
      <w:r>
        <w:drawing>
          <wp:inline>
            <wp:extent cx="5334000" cy="326973"/>
            <wp:effectExtent b="0" l="0" r="0" t="0"/>
            <wp:docPr descr="Избыток элементов и ошибки" title="" id="32" name="Picture"/>
            <a:graphic>
              <a:graphicData uri="http://schemas.openxmlformats.org/drawingml/2006/picture">
                <pic:pic>
                  <pic:nvPicPr>
                    <pic:cNvPr descr="image/07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Избыток элементов и ошибки</w:t>
      </w:r>
    </w:p>
    <w:p>
      <w:pPr>
        <w:pStyle w:val="CaptionedFigure"/>
      </w:pPr>
      <w:r>
        <w:drawing>
          <wp:inline>
            <wp:extent cx="5334000" cy="1175092"/>
            <wp:effectExtent b="0" l="0" r="0" t="0"/>
            <wp:docPr descr="Избыток элементов и ошибки" title="" id="35" name="Picture"/>
            <a:graphic>
              <a:graphicData uri="http://schemas.openxmlformats.org/drawingml/2006/picture">
                <pic:pic>
                  <pic:nvPicPr>
                    <pic:cNvPr descr="image/08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5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Избыток элементов и ошибки</w:t>
      </w:r>
    </w:p>
    <w:bookmarkEnd w:id="37"/>
    <w:bookmarkStart w:id="44" w:name="горизонтальное-объединение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Горизонтальное объединение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 </w:t>
      </w:r>
      <w:r>
        <w:t xml:space="preserve">успешно реализовано объединение нескольких столбцов. Анализ показал, что данная команда не только визуально объединяет ячейки, но и позволяет переопределить стиль выравнивания (например, сменить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c</w:t>
      </w:r>
      <w:r>
        <w:t xml:space="preserve">) для конкретной объединенной области.</w:t>
      </w:r>
    </w:p>
    <w:p>
      <w:pPr>
        <w:pStyle w:val="CaptionedFigure"/>
      </w:pPr>
      <w:r>
        <w:drawing>
          <wp:inline>
            <wp:extent cx="5334000" cy="1943033"/>
            <wp:effectExtent b="0" l="0" r="0" t="0"/>
            <wp:docPr descr="Горизонтальное объединение" title="" id="39" name="Picture"/>
            <a:graphic>
              <a:graphicData uri="http://schemas.openxmlformats.org/drawingml/2006/picture">
                <pic:pic>
                  <pic:nvPicPr>
                    <pic:cNvPr descr="image/0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объединение</w:t>
      </w:r>
    </w:p>
    <w:p>
      <w:pPr>
        <w:pStyle w:val="CaptionedFigure"/>
      </w:pPr>
      <w:r>
        <w:drawing>
          <wp:inline>
            <wp:extent cx="5334000" cy="1554178"/>
            <wp:effectExtent b="0" l="0" r="0" t="0"/>
            <wp:docPr descr="Горизонтальное объединение" title="" id="42" name="Picture"/>
            <a:graphic>
              <a:graphicData uri="http://schemas.openxmlformats.org/drawingml/2006/picture">
                <pic:pic>
                  <pic:nvPicPr>
                    <pic:cNvPr descr="image/1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4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объединение</w:t>
      </w:r>
    </w:p>
    <w:bookmarkEnd w:id="44"/>
    <w:bookmarkEnd w:id="45"/>
    <w:bookmarkStart w:id="4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Работа с таблицами в LaTeX требует четкого предварительного планирования структуры. Использование профессиональных инструментов, таких как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, значительно улучшает эстетический вид таблиц, делая их пригодными для научных публикаций.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Ли Хан</dc:creator>
  <dc:language>ru-RU</dc:language>
  <cp:keywords/>
  <dcterms:created xsi:type="dcterms:W3CDTF">2026-03-11T14:20:48Z</dcterms:created>
  <dcterms:modified xsi:type="dcterms:W3CDTF">2026-03-11T14:20:48Z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