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№8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Ли Хан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возможностей пакета</w:t>
      </w:r>
      <w:r>
        <w:t xml:space="preserve"> </w:t>
      </w:r>
      <w:r>
        <w:rPr>
          <w:b/>
          <w:bCs/>
        </w:rPr>
        <w:t xml:space="preserve">TikZ</w:t>
      </w:r>
      <w:r>
        <w:t xml:space="preserve"> </w:t>
      </w:r>
      <w:r>
        <w:t xml:space="preserve">для создания графических объектов в LaTeX, включая построение графов, графиков функций и фрактальных структур, а также освоение принципов описания изображений в виде кода с использованием узлов, путей, координат, параметрических кривых и итеративных конструкций.</w:t>
      </w:r>
    </w:p>
    <w:bookmarkEnd w:id="9"/>
    <w:bookmarkStart w:id="25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10" w:name="X7f3428921c1bd7b117ab09a16c4dd7d5f9442ad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Компиляция и проверка задания</w:t>
      </w:r>
      <w:r>
        <w:t xml:space="preserve"> </w:t>
      </w:r>
      <w:r>
        <w:rPr>
          <w:i/>
          <w:iCs/>
        </w:rPr>
        <w:t xml:space="preserve">Exercise 8.2.1 (Graph)</w:t>
      </w:r>
    </w:p>
    <w:p>
      <w:pPr>
        <w:pStyle w:val="FirstParagraph"/>
      </w:pPr>
      <w:r>
        <w:t xml:space="preserve">Реализован симметричный граф с шестью узлами. Использованы полярные координаты</w:t>
      </w:r>
      <w:r>
        <w:t xml:space="preserve"> </w:t>
      </w:r>
      <w:r>
        <w:rPr>
          <w:rStyle w:val="VerbatimChar"/>
        </w:rPr>
        <w:t xml:space="preserve">angle:radius</w:t>
      </w:r>
      <w:r>
        <w:t xml:space="preserve"> </w:t>
      </w:r>
      <w:r>
        <w:t xml:space="preserve">для точного размещения узлов A–F по кругу.</w:t>
      </w:r>
    </w:p>
    <w:p>
      <w:pPr>
        <w:pStyle w:val="BodyText"/>
      </w:pPr>
      <w:r>
        <w:t xml:space="preserve">В ходе упражнения освоены стили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для узлов с двойной границей и параметры</w:t>
      </w:r>
      <w:r>
        <w:t xml:space="preserve"> </w:t>
      </w:r>
      <w:r>
        <w:rPr>
          <w:rStyle w:val="VerbatimChar"/>
        </w:rPr>
        <w:t xml:space="preserve">bend</w:t>
      </w:r>
      <w:r>
        <w:t xml:space="preserve"> </w:t>
      </w:r>
      <w:r>
        <w:t xml:space="preserve">для создания изогнутых путей. Применение белого фона для меток позволило корректно накладывать текст на линии.</w:t>
      </w:r>
    </w:p>
    <w:bookmarkEnd w:id="10"/>
    <w:bookmarkStart w:id="17" w:name="X9f332a1838772f598fa1b5805a34df0066e4c35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Компиляция и проверка задания</w:t>
      </w:r>
      <w:r>
        <w:t xml:space="preserve"> </w:t>
      </w:r>
      <w:r>
        <w:rPr>
          <w:i/>
          <w:iCs/>
        </w:rPr>
        <w:t xml:space="preserve">Exercise 8.2.2 (Plot)</w:t>
      </w:r>
    </w:p>
    <w:p>
      <w:pPr>
        <w:pStyle w:val="FirstParagraph"/>
      </w:pPr>
      <w:r>
        <w:t xml:space="preserve">Построены графики экспоненты</w:t>
      </w:r>
      <w:r>
        <w:t xml:space="preserve"> </w:t>
      </w:r>
      <w:r>
        <w:rPr>
          <w:rStyle w:val="VerbatimChar"/>
        </w:rPr>
        <w:t xml:space="preserve">y = e^x</w:t>
      </w:r>
      <w:r>
        <w:t xml:space="preserve"> </w:t>
      </w:r>
      <w:r>
        <w:t xml:space="preserve">и натурального логарифма</w:t>
      </w:r>
      <w:r>
        <w:t xml:space="preserve"> </w:t>
      </w:r>
      <w:r>
        <w:rPr>
          <w:rStyle w:val="VerbatimChar"/>
        </w:rPr>
        <w:t xml:space="preserve">y = ln(x)</w:t>
      </w:r>
    </w:p>
    <w:p>
      <w:pPr>
        <w:pStyle w:val="CaptionedFigure"/>
      </w:pPr>
      <w:r>
        <w:drawing>
          <wp:inline>
            <wp:extent cx="5334000" cy="2907436"/>
            <wp:effectExtent b="0" l="0" r="0" t="0"/>
            <wp:docPr descr="Компиляция" title="" id="12" name="Picture"/>
            <a:graphic>
              <a:graphicData uri="http://schemas.openxmlformats.org/drawingml/2006/picture">
                <pic:pic>
                  <pic:nvPicPr>
                    <pic:cNvPr descr="image/03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</w:t>
      </w:r>
    </w:p>
    <w:p>
      <w:pPr>
        <w:pStyle w:val="BodyText"/>
      </w:pPr>
      <w:r>
        <w:t xml:space="preserve">Отработан навык использования команды plot. Установлено, что для корректного отображения логарифма необходимо ограничивать область определения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 а параметр</w:t>
      </w:r>
      <w:r>
        <w:t xml:space="preserve"> </w:t>
      </w:r>
      <w:r>
        <w:rPr>
          <w:rStyle w:val="VerbatimChar"/>
        </w:rPr>
        <w:t xml:space="preserve">samples=100</w:t>
      </w:r>
      <w:r>
        <w:t xml:space="preserve"> </w:t>
      </w:r>
      <w:r>
        <w:t xml:space="preserve">критически важен для плавности кривых.</w:t>
      </w:r>
    </w:p>
    <w:p>
      <w:pPr>
        <w:pStyle w:val="CaptionedFigure"/>
      </w:pPr>
      <w:r>
        <w:drawing>
          <wp:inline>
            <wp:extent cx="4331368" cy="5409397"/>
            <wp:effectExtent b="0" l="0" r="0" t="0"/>
            <wp:docPr descr="Результат" title="" id="15" name="Picture"/>
            <a:graphic>
              <a:graphicData uri="http://schemas.openxmlformats.org/drawingml/2006/picture">
                <pic:pic>
                  <pic:nvPicPr>
                    <pic:cNvPr descr="image/0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368" cy="5409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</w:t>
      </w:r>
    </w:p>
    <w:bookmarkEnd w:id="17"/>
    <w:bookmarkStart w:id="24" w:name="Xa167ba347fecc4e589aa37ae7c2e2f330b97b7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Компиляция и проверка задания</w:t>
      </w:r>
      <w:r>
        <w:t xml:space="preserve"> </w:t>
      </w:r>
      <w:r>
        <w:rPr>
          <w:i/>
          <w:iCs/>
        </w:rPr>
        <w:t xml:space="preserve">Exercise 8.2.3 (Sierpinski Carpet)</w:t>
      </w:r>
    </w:p>
    <w:p>
      <w:pPr>
        <w:pStyle w:val="FirstParagraph"/>
      </w:pPr>
      <w:r>
        <w:t xml:space="preserve">На основе алгоритма треугольника Серпинского создан рекурсивный макрос для генерации фрактального ковра.</w:t>
      </w:r>
    </w:p>
    <w:p>
      <w:pPr>
        <w:pStyle w:val="CaptionedFigure"/>
      </w:pPr>
      <w:r>
        <w:drawing>
          <wp:inline>
            <wp:extent cx="5334000" cy="4174828"/>
            <wp:effectExtent b="0" l="0" r="0" t="0"/>
            <wp:docPr descr="Компиляция" title="" id="19" name="Picture"/>
            <a:graphic>
              <a:graphicData uri="http://schemas.openxmlformats.org/drawingml/2006/picture">
                <pic:pic>
                  <pic:nvPicPr>
                    <pic:cNvPr descr="image/0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</w:t>
      </w:r>
    </w:p>
    <w:p>
      <w:pPr>
        <w:pStyle w:val="BodyText"/>
      </w:pPr>
      <w:r>
        <w:t xml:space="preserve">Реализована логика деления квадрата на 9 частей с исключением центрального сегмента. Использование примитива</w:t>
      </w:r>
      <w:r>
        <w:t xml:space="preserve"> </w:t>
      </w:r>
      <w:r>
        <w:rPr>
          <w:rStyle w:val="VerbatimChar"/>
        </w:rPr>
        <w:t xml:space="preserve">\numexpr</w:t>
      </w:r>
      <w:r>
        <w:t xml:space="preserve"> </w:t>
      </w:r>
      <w:r>
        <w:t xml:space="preserve">позволило избежать ошибок вычисления при передаче аргументов в рекурсию, обеспечив стабильную компиляцию 3-х уровней фрактала.</w:t>
      </w:r>
    </w:p>
    <w:p>
      <w:pPr>
        <w:pStyle w:val="CaptionedFigure"/>
      </w:pPr>
      <w:r>
        <w:drawing>
          <wp:inline>
            <wp:extent cx="5334000" cy="5230175"/>
            <wp:effectExtent b="0" l="0" r="0" t="0"/>
            <wp:docPr descr="Результа" title="" id="22" name="Picture"/>
            <a:graphic>
              <a:graphicData uri="http://schemas.openxmlformats.org/drawingml/2006/picture">
                <pic:pic>
                  <pic:nvPicPr>
                    <pic:cNvPr descr="image/0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0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</w:t>
      </w:r>
    </w:p>
    <w:bookmarkEnd w:id="24"/>
    <w:bookmarkEnd w:id="25"/>
    <w:bookmarkStart w:id="26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работы были успешно изучены и отработаны следующие возможности TikZ:</w:t>
      </w:r>
    </w:p>
    <w:p>
      <w:pPr>
        <w:pStyle w:val="Compact"/>
        <w:numPr>
          <w:ilvl w:val="0"/>
          <w:numId w:val="1001"/>
        </w:numPr>
      </w:pPr>
      <w:r>
        <w:t xml:space="preserve">подключение пакета</w:t>
      </w:r>
      <w:r>
        <w:t xml:space="preserve"> </w:t>
      </w:r>
      <w:r>
        <w:rPr>
          <w:rStyle w:val="VerbatimChar"/>
        </w:rPr>
        <w:t xml:space="preserve">tikz</w:t>
      </w:r>
      <w:r>
        <w:t xml:space="preserve"> </w:t>
      </w:r>
      <w:r>
        <w:t xml:space="preserve">и организация графических объектов в среде</w:t>
      </w:r>
      <w:r>
        <w:t xml:space="preserve"> </w:t>
      </w:r>
      <w:r>
        <w:rPr>
          <w:rStyle w:val="VerbatimChar"/>
        </w:rPr>
        <w:t xml:space="preserve">tikzpicture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построение графов с использованием узлов (</w:t>
      </w:r>
      <w:r>
        <w:rPr>
          <w:rStyle w:val="VerbatimChar"/>
        </w:rPr>
        <w:t xml:space="preserve">node</w:t>
      </w:r>
      <w:r>
        <w:t xml:space="preserve">) и соединяющих их рёбер (</w:t>
      </w:r>
      <w:r>
        <w:rPr>
          <w:rStyle w:val="VerbatimChar"/>
        </w:rPr>
        <w:t xml:space="preserve">draw</w:t>
      </w:r>
      <w:r>
        <w:t xml:space="preserve">), включая размещение подписей и весов рёбер;</w:t>
      </w:r>
    </w:p>
    <w:p>
      <w:pPr>
        <w:pStyle w:val="Compact"/>
        <w:numPr>
          <w:ilvl w:val="0"/>
          <w:numId w:val="1001"/>
        </w:numPr>
      </w:pPr>
      <w:r>
        <w:t xml:space="preserve">построение графиков математических функций с заданной областью определения, добавлением осей координат, вспомогательных линий и подписей;</w:t>
      </w:r>
    </w:p>
    <w:p>
      <w:pPr>
        <w:pStyle w:val="Compact"/>
        <w:numPr>
          <w:ilvl w:val="0"/>
          <w:numId w:val="1001"/>
        </w:numPr>
      </w:pPr>
      <w:r>
        <w:t xml:space="preserve">использование параметров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и цветового оформления при визуализации функций;</w:t>
      </w:r>
    </w:p>
    <w:p>
      <w:pPr>
        <w:pStyle w:val="Compact"/>
        <w:numPr>
          <w:ilvl w:val="0"/>
          <w:numId w:val="1001"/>
        </w:numPr>
      </w:pPr>
      <w:r>
        <w:t xml:space="preserve">реализация итеративных и рекурсивных структур на примере фрактала «ковёр Серпинского»;</w:t>
      </w:r>
    </w:p>
    <w:p>
      <w:pPr>
        <w:pStyle w:val="Compact"/>
        <w:numPr>
          <w:ilvl w:val="0"/>
          <w:numId w:val="1001"/>
        </w:numPr>
      </w:pPr>
      <w:r>
        <w:t xml:space="preserve">компиляция документов с помощью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 </w:t>
      </w:r>
      <w:r>
        <w:t xml:space="preserve">и анализ логов сборки.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Ли Хан</dc:creator>
  <dc:language>ru-RU</dc:language>
  <cp:keywords/>
  <dcterms:created xsi:type="dcterms:W3CDTF">2026-03-11T21:13:34Z</dcterms:created>
  <dcterms:modified xsi:type="dcterms:W3CDTF">2026-03-11T21:13:34Z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Computer Skills for Scientific Writing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