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5C8295">
      <w:pPr>
        <w:pStyle w:val="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Отчёт по лабораторной работе №5</w:t>
      </w:r>
    </w:p>
    <w:p w14:paraId="007903E3">
      <w:pPr>
        <w:pStyle w:val="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Computer Skills for Scientific Writing</w:t>
      </w:r>
    </w:p>
    <w:p w14:paraId="3D4EBAE9">
      <w:pPr>
        <w:pStyle w:val="2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Ли Хан</w:t>
      </w:r>
    </w:p>
    <w:sdt>
      <w:sdtPr>
        <w:rPr>
          <w:rFonts w:hint="default" w:ascii="Times New Roman" w:hAnsi="Times New Roman" w:cs="Times New Roman"/>
        </w:rPr>
        <w:id w:val="14747042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</w:rPr>
      </w:sdtEndPr>
      <w:sdtContent>
        <w:p w14:paraId="3B42D5CF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Содержание</w:t>
          </w:r>
        </w:p>
        <w:p w14:paraId="24B349BE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\z \u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76146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18E0B9BF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иллюстраций</w:t>
          </w:r>
          <w:bookmarkStart w:id="8" w:name="_GoBack"/>
          <w:bookmarkEnd w:id="8"/>
        </w:p>
        <w:p w14:paraId="72E6F50E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"Image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sdt>
      <w:sdtPr>
        <w:rPr>
          <w:rFonts w:hint="default" w:ascii="Times New Roman" w:hAnsi="Times New Roman" w:cs="Times New Roman"/>
        </w:rPr>
        <w:id w:val="147482121"/>
        <w:docPartObj>
          <w:docPartGallery w:val="AutoText"/>
        </w:docPartObj>
      </w:sdtPr>
      <w:sdtEndPr>
        <w:rPr>
          <w:rFonts w:hint="default" w:ascii="Times New Roman" w:hAnsi="Times New Roman" w:cs="Times New Roman"/>
        </w:rPr>
      </w:sdtEndPr>
      <w:sdtContent>
        <w:p w14:paraId="3A78C006">
          <w:pPr>
            <w:pStyle w:val="51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t>Список таблиц</w:t>
          </w:r>
        </w:p>
        <w:p w14:paraId="2F9C2C3E">
          <w:pPr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\h \z \t "Table Caption" \c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6C8759EF">
      <w:pPr>
        <w:pStyle w:val="2"/>
        <w:rPr>
          <w:rFonts w:hint="default" w:ascii="Times New Roman" w:hAnsi="Times New Roman" w:cs="Times New Roman"/>
        </w:rPr>
      </w:pPr>
      <w:bookmarkStart w:id="0" w:name="цель-работы"/>
      <w:r>
        <w:rPr>
          <w:rStyle w:val="50"/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Цель работы</w:t>
      </w:r>
    </w:p>
    <w:p w14:paraId="4FA322D5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Освоение создания таблиц в системе вёрстки </w:t>
      </w:r>
      <w:r>
        <w:rPr>
          <w:rFonts w:hint="default" w:ascii="Times New Roman" w:hAnsi="Times New Roman" w:cs="Times New Roman"/>
          <w:b/>
          <w:bCs/>
        </w:rPr>
        <w:t>LaTeX</w:t>
      </w:r>
      <w:r>
        <w:rPr>
          <w:rFonts w:hint="default" w:ascii="Times New Roman" w:hAnsi="Times New Roman" w:cs="Times New Roman"/>
        </w:rPr>
        <w:t>, применение различных типов выравнивания столбцов, использование стилей колонок и продвинутого форматирования таблиц.</w:t>
      </w:r>
    </w:p>
    <w:bookmarkEnd w:id="0"/>
    <w:p w14:paraId="7EC1DB56">
      <w:pPr>
        <w:pStyle w:val="2"/>
        <w:rPr>
          <w:rFonts w:hint="default" w:ascii="Times New Roman" w:hAnsi="Times New Roman" w:cs="Times New Roman"/>
        </w:rPr>
      </w:pPr>
      <w:bookmarkStart w:id="1" w:name="ход-выполнения"/>
      <w:r>
        <w:rPr>
          <w:rStyle w:val="50"/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Ход выполнения</w:t>
      </w:r>
    </w:p>
    <w:p w14:paraId="7B0CE9D3">
      <w:pPr>
        <w:pStyle w:val="4"/>
        <w:rPr>
          <w:rFonts w:hint="default" w:ascii="Times New Roman" w:hAnsi="Times New Roman" w:cs="Times New Roman"/>
        </w:rPr>
      </w:pPr>
      <w:bookmarkStart w:id="2" w:name="создание-простых-таблиц"/>
      <w:r>
        <w:rPr>
          <w:rStyle w:val="50"/>
          <w:rFonts w:hint="default" w:ascii="Times New Roman" w:hAnsi="Times New Roman" w:cs="Times New Roman"/>
        </w:rPr>
        <w:t>2.1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Создание простых таблиц</w:t>
      </w:r>
    </w:p>
    <w:p w14:paraId="44669030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Эксперимент начался с создания простейшей таблицы через окружение </w:t>
      </w:r>
      <w:r>
        <w:rPr>
          <w:rStyle w:val="48"/>
          <w:rFonts w:hint="default" w:ascii="Times New Roman" w:hAnsi="Times New Roman" w:cs="Times New Roman"/>
        </w:rPr>
        <w:t>tabular</w:t>
      </w:r>
      <w:r>
        <w:rPr>
          <w:rFonts w:hint="default" w:ascii="Times New Roman" w:hAnsi="Times New Roman" w:cs="Times New Roman"/>
        </w:rPr>
        <w:t>. Установлено, что структура таблицы жестко задается в преамбуле, где количество и тип столбцов определяют логику дальнейшего заполнения данными.</w:t>
      </w:r>
    </w:p>
    <w:p w14:paraId="31EB04F2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2371090"/>
            <wp:effectExtent l="0" t="0" r="0" b="0"/>
            <wp:docPr id="11" name="Picture" descr="Компиляция простых табл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Компиляция простых таблиц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37161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2A6A8F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Компиляция простых таблиц</w:t>
      </w:r>
    </w:p>
    <w:p w14:paraId="1F2C8558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850765" cy="1491615"/>
            <wp:effectExtent l="0" t="0" r="0" b="0"/>
            <wp:docPr id="14" name="Picture" descr="Результат первой компиля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езультат первой компиляции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1132" cy="1491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075E754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Результат первой компиляции</w:t>
      </w:r>
    </w:p>
    <w:bookmarkEnd w:id="2"/>
    <w:p w14:paraId="77FF2632">
      <w:pPr>
        <w:pStyle w:val="4"/>
        <w:rPr>
          <w:rFonts w:hint="default" w:ascii="Times New Roman" w:hAnsi="Times New Roman" w:cs="Times New Roman"/>
        </w:rPr>
      </w:pPr>
      <w:bookmarkStart w:id="3" w:name="сравнительный-анализ-выравнивания-l-c-r"/>
      <w:r>
        <w:rPr>
          <w:rStyle w:val="50"/>
          <w:rFonts w:hint="default" w:ascii="Times New Roman" w:hAnsi="Times New Roman" w:cs="Times New Roman"/>
        </w:rPr>
        <w:t>2.2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Сравнительный анализ выравнивания (</w:t>
      </w:r>
      <w:r>
        <w:rPr>
          <w:rStyle w:val="48"/>
          <w:rFonts w:hint="default" w:ascii="Times New Roman" w:hAnsi="Times New Roman" w:cs="Times New Roman"/>
        </w:rPr>
        <w:t>l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48"/>
          <w:rFonts w:hint="default" w:ascii="Times New Roman" w:hAnsi="Times New Roman" w:cs="Times New Roman"/>
        </w:rPr>
        <w:t>c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48"/>
          <w:rFonts w:hint="default" w:ascii="Times New Roman" w:hAnsi="Times New Roman" w:cs="Times New Roman"/>
        </w:rPr>
        <w:t>r</w:t>
      </w:r>
      <w:r>
        <w:rPr>
          <w:rFonts w:hint="default" w:ascii="Times New Roman" w:hAnsi="Times New Roman" w:cs="Times New Roman"/>
        </w:rPr>
        <w:t>)</w:t>
      </w:r>
    </w:p>
    <w:p w14:paraId="2C6EF114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 (left): Текст прижимается к левой границе, оставляя свободное пространство справа. Это стандарт для текстовых данных.</w:t>
      </w:r>
    </w:p>
    <w:p w14:paraId="316CA13F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 (center): Текст располагается ровно посередине ячейки. Подходит для заголовков или числовых данных.</w:t>
      </w:r>
    </w:p>
    <w:p w14:paraId="7111768E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 (right): Текст прижимается к правой границе. Часто используется для выравнивания разрядов в финансовых таблицах. Использование </w:t>
      </w:r>
      <w:r>
        <w:rPr>
          <w:rStyle w:val="48"/>
          <w:rFonts w:hint="default" w:ascii="Times New Roman" w:hAnsi="Times New Roman" w:cs="Times New Roman"/>
        </w:rPr>
        <w:t>\hspace</w:t>
      </w:r>
      <w:r>
        <w:rPr>
          <w:rFonts w:hint="default" w:ascii="Times New Roman" w:hAnsi="Times New Roman" w:cs="Times New Roman"/>
        </w:rPr>
        <w:t xml:space="preserve"> позволило наглядно увидеть, как LaTeX распределяет пустое пространство внутри ячейки в зависимости от выбранного флага.</w:t>
      </w:r>
    </w:p>
    <w:p w14:paraId="267AF859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4283075" cy="4311650"/>
            <wp:effectExtent l="0" t="0" r="0" b="0"/>
            <wp:docPr id="18" name="Picture" descr="Сравнительный анализ выравни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Сравнительный анализ выравнивания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3242" cy="431211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BB9B63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Сравнительный анализ выравнивания</w:t>
      </w:r>
    </w:p>
    <w:p w14:paraId="10AFE67C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2430145"/>
            <wp:effectExtent l="0" t="0" r="0" b="0"/>
            <wp:docPr id="21" name="Picture" descr="Сравнительный анализ выравни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Сравнительный анализ выравнивания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3037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01B2A4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Сравнительный анализ выравнивания</w:t>
      </w:r>
    </w:p>
    <w:bookmarkEnd w:id="3"/>
    <w:p w14:paraId="7FB48920">
      <w:pPr>
        <w:pStyle w:val="4"/>
        <w:rPr>
          <w:rFonts w:hint="default" w:ascii="Times New Roman" w:hAnsi="Times New Roman" w:cs="Times New Roman"/>
        </w:rPr>
      </w:pPr>
      <w:bookmarkStart w:id="4" w:name="недостаток-элементов-в-строке"/>
      <w:r>
        <w:rPr>
          <w:rStyle w:val="50"/>
          <w:rFonts w:hint="default" w:ascii="Times New Roman" w:hAnsi="Times New Roman" w:cs="Times New Roman"/>
        </w:rPr>
        <w:t>2.3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Недостаток элементов в строке:</w:t>
      </w:r>
    </w:p>
    <w:p w14:paraId="5D61C3F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При заполнении строки меньшим количеством данных (пропуск символа </w:t>
      </w:r>
      <w:r>
        <w:rPr>
          <w:rStyle w:val="48"/>
          <w:rFonts w:hint="default" w:ascii="Times New Roman" w:hAnsi="Times New Roman" w:cs="Times New Roman"/>
        </w:rPr>
        <w:t>&amp;</w:t>
      </w:r>
      <w:r>
        <w:rPr>
          <w:rFonts w:hint="default" w:ascii="Times New Roman" w:hAnsi="Times New Roman" w:cs="Times New Roman"/>
        </w:rPr>
        <w:t>), чем объявлено в преамбуле, система не выдает ошибку. Вместо этого в правой части таблицы формируются пустые ячейки, что позволяет создавать разреженные структуры данных.</w:t>
      </w:r>
    </w:p>
    <w:p w14:paraId="614DD3A1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954405"/>
            <wp:effectExtent l="0" t="0" r="0" b="0"/>
            <wp:docPr id="25" name="Picture" descr="недостаток элементов в стро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недостаток элементов в строке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95461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55EC5D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недостаток элементов в строке</w:t>
      </w:r>
    </w:p>
    <w:p w14:paraId="51D6005B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164590"/>
            <wp:effectExtent l="0" t="0" r="0" b="0"/>
            <wp:docPr id="28" name="Picture" descr="недостаток элементов в строке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недостаток элементов в строке: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649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79E2C4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недостаток элементов в строке:</w:t>
      </w:r>
    </w:p>
    <w:bookmarkEnd w:id="4"/>
    <w:p w14:paraId="1282F5F9">
      <w:pPr>
        <w:pStyle w:val="4"/>
        <w:rPr>
          <w:rFonts w:hint="default" w:ascii="Times New Roman" w:hAnsi="Times New Roman" w:cs="Times New Roman"/>
        </w:rPr>
      </w:pPr>
      <w:bookmarkStart w:id="5" w:name="избыток-элементов-и-ошибки"/>
      <w:r>
        <w:rPr>
          <w:rStyle w:val="50"/>
          <w:rFonts w:hint="default" w:ascii="Times New Roman" w:hAnsi="Times New Roman" w:cs="Times New Roman"/>
        </w:rPr>
        <w:t>2.4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Избыток элементов и ошибки:</w:t>
      </w:r>
    </w:p>
    <w:p w14:paraId="6B67332D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На основе эксперимента Было выявлено, что добавление лишних разделителей </w:t>
      </w:r>
      <w:r>
        <w:rPr>
          <w:rStyle w:val="48"/>
          <w:rFonts w:hint="default" w:ascii="Times New Roman" w:hAnsi="Times New Roman" w:cs="Times New Roman"/>
        </w:rPr>
        <w:t>&amp;</w:t>
      </w:r>
      <w:r>
        <w:rPr>
          <w:rFonts w:hint="default" w:ascii="Times New Roman" w:hAnsi="Times New Roman" w:cs="Times New Roman"/>
        </w:rPr>
        <w:t xml:space="preserve"> нарушает структуру окружения и приводит к критической ошибке компиляции. Это подтверждает необходимость строгого соответствия данных объявленной конфигурации столбцов.</w:t>
      </w:r>
    </w:p>
    <w:p w14:paraId="0151E312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326390"/>
            <wp:effectExtent l="0" t="0" r="0" b="0"/>
            <wp:docPr id="32" name="Picture" descr="Избыток элементов и ошиб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Избыток элементов и ошибк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697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863317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Избыток элементов и ошибки</w:t>
      </w:r>
    </w:p>
    <w:p w14:paraId="7DD3C7DF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174750"/>
            <wp:effectExtent l="0" t="0" r="0" b="0"/>
            <wp:docPr id="35" name="Picture" descr="Избыток элементов и ошиб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Избыток элементов и ошибк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7509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52C823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Избыток элементов и ошибки</w:t>
      </w:r>
    </w:p>
    <w:bookmarkEnd w:id="5"/>
    <w:p w14:paraId="78076408">
      <w:pPr>
        <w:pStyle w:val="4"/>
        <w:rPr>
          <w:rFonts w:hint="default" w:ascii="Times New Roman" w:hAnsi="Times New Roman" w:cs="Times New Roman"/>
        </w:rPr>
      </w:pPr>
      <w:bookmarkStart w:id="6" w:name="горизонтальное-объединение"/>
      <w:r>
        <w:rPr>
          <w:rStyle w:val="50"/>
          <w:rFonts w:hint="default" w:ascii="Times New Roman" w:hAnsi="Times New Roman" w:cs="Times New Roman"/>
        </w:rPr>
        <w:t>2.5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Горизонтальное объединение</w:t>
      </w:r>
    </w:p>
    <w:p w14:paraId="0316C907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С помощью команды </w:t>
      </w:r>
      <w:r>
        <w:rPr>
          <w:rStyle w:val="48"/>
          <w:rFonts w:hint="default" w:ascii="Times New Roman" w:hAnsi="Times New Roman" w:cs="Times New Roman"/>
        </w:rPr>
        <w:t>\multicolumn</w:t>
      </w:r>
      <w:r>
        <w:rPr>
          <w:rFonts w:hint="default" w:ascii="Times New Roman" w:hAnsi="Times New Roman" w:cs="Times New Roman"/>
        </w:rPr>
        <w:t xml:space="preserve"> успешно реализовано объединение нескольких столбцов. Анализ показал, что данная команда не только визуально объединяет ячейки, но и позволяет переопределить стиль выравнивания (например, сменить </w:t>
      </w:r>
      <w:r>
        <w:rPr>
          <w:rStyle w:val="48"/>
          <w:rFonts w:hint="default" w:ascii="Times New Roman" w:hAnsi="Times New Roman" w:cs="Times New Roman"/>
        </w:rPr>
        <w:t>l</w:t>
      </w:r>
      <w:r>
        <w:rPr>
          <w:rFonts w:hint="default" w:ascii="Times New Roman" w:hAnsi="Times New Roman" w:cs="Times New Roman"/>
        </w:rPr>
        <w:t xml:space="preserve"> на </w:t>
      </w:r>
      <w:r>
        <w:rPr>
          <w:rStyle w:val="48"/>
          <w:rFonts w:hint="default" w:ascii="Times New Roman" w:hAnsi="Times New Roman" w:cs="Times New Roman"/>
        </w:rPr>
        <w:t>c</w:t>
      </w:r>
      <w:r>
        <w:rPr>
          <w:rFonts w:hint="default" w:ascii="Times New Roman" w:hAnsi="Times New Roman" w:cs="Times New Roman"/>
        </w:rPr>
        <w:t>) для конкретной объединенной области.</w:t>
      </w:r>
    </w:p>
    <w:p w14:paraId="213C7691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942465"/>
            <wp:effectExtent l="0" t="0" r="0" b="0"/>
            <wp:docPr id="39" name="Picture" descr="Горизонтальное объедин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Горизонтальное объединение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430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8E4BD9B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Горизонтальное объединение</w:t>
      </w:r>
    </w:p>
    <w:p w14:paraId="31651370">
      <w:pPr>
        <w:pStyle w:val="4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334000" cy="1553845"/>
            <wp:effectExtent l="0" t="0" r="0" b="0"/>
            <wp:docPr id="42" name="Picture" descr="Горизонтальное объедин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Горизонтальное объединение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55417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759A97">
      <w:pPr>
        <w:pStyle w:val="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Горизонтальное объединение</w:t>
      </w:r>
    </w:p>
    <w:bookmarkEnd w:id="1"/>
    <w:bookmarkEnd w:id="6"/>
    <w:p w14:paraId="1727971D">
      <w:pPr>
        <w:pStyle w:val="2"/>
        <w:rPr>
          <w:rFonts w:hint="default" w:ascii="Times New Roman" w:hAnsi="Times New Roman" w:cs="Times New Roman"/>
        </w:rPr>
      </w:pPr>
      <w:bookmarkStart w:id="7" w:name="вывод"/>
      <w:r>
        <w:rPr>
          <w:rStyle w:val="50"/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Вывод</w:t>
      </w:r>
    </w:p>
    <w:p w14:paraId="60C072FE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Работа с таблицами в LaTeX требует четкого предварительного планирования структуры. Использование профессиональных инструментов, таких как </w:t>
      </w:r>
      <w:r>
        <w:rPr>
          <w:rStyle w:val="48"/>
          <w:rFonts w:hint="default" w:ascii="Times New Roman" w:hAnsi="Times New Roman" w:cs="Times New Roman"/>
        </w:rPr>
        <w:t>booktabs</w:t>
      </w:r>
      <w:r>
        <w:rPr>
          <w:rFonts w:hint="default" w:ascii="Times New Roman" w:hAnsi="Times New Roman" w:cs="Times New Roman"/>
        </w:rPr>
        <w:t>, значительно улучшает эстетический вид таблиц, делая их пригодными для научных публикаций.</w:t>
      </w:r>
    </w:p>
    <w:bookmarkEnd w:id="7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44F839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ru-RU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309</Words>
  <Characters>2175</Characters>
  <Lines>12</Lines>
  <Paragraphs>8</Paragraphs>
  <TotalTime>6</TotalTime>
  <ScaleCrop>false</ScaleCrop>
  <LinksUpToDate>false</LinksUpToDate>
  <CharactersWithSpaces>2451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2026-03-11T14:20:00Z</dcterms:created>
  <dc:creator>Ли Хан</dc:creator>
  <cp:lastModifiedBy>精神小伙</cp:lastModifiedBy>
  <dcterms:modified xsi:type="dcterms:W3CDTF">2026-03-16T13:26:54Z</dcterms:modified>
  <dc:title>Отчёт по лабораторной работе №5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Computer Skills for Scientific Writing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  <property fmtid="{D5CDD505-2E9C-101B-9397-08002B2CF9AE}" pid="39" name="KSOTemplateDocerSaveRecord">
    <vt:lpwstr>eyJoZGlkIjoiNTU0ZmIwYTQ3NzlmZGUxZmU3Zjk0M2IyZTNmM2IxNjAiLCJ1c2VySWQiOiI5OTgwNjU4MDIifQ==</vt:lpwstr>
  </property>
  <property fmtid="{D5CDD505-2E9C-101B-9397-08002B2CF9AE}" pid="40" name="KSOProductBuildVer">
    <vt:lpwstr>2052-12.1.0.25225</vt:lpwstr>
  </property>
  <property fmtid="{D5CDD505-2E9C-101B-9397-08002B2CF9AE}" pid="41" name="ICV">
    <vt:lpwstr>6914D2F012CC472195B2A4D4EA56C33E_12</vt:lpwstr>
  </property>
</Properties>
</file>