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突发事件的处理</w:t>
      </w:r>
    </w:p>
    <w:p>
      <w:pPr>
        <w:pStyle w:val="Heading1"/>
      </w:pPr>
      <w:r>
        <w:t>适用范围</w:t>
      </w:r>
    </w:p>
    <w:p>
      <w:r>
        <w:t>本文件用于指导健身场馆处理会员受伤、贵重物品遗失、突发停水停电、物品损坏、漏水、政府机关检查和媒体采访等突发事件。</w:t>
      </w:r>
    </w:p>
    <w:p>
      <w:pPr>
        <w:pStyle w:val="Heading1"/>
      </w:pPr>
      <w:r>
        <w:t>处理总原则</w:t>
      </w:r>
    </w:p>
    <w:p>
      <w:pPr>
        <w:pStyle w:val="ListBullet"/>
        <w:spacing w:after="60" w:line="269" w:lineRule="auto"/>
      </w:pPr>
      <w:r>
        <w:t>先确认现场是否有人受伤，再采取隔离、警示、送医或其他必要措施。</w:t>
      </w:r>
    </w:p>
    <w:p>
      <w:pPr>
        <w:pStyle w:val="ListBullet"/>
        <w:spacing w:after="60" w:line="269" w:lineRule="auto"/>
      </w:pPr>
      <w:r>
        <w:t>及时安抚现场会员，避免围观、争执和风险扩大。</w:t>
      </w:r>
    </w:p>
    <w:p>
      <w:pPr>
        <w:pStyle w:val="ListBullet"/>
        <w:spacing w:after="60" w:line="269" w:lineRule="auto"/>
      </w:pPr>
      <w:r>
        <w:t>及时向店长或运营负责人上报；涉及保险、维修、商场工程或物业时同步联系对应方。</w:t>
      </w:r>
    </w:p>
    <w:p>
      <w:pPr>
        <w:pStyle w:val="ListBullet"/>
        <w:spacing w:after="60" w:line="269" w:lineRule="auto"/>
      </w:pPr>
      <w:r>
        <w:t>对现场、物品、设施和处理过程进行拍照或录像留痕，保留相关记录。</w:t>
      </w:r>
    </w:p>
    <w:p>
      <w:pPr>
        <w:pStyle w:val="ListBullet"/>
        <w:spacing w:after="60" w:line="269" w:lineRule="auto"/>
      </w:pPr>
      <w:r>
        <w:t>未经授权不作赔偿、责任、退款或其他承诺；按照负责人确认的方案反馈和跟进。</w:t>
      </w:r>
    </w:p>
    <w:p>
      <w:pPr>
        <w:pStyle w:val="Heading1"/>
      </w:pPr>
      <w:r>
        <w:t>1. 会员受伤</w:t>
      </w:r>
    </w:p>
    <w:p>
      <w:pPr>
        <w:pStyle w:val="Heading3"/>
      </w:pPr>
      <w:r>
        <w:t>1.1 现场处置</w:t>
      </w:r>
    </w:p>
    <w:p>
      <w:pPr>
        <w:pStyle w:val="ListBullet"/>
        <w:spacing w:after="60" w:line="269" w:lineRule="auto"/>
      </w:pPr>
      <w:r>
        <w:t>第一时间关注会员伤情并安排送医。</w:t>
      </w:r>
    </w:p>
    <w:p>
      <w:pPr>
        <w:pStyle w:val="ListBullet"/>
        <w:spacing w:after="60" w:line="269" w:lineRule="auto"/>
      </w:pPr>
      <w:r>
        <w:t>检查现场是否仍存在器械、地面、玻璃或其他持续风险，必要时先隔离相关区域。</w:t>
      </w:r>
    </w:p>
    <w:p>
      <w:pPr>
        <w:pStyle w:val="ListBullet"/>
        <w:spacing w:after="60" w:line="269" w:lineRule="auto"/>
      </w:pPr>
      <w:r>
        <w:t>安抚现场会员，避免无关人员围观或移动现场物品。</w:t>
      </w:r>
    </w:p>
    <w:p>
      <w:pPr>
        <w:pStyle w:val="Heading3"/>
      </w:pPr>
      <w:r>
        <w:t>1.2 上报和留痕</w:t>
      </w:r>
    </w:p>
    <w:p>
      <w:pPr>
        <w:pStyle w:val="ListBullet"/>
        <w:spacing w:after="60" w:line="269" w:lineRule="auto"/>
      </w:pPr>
      <w:r>
        <w:t>及时上报店长或运营负责人。</w:t>
      </w:r>
    </w:p>
    <w:p>
      <w:pPr>
        <w:pStyle w:val="ListBullet"/>
        <w:spacing w:after="60" w:line="269" w:lineRule="auto"/>
      </w:pPr>
      <w:r>
        <w:t>按要求向保险公司报备。</w:t>
      </w:r>
    </w:p>
    <w:p>
      <w:pPr>
        <w:pStyle w:val="ListBullet"/>
        <w:spacing w:after="60" w:line="269" w:lineRule="auto"/>
      </w:pPr>
      <w:r>
        <w:t>保存现场影像资料，并记录发生时间、地点、涉及设备或区域及已采取的处置措施。</w:t>
      </w:r>
    </w:p>
    <w:p>
      <w:pPr>
        <w:pStyle w:val="Heading3"/>
      </w:pPr>
      <w:r>
        <w:t>1.3 后续跟进</w:t>
      </w:r>
    </w:p>
    <w:p>
      <w:pPr>
        <w:pStyle w:val="ListBullet"/>
        <w:spacing w:after="60" w:line="269" w:lineRule="auto"/>
      </w:pPr>
      <w:r>
        <w:t>跟进送医、保险报备和现场整改情况。</w:t>
      </w:r>
    </w:p>
    <w:p>
      <w:pPr>
        <w:pStyle w:val="ListBullet"/>
        <w:spacing w:after="60" w:line="269" w:lineRule="auto"/>
      </w:pPr>
      <w:r>
        <w:t>涉及器械或设施问题时，联系维修部门处理；在风险排除前，不得继续使用相关设备或区域。</w:t>
      </w:r>
    </w:p>
    <w:p>
      <w:pPr>
        <w:pStyle w:val="Heading1"/>
      </w:pPr>
      <w:r>
        <w:t>2. 贵重物品遗失</w:t>
      </w:r>
    </w:p>
    <w:p>
      <w:pPr>
        <w:pStyle w:val="Heading3"/>
      </w:pPr>
      <w:r>
        <w:t>2.1 接到报告后的处理</w:t>
      </w:r>
    </w:p>
    <w:p>
      <w:pPr>
        <w:pStyle w:val="ListBullet"/>
        <w:spacing w:after="60" w:line="269" w:lineRule="auto"/>
      </w:pPr>
      <w:r>
        <w:t>记录遗失物品、发现时间、最后使用区域和报失人联系方式。</w:t>
      </w:r>
    </w:p>
    <w:p>
      <w:pPr>
        <w:pStyle w:val="ListBullet"/>
        <w:spacing w:after="60" w:line="269" w:lineRule="auto"/>
      </w:pPr>
      <w:r>
        <w:t>通过场内广播发布寻物信息，并协助会员查找。</w:t>
      </w:r>
    </w:p>
    <w:p>
      <w:pPr>
        <w:pStyle w:val="ListBullet"/>
        <w:spacing w:after="60" w:line="269" w:lineRule="auto"/>
      </w:pPr>
      <w:r>
        <w:t>查看相关区域监控，按权限协助核对进出和活动情况。</w:t>
      </w:r>
    </w:p>
    <w:p>
      <w:pPr>
        <w:pStyle w:val="Heading3"/>
      </w:pPr>
      <w:r>
        <w:t>2.2 上报和证据留存</w:t>
      </w:r>
    </w:p>
    <w:p>
      <w:pPr>
        <w:pStyle w:val="ListBullet"/>
        <w:spacing w:after="60" w:line="269" w:lineRule="auto"/>
      </w:pPr>
      <w:r>
        <w:t>将情况上报负责人。</w:t>
      </w:r>
    </w:p>
    <w:p>
      <w:pPr>
        <w:pStyle w:val="ListBullet"/>
        <w:spacing w:after="60" w:line="269" w:lineRule="auto"/>
      </w:pPr>
      <w:r>
        <w:t>现场拍照并保存相关视频资料。</w:t>
      </w:r>
    </w:p>
    <w:p>
      <w:pPr>
        <w:pStyle w:val="ListBullet"/>
        <w:spacing w:after="60" w:line="269" w:lineRule="auto"/>
      </w:pPr>
      <w:r>
        <w:t>需要报警时，按负责人要求配合报警；涉及保险事项时向保险公司报备。</w:t>
      </w:r>
    </w:p>
    <w:p>
      <w:pPr>
        <w:pStyle w:val="Heading3"/>
      </w:pPr>
      <w:r>
        <w:t>2.3 反馈边界</w:t>
      </w:r>
    </w:p>
    <w:p>
      <w:pPr>
        <w:pStyle w:val="ListBullet"/>
        <w:spacing w:after="60" w:line="269" w:lineRule="auto"/>
      </w:pPr>
      <w:r>
        <w:t>只反馈已核实的查找进展，不对遗失原因、责任归属或赔偿结果作未经确认的承诺。</w:t>
      </w:r>
    </w:p>
    <w:p>
      <w:pPr>
        <w:pStyle w:val="ListBullet"/>
        <w:spacing w:after="60" w:line="269" w:lineRule="auto"/>
      </w:pPr>
      <w:r>
        <w:t>找到物品或确认无法找到后，记录处理结果并完成后续反馈。</w:t>
      </w:r>
    </w:p>
    <w:p>
      <w:pPr>
        <w:pStyle w:val="Heading1"/>
      </w:pPr>
      <w:r>
        <w:t>3. 突发停水停电</w:t>
      </w:r>
    </w:p>
    <w:p>
      <w:pPr>
        <w:pStyle w:val="Heading3"/>
      </w:pPr>
      <w:r>
        <w:t>3.1 现场安全</w:t>
      </w:r>
    </w:p>
    <w:p>
      <w:pPr>
        <w:pStyle w:val="ListBullet"/>
        <w:spacing w:after="60" w:line="269" w:lineRule="auto"/>
      </w:pPr>
      <w:r>
        <w:t>先确认现场是否有人员受伤或被困，发现人员受伤时按会员受伤流程处理。</w:t>
      </w:r>
    </w:p>
    <w:p>
      <w:pPr>
        <w:pStyle w:val="ListBullet"/>
        <w:spacing w:after="60" w:line="269" w:lineRule="auto"/>
      </w:pPr>
      <w:r>
        <w:t>安抚现场会员，提醒暂停使用受影响的设备和区域。</w:t>
      </w:r>
    </w:p>
    <w:p>
      <w:pPr>
        <w:pStyle w:val="ListBullet"/>
        <w:spacing w:after="60" w:line="269" w:lineRule="auto"/>
      </w:pPr>
      <w:r>
        <w:t>检查是否存在积水、黑暗、漏电或其他次生风险，并根据需要设置警示或隔离区域。</w:t>
      </w:r>
    </w:p>
    <w:p>
      <w:pPr>
        <w:pStyle w:val="Heading3"/>
      </w:pPr>
      <w:r>
        <w:t>3.2 信息通知</w:t>
      </w:r>
    </w:p>
    <w:p>
      <w:pPr>
        <w:pStyle w:val="ListBullet"/>
        <w:spacing w:after="60" w:line="269" w:lineRule="auto"/>
      </w:pPr>
      <w:r>
        <w:t>通过场内广播通知现场会员停水停电情况及正在采取的处理措施。</w:t>
      </w:r>
    </w:p>
    <w:p>
      <w:pPr>
        <w:pStyle w:val="ListBullet"/>
        <w:spacing w:after="60" w:line="269" w:lineRule="auto"/>
      </w:pPr>
      <w:r>
        <w:t>对即将到店的会员，通过门店既定渠道发送暂停服务或延迟到店通知。</w:t>
      </w:r>
    </w:p>
    <w:p>
      <w:pPr>
        <w:pStyle w:val="ListBullet"/>
        <w:spacing w:after="60" w:line="269" w:lineRule="auto"/>
      </w:pPr>
      <w:r>
        <w:t>涉及热水暂停时，应说明浴室暂停售用及预计恢复时间；预计时间不明确时，按后续通知更新。</w:t>
      </w:r>
    </w:p>
    <w:p>
      <w:pPr>
        <w:pStyle w:val="Heading3"/>
      </w:pPr>
      <w:r>
        <w:t>3.3 排查和恢复</w:t>
      </w:r>
    </w:p>
    <w:p>
      <w:pPr>
        <w:pStyle w:val="ListBullet"/>
        <w:spacing w:after="60" w:line="269" w:lineRule="auto"/>
      </w:pPr>
      <w:r>
        <w:t>联系维修人员、后勤及商场相关工程人员排查原因并维修。</w:t>
      </w:r>
    </w:p>
    <w:p>
      <w:pPr>
        <w:pStyle w:val="ListBullet"/>
        <w:spacing w:after="60" w:line="269" w:lineRule="auto"/>
      </w:pPr>
      <w:r>
        <w:t>记录发生时间、影响区域、受影响服务和维修进度。</w:t>
      </w:r>
    </w:p>
    <w:p>
      <w:pPr>
        <w:pStyle w:val="ListBullet"/>
        <w:spacing w:after="60" w:line="269" w:lineRule="auto"/>
      </w:pPr>
      <w:r>
        <w:t>恢复后确认照明、热水、设备和其他受影响设施正常，再通知会员恢复使用。</w:t>
      </w:r>
    </w:p>
    <w:p>
      <w:pPr>
        <w:pStyle w:val="Heading1"/>
      </w:pPr>
      <w:r>
        <w:t>4. 物品损坏或玻璃破碎</w:t>
      </w:r>
    </w:p>
    <w:p>
      <w:pPr>
        <w:pStyle w:val="Heading3"/>
      </w:pPr>
      <w:r>
        <w:t>4.1 现场处置</w:t>
      </w:r>
    </w:p>
    <w:p>
      <w:pPr>
        <w:pStyle w:val="ListBullet"/>
        <w:spacing w:after="60" w:line="269" w:lineRule="auto"/>
      </w:pPr>
      <w:r>
        <w:t>先确认是否有人受伤。</w:t>
      </w:r>
    </w:p>
    <w:p>
      <w:pPr>
        <w:pStyle w:val="ListBullet"/>
        <w:spacing w:after="60" w:line="269" w:lineRule="auto"/>
      </w:pPr>
      <w:r>
        <w:t>立即将会员与破损物、碎片或危险区域隔离，并在现场摆放警示牌。</w:t>
      </w:r>
    </w:p>
    <w:p>
      <w:pPr>
        <w:pStyle w:val="ListBullet"/>
        <w:spacing w:after="60" w:line="269" w:lineRule="auto"/>
      </w:pPr>
      <w:r>
        <w:t>未确认安全前，不得让会员进入或使用相关区域。</w:t>
      </w:r>
    </w:p>
    <w:p>
      <w:pPr>
        <w:pStyle w:val="Heading3"/>
      </w:pPr>
      <w:r>
        <w:t>4.2 取证和上报</w:t>
      </w:r>
    </w:p>
    <w:p>
      <w:pPr>
        <w:pStyle w:val="ListBullet"/>
        <w:spacing w:after="60" w:line="269" w:lineRule="auto"/>
      </w:pPr>
      <w:r>
        <w:t>现场拍照并保存视频资料。</w:t>
      </w:r>
    </w:p>
    <w:p>
      <w:pPr>
        <w:pStyle w:val="ListBullet"/>
        <w:spacing w:after="60" w:line="269" w:lineRule="auto"/>
      </w:pPr>
      <w:r>
        <w:t>将事件上报负责人，并联系维修人员处理。</w:t>
      </w:r>
    </w:p>
    <w:p>
      <w:pPr>
        <w:pStyle w:val="ListBullet"/>
        <w:spacing w:after="60" w:line="269" w:lineRule="auto"/>
      </w:pPr>
      <w:r>
        <w:t>涉及会员物品或场馆设施损失时，记录受损物品、发生时间、地点和现场情况。</w:t>
      </w:r>
    </w:p>
    <w:p>
      <w:pPr>
        <w:pStyle w:val="Heading3"/>
      </w:pPr>
      <w:r>
        <w:t>4.3 后续处理</w:t>
      </w:r>
    </w:p>
    <w:p>
      <w:pPr>
        <w:pStyle w:val="ListBullet"/>
        <w:spacing w:after="60" w:line="269" w:lineRule="auto"/>
      </w:pPr>
      <w:r>
        <w:t>按负责人确认的方案协商后续赔偿或处理事项，不由现场员工自行承诺金额或责任。</w:t>
      </w:r>
    </w:p>
    <w:p>
      <w:pPr>
        <w:pStyle w:val="ListBullet"/>
        <w:spacing w:after="60" w:line="269" w:lineRule="auto"/>
      </w:pPr>
      <w:r>
        <w:t>维修完成后检查现场是否清理干净、警示牌是否撤除，确认安全后恢复使用。</w:t>
      </w:r>
    </w:p>
    <w:p>
      <w:pPr>
        <w:pStyle w:val="Heading1"/>
      </w:pPr>
      <w:r>
        <w:t>5. 漏水</w:t>
      </w:r>
    </w:p>
    <w:p>
      <w:pPr>
        <w:pStyle w:val="Heading3"/>
      </w:pPr>
      <w:r>
        <w:t>5.1 漏水影响场内区域</w:t>
      </w:r>
    </w:p>
    <w:p>
      <w:pPr>
        <w:pStyle w:val="ListBullet"/>
        <w:spacing w:after="60" w:line="269" w:lineRule="auto"/>
      </w:pPr>
      <w:r>
        <w:t>先确认是否有人受伤，并将会员和物品转移到安全位置。</w:t>
      </w:r>
    </w:p>
    <w:p>
      <w:pPr>
        <w:pStyle w:val="ListBullet"/>
        <w:spacing w:after="60" w:line="269" w:lineRule="auto"/>
      </w:pPr>
      <w:r>
        <w:t>对受影响物品和区域拍照取证，现场摆放警示牌。</w:t>
      </w:r>
    </w:p>
    <w:p>
      <w:pPr>
        <w:pStyle w:val="ListBullet"/>
        <w:spacing w:after="60" w:line="269" w:lineRule="auto"/>
      </w:pPr>
      <w:r>
        <w:t>联系商场运营、工程或物业进行排查和维修。</w:t>
      </w:r>
    </w:p>
    <w:p>
      <w:pPr>
        <w:pStyle w:val="ListBullet"/>
        <w:spacing w:after="60" w:line="269" w:lineRule="auto"/>
      </w:pPr>
      <w:r>
        <w:t>持续清理积水并隔离湿滑区域，防止会员滑倒。</w:t>
      </w:r>
    </w:p>
    <w:p>
      <w:pPr>
        <w:pStyle w:val="Heading3"/>
      </w:pPr>
      <w:r>
        <w:t>5.2 漏水影响楼下区域</w:t>
      </w:r>
    </w:p>
    <w:p>
      <w:pPr>
        <w:pStyle w:val="ListBullet"/>
        <w:spacing w:after="60" w:line="269" w:lineRule="auto"/>
      </w:pPr>
      <w:r>
        <w:t>到受影响现场拍照取证，确认漏水范围和影响情况。</w:t>
      </w:r>
    </w:p>
    <w:p>
      <w:pPr>
        <w:pStyle w:val="ListBullet"/>
        <w:spacing w:after="60" w:line="269" w:lineRule="auto"/>
      </w:pPr>
      <w:r>
        <w:t>联系工程人员排查漏水原因，并与相关方确认责任边界。</w:t>
      </w:r>
    </w:p>
    <w:p>
      <w:pPr>
        <w:pStyle w:val="ListBullet"/>
        <w:spacing w:after="60" w:line="269" w:lineRule="auto"/>
      </w:pPr>
      <w:r>
        <w:t>在责任和原因未确认前，不擅自作出赔偿或责任承诺。</w:t>
      </w:r>
    </w:p>
    <w:p>
      <w:pPr>
        <w:pStyle w:val="Heading3"/>
      </w:pPr>
      <w:r>
        <w:t>5.3 记录和恢复</w:t>
      </w:r>
    </w:p>
    <w:p>
      <w:pPr>
        <w:pStyle w:val="ListBullet"/>
        <w:spacing w:after="60" w:line="269" w:lineRule="auto"/>
      </w:pPr>
      <w:r>
        <w:t>记录发生时间、漏水位置、影响区域、联系人员和维修进展。</w:t>
      </w:r>
    </w:p>
    <w:p>
      <w:pPr>
        <w:pStyle w:val="ListBullet"/>
        <w:spacing w:after="60" w:line="269" w:lineRule="auto"/>
      </w:pPr>
      <w:r>
        <w:t>维修完成后检查墙面、地面、设备和通道，确认无积水、漏电和其他安全隐患后恢复使用。</w:t>
      </w:r>
    </w:p>
    <w:p>
      <w:pPr>
        <w:pStyle w:val="Heading1"/>
      </w:pPr>
      <w:r>
        <w:t>6. 政府机关检查或媒体采访</w:t>
      </w:r>
    </w:p>
    <w:p>
      <w:pPr>
        <w:pStyle w:val="Heading3"/>
      </w:pPr>
      <w:r>
        <w:t>6.1 身份和来意确认</w:t>
      </w:r>
    </w:p>
    <w:p>
      <w:pPr>
        <w:pStyle w:val="ListBullet"/>
        <w:spacing w:after="60" w:line="269" w:lineRule="auto"/>
      </w:pPr>
      <w:r>
        <w:t>礼貌接待并确认来访人员身份、所属单位和来意。</w:t>
      </w:r>
    </w:p>
    <w:p>
      <w:pPr>
        <w:pStyle w:val="ListBullet"/>
        <w:spacing w:after="60" w:line="269" w:lineRule="auto"/>
      </w:pPr>
      <w:r>
        <w:t>不在未核实身份前提供资料、场馆内部信息或作出回应。</w:t>
      </w:r>
    </w:p>
    <w:p>
      <w:pPr>
        <w:pStyle w:val="ListBullet"/>
        <w:spacing w:after="60" w:line="269" w:lineRule="auto"/>
      </w:pPr>
      <w:r>
        <w:t>不主动索取对方私人联系方式；确需后续对接时，按负责人安排处理。</w:t>
      </w:r>
    </w:p>
    <w:p>
      <w:pPr>
        <w:pStyle w:val="Heading3"/>
      </w:pPr>
      <w:r>
        <w:t>6.2 现场应对边界</w:t>
      </w:r>
    </w:p>
    <w:p>
      <w:pPr>
        <w:pStyle w:val="ListBullet"/>
        <w:spacing w:after="60" w:line="269" w:lineRule="auto"/>
      </w:pPr>
      <w:r>
        <w:t>未经授权不签收任何资料，不作任何承诺。</w:t>
      </w:r>
    </w:p>
    <w:p>
      <w:pPr>
        <w:pStyle w:val="ListBullet"/>
        <w:spacing w:after="60" w:line="269" w:lineRule="auto"/>
      </w:pPr>
      <w:r>
        <w:t>不对检查结论、媒体采访内容、责任归属或整改时限作现场确认。</w:t>
      </w:r>
    </w:p>
    <w:p>
      <w:pPr>
        <w:pStyle w:val="ListBullet"/>
        <w:spacing w:after="60" w:line="269" w:lineRule="auto"/>
      </w:pPr>
      <w:r>
        <w:t>对无法确认的问题，说明由负责人统一沟通，不自行解释或猜测。</w:t>
      </w:r>
    </w:p>
    <w:p>
      <w:pPr>
        <w:pStyle w:val="Heading3"/>
      </w:pPr>
      <w:r>
        <w:t>6.3 上报和交接</w:t>
      </w:r>
    </w:p>
    <w:p>
      <w:pPr>
        <w:pStyle w:val="ListBullet"/>
        <w:spacing w:after="60" w:line="269" w:lineRule="auto"/>
      </w:pPr>
      <w:r>
        <w:t>第一时间上报店长或负责人。</w:t>
      </w:r>
    </w:p>
    <w:p>
      <w:pPr>
        <w:pStyle w:val="ListBullet"/>
        <w:spacing w:after="60" w:line="269" w:lineRule="auto"/>
      </w:pPr>
      <w:r>
        <w:t>记录来访时间、人员身份、来意和已发生的沟通内容。</w:t>
      </w:r>
    </w:p>
    <w:p>
      <w:pPr>
        <w:pStyle w:val="ListBullet"/>
        <w:spacing w:after="60" w:line="269" w:lineRule="auto"/>
      </w:pPr>
      <w:r>
        <w:t>由负责人统一决定后续接待、资料处理和对外沟通方式。</w:t>
      </w:r>
    </w:p>
    <w:p>
      <w:pPr>
        <w:pStyle w:val="Heading1"/>
      </w:pPr>
      <w:r>
        <w:t>7. 事件记录和复盘</w:t>
      </w:r>
    </w:p>
    <w:p>
      <w:pPr>
        <w:pStyle w:val="ListBullet"/>
        <w:spacing w:after="60" w:line="269" w:lineRule="auto"/>
      </w:pPr>
      <w:r>
        <w:t>每起事件均应记录发生时间、地点、人员、事件经过、现场照片或视频、联系部门、处理措施和恢复结果。</w:t>
      </w:r>
    </w:p>
    <w:p>
      <w:pPr>
        <w:pStyle w:val="ListBullet"/>
        <w:spacing w:after="60" w:line="269" w:lineRule="auto"/>
      </w:pPr>
      <w:r>
        <w:t>涉及维修、保险、报警、商场工程或物业的事项，应记录对接人员和处理进度。</w:t>
      </w:r>
    </w:p>
    <w:p>
      <w:pPr>
        <w:pStyle w:val="ListBullet"/>
        <w:spacing w:after="60" w:line="269" w:lineRule="auto"/>
      </w:pPr>
      <w:r>
        <w:t>事件处理完成后，负责人组织复盘，确认是否需要调整设备、环境、服务流程或现场提示。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场馆环境布置与管理</dc:title>
  <dc:subject>健身场馆环境、设备与洗浴区域管理规范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