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D9C976">
      <w:pPr>
        <w:pStyle w:val="2"/>
        <w:spacing w:before="0" w:beforeAutospacing="0" w:after="0" w:afterAutospacing="0" w:line="360" w:lineRule="auto"/>
        <w:rPr>
          <w:rFonts w:ascii="宋体" w:hAnsi="宋体" w:cs="宋体"/>
        </w:rPr>
      </w:pPr>
      <w:r>
        <w:rPr>
          <w:rFonts w:ascii="宋体" w:hAnsi="宋体" w:cs="宋体"/>
        </w:rPr>
        <w:t>买卖合同</w:t>
      </w:r>
    </w:p>
    <w:p w14:paraId="2C70650E">
      <w:pPr>
        <w:pStyle w:val="4"/>
        <w:spacing w:before="0" w:beforeAutospacing="0" w:after="0" w:afterAutospacing="0" w:line="360" w:lineRule="auto"/>
        <w:rPr>
          <w:rFonts w:ascii="宋体" w:hAnsi="宋体" w:cs="宋体"/>
          <w:color w:val="000000"/>
        </w:rPr>
      </w:pPr>
      <w:r>
        <w:rPr>
          <w:rFonts w:ascii="宋体" w:hAnsi="宋体" w:cs="宋体"/>
          <w:b/>
          <w:color w:val="000000"/>
        </w:rPr>
        <w:t>甲方（买方）</w:t>
      </w:r>
    </w:p>
    <w:p w14:paraId="56959A1F">
      <w:pPr>
        <w:pStyle w:val="4"/>
        <w:spacing w:before="0" w:beforeAutospacing="0" w:after="0" w:afterAutospacing="0" w:line="360" w:lineRule="auto"/>
        <w:rPr>
          <w:rFonts w:ascii="宋体" w:hAnsi="宋体" w:cs="宋体"/>
          <w:color w:val="000000"/>
        </w:rPr>
      </w:pPr>
      <w:r>
        <w:rPr>
          <w:rFonts w:ascii="宋体" w:hAnsi="宋体" w:cs="宋体"/>
          <w:color w:val="000000"/>
        </w:rPr>
        <w:t>名称：</w:t>
      </w:r>
      <w:r>
        <w:rPr>
          <w:rFonts w:ascii="宋体" w:hAnsi="宋体" w:cs="宋体"/>
          <w:color w:val="000000"/>
          <w:u w:val="single"/>
        </w:rPr>
        <w:t>    </w:t>
      </w:r>
    </w:p>
    <w:p w14:paraId="0A872733">
      <w:pPr>
        <w:pStyle w:val="4"/>
        <w:spacing w:before="0" w:beforeAutospacing="0" w:after="0" w:afterAutospacing="0" w:line="360" w:lineRule="auto"/>
        <w:rPr>
          <w:rFonts w:ascii="宋体" w:hAnsi="宋体" w:cs="宋体"/>
          <w:color w:val="000000"/>
        </w:rPr>
      </w:pPr>
      <w:r>
        <w:rPr>
          <w:rFonts w:ascii="宋体" w:hAnsi="宋体" w:cs="宋体"/>
          <w:color w:val="000000"/>
        </w:rPr>
        <w:t>统一社会信用代码：</w:t>
      </w:r>
      <w:r>
        <w:rPr>
          <w:rFonts w:ascii="宋体" w:hAnsi="宋体" w:cs="宋体"/>
          <w:color w:val="000000"/>
          <w:u w:val="single"/>
        </w:rPr>
        <w:t>    </w:t>
      </w:r>
    </w:p>
    <w:p w14:paraId="525DAB21">
      <w:pPr>
        <w:pStyle w:val="4"/>
        <w:spacing w:before="0" w:beforeAutospacing="0" w:after="0" w:afterAutospacing="0" w:line="360" w:lineRule="auto"/>
        <w:rPr>
          <w:rFonts w:ascii="宋体" w:hAnsi="宋体" w:cs="宋体"/>
          <w:color w:val="000000"/>
        </w:rPr>
      </w:pPr>
      <w:r>
        <w:rPr>
          <w:rFonts w:ascii="宋体" w:hAnsi="宋体" w:cs="宋体"/>
          <w:b/>
          <w:color w:val="000000"/>
        </w:rPr>
        <w:t>乙方（卖方）</w:t>
      </w:r>
    </w:p>
    <w:p w14:paraId="136DCBD1">
      <w:pPr>
        <w:pStyle w:val="4"/>
        <w:spacing w:before="0" w:beforeAutospacing="0" w:after="0" w:afterAutospacing="0" w:line="360" w:lineRule="auto"/>
        <w:rPr>
          <w:rFonts w:ascii="宋体" w:hAnsi="宋体" w:cs="宋体"/>
          <w:color w:val="000000"/>
        </w:rPr>
      </w:pPr>
      <w:r>
        <w:rPr>
          <w:rFonts w:ascii="宋体" w:hAnsi="宋体" w:cs="宋体"/>
          <w:color w:val="000000"/>
        </w:rPr>
        <w:t>名称：</w:t>
      </w:r>
      <w:r>
        <w:rPr>
          <w:rFonts w:ascii="宋体" w:hAnsi="宋体" w:cs="宋体"/>
          <w:color w:val="000000"/>
          <w:u w:val="single"/>
        </w:rPr>
        <w:t>    </w:t>
      </w:r>
    </w:p>
    <w:p w14:paraId="44F588EA">
      <w:pPr>
        <w:pStyle w:val="4"/>
        <w:spacing w:before="0" w:beforeAutospacing="0" w:after="0" w:afterAutospacing="0" w:line="360" w:lineRule="auto"/>
        <w:rPr>
          <w:rFonts w:ascii="宋体" w:hAnsi="宋体" w:cs="宋体"/>
          <w:color w:val="000000"/>
        </w:rPr>
      </w:pPr>
      <w:r>
        <w:rPr>
          <w:rFonts w:ascii="宋体" w:hAnsi="宋体" w:cs="宋体"/>
          <w:color w:val="000000"/>
        </w:rPr>
        <w:t>统一社会信用代码：</w:t>
      </w:r>
      <w:r>
        <w:rPr>
          <w:rFonts w:ascii="宋体" w:hAnsi="宋体" w:cs="宋体"/>
          <w:color w:val="000000"/>
          <w:u w:val="single"/>
        </w:rPr>
        <w:t>    </w:t>
      </w:r>
    </w:p>
    <w:p w14:paraId="1A524FD0">
      <w:pPr>
        <w:pStyle w:val="4"/>
        <w:spacing w:before="0" w:beforeAutospacing="0" w:after="0" w:afterAutospacing="0" w:line="360" w:lineRule="auto"/>
        <w:rPr>
          <w:rFonts w:ascii="宋体" w:hAnsi="宋体" w:cs="宋体"/>
          <w:color w:val="000000"/>
        </w:rPr>
      </w:pPr>
      <w:r>
        <w:rPr>
          <w:rFonts w:ascii="宋体" w:hAnsi="宋体" w:cs="宋体"/>
          <w:color w:val="000000"/>
        </w:rPr>
        <w:t>本合同各方经平等自愿协商，根据《中华人民共和国民法典》及相关法规，就商品买卖事宜，签订本合同以共同遵守。</w:t>
      </w:r>
    </w:p>
    <w:p w14:paraId="1EBAA6E5">
      <w:pPr>
        <w:pStyle w:val="3"/>
        <w:numPr>
          <w:ilvl w:val="0"/>
          <w:numId w:val="1"/>
        </w:numPr>
        <w:spacing w:before="0" w:beforeAutospacing="0" w:after="0" w:afterAutospacing="0" w:line="360" w:lineRule="auto"/>
        <w:rPr>
          <w:rFonts w:ascii="宋体" w:hAnsi="宋体" w:cs="宋体"/>
          <w:color w:val="000000"/>
        </w:rPr>
      </w:pPr>
      <w:r>
        <w:rPr>
          <w:rFonts w:ascii="宋体" w:hAnsi="宋体" w:cs="宋体"/>
        </w:rPr>
        <w:t>货物与价款</w:t>
      </w:r>
    </w:p>
    <w:p w14:paraId="33168EB5">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货物信息与价款如下：</w:t>
      </w:r>
    </w:p>
    <w:tbl>
      <w:tblPr>
        <w:tblStyle w:val="5"/>
        <w:tblW w:w="5000" w:type="pct"/>
        <w:tblInd w:w="0" w:type="dxa"/>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autofit"/>
        <w:tblCellMar>
          <w:top w:w="0" w:type="dxa"/>
          <w:left w:w="10" w:type="dxa"/>
          <w:bottom w:w="0" w:type="dxa"/>
          <w:right w:w="10" w:type="dxa"/>
        </w:tblCellMar>
      </w:tblPr>
      <w:tblGrid>
        <w:gridCol w:w="1357"/>
        <w:gridCol w:w="1385"/>
        <w:gridCol w:w="1357"/>
        <w:gridCol w:w="1412"/>
        <w:gridCol w:w="1412"/>
        <w:gridCol w:w="1358"/>
      </w:tblGrid>
      <w:tr w14:paraId="63A35D4B">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 w:type="dxa"/>
            <w:bottom w:w="0" w:type="dxa"/>
            <w:right w:w="10" w:type="dxa"/>
          </w:tblCellMar>
        </w:tblPrEx>
        <w:tc>
          <w:tcPr>
            <w:tcW w:w="1500" w:type="dxa"/>
            <w:tcBorders>
              <w:top w:val="single" w:color="000000" w:sz="6" w:space="0"/>
              <w:left w:val="single" w:color="000000" w:sz="6" w:space="0"/>
              <w:bottom w:val="single" w:color="000000" w:sz="6" w:space="0"/>
              <w:right w:val="single" w:color="000000" w:sz="6" w:space="0"/>
            </w:tcBorders>
          </w:tcPr>
          <w:p w14:paraId="4E93CD57">
            <w:pPr>
              <w:pStyle w:val="4"/>
              <w:spacing w:before="0" w:beforeAutospacing="0" w:after="0" w:afterAutospacing="0" w:line="360" w:lineRule="auto"/>
              <w:rPr>
                <w:rFonts w:ascii="宋体" w:hAnsi="宋体" w:cs="宋体"/>
                <w:color w:val="000000"/>
              </w:rPr>
            </w:pPr>
            <w:r>
              <w:rPr>
                <w:rFonts w:ascii="宋体" w:hAnsi="宋体" w:cs="宋体"/>
                <w:color w:val="000000"/>
              </w:rPr>
              <w:t>货物名称</w:t>
            </w:r>
          </w:p>
        </w:tc>
        <w:tc>
          <w:tcPr>
            <w:tcW w:w="1500" w:type="dxa"/>
            <w:tcBorders>
              <w:top w:val="single" w:color="000000" w:sz="6" w:space="0"/>
              <w:left w:val="single" w:color="000000" w:sz="6" w:space="0"/>
              <w:bottom w:val="single" w:color="000000" w:sz="6" w:space="0"/>
              <w:right w:val="single" w:color="000000" w:sz="6" w:space="0"/>
            </w:tcBorders>
          </w:tcPr>
          <w:p w14:paraId="1D20B964">
            <w:pPr>
              <w:pStyle w:val="4"/>
              <w:spacing w:before="0" w:beforeAutospacing="0" w:after="0" w:afterAutospacing="0" w:line="360" w:lineRule="auto"/>
              <w:rPr>
                <w:rFonts w:ascii="宋体" w:hAnsi="宋体" w:cs="宋体"/>
                <w:color w:val="000000"/>
              </w:rPr>
            </w:pPr>
            <w:r>
              <w:rPr>
                <w:rFonts w:ascii="宋体" w:hAnsi="宋体" w:cs="宋体"/>
                <w:color w:val="000000"/>
              </w:rPr>
              <w:t>规格、产地等</w:t>
            </w:r>
          </w:p>
        </w:tc>
        <w:tc>
          <w:tcPr>
            <w:tcW w:w="1500" w:type="dxa"/>
            <w:tcBorders>
              <w:top w:val="single" w:color="000000" w:sz="6" w:space="0"/>
              <w:left w:val="single" w:color="000000" w:sz="6" w:space="0"/>
              <w:bottom w:val="single" w:color="000000" w:sz="6" w:space="0"/>
              <w:right w:val="single" w:color="000000" w:sz="6" w:space="0"/>
            </w:tcBorders>
          </w:tcPr>
          <w:p w14:paraId="75F81A25">
            <w:pPr>
              <w:pStyle w:val="4"/>
              <w:spacing w:before="0" w:beforeAutospacing="0" w:after="0" w:afterAutospacing="0" w:line="360" w:lineRule="auto"/>
              <w:rPr>
                <w:rFonts w:ascii="宋体" w:hAnsi="宋体" w:cs="宋体"/>
                <w:color w:val="000000"/>
              </w:rPr>
            </w:pPr>
            <w:r>
              <w:rPr>
                <w:rFonts w:ascii="宋体" w:hAnsi="宋体" w:cs="宋体"/>
                <w:color w:val="000000"/>
              </w:rPr>
              <w:t>数量</w:t>
            </w:r>
          </w:p>
        </w:tc>
        <w:tc>
          <w:tcPr>
            <w:tcW w:w="1500" w:type="dxa"/>
            <w:tcBorders>
              <w:top w:val="single" w:color="000000" w:sz="6" w:space="0"/>
              <w:left w:val="single" w:color="000000" w:sz="6" w:space="0"/>
              <w:bottom w:val="single" w:color="000000" w:sz="6" w:space="0"/>
              <w:right w:val="single" w:color="000000" w:sz="6" w:space="0"/>
            </w:tcBorders>
          </w:tcPr>
          <w:p w14:paraId="5521C333">
            <w:pPr>
              <w:pStyle w:val="4"/>
              <w:spacing w:before="0" w:beforeAutospacing="0" w:after="0" w:afterAutospacing="0" w:line="360" w:lineRule="auto"/>
              <w:rPr>
                <w:rFonts w:ascii="宋体" w:hAnsi="宋体" w:cs="宋体"/>
                <w:color w:val="000000"/>
              </w:rPr>
            </w:pPr>
            <w:r>
              <w:rPr>
                <w:rFonts w:ascii="宋体" w:hAnsi="宋体" w:cs="宋体"/>
                <w:color w:val="000000"/>
              </w:rPr>
              <w:t>单价（元）</w:t>
            </w:r>
          </w:p>
        </w:tc>
        <w:tc>
          <w:tcPr>
            <w:tcW w:w="1500" w:type="dxa"/>
            <w:tcBorders>
              <w:top w:val="single" w:color="000000" w:sz="6" w:space="0"/>
              <w:left w:val="single" w:color="000000" w:sz="6" w:space="0"/>
              <w:bottom w:val="single" w:color="000000" w:sz="6" w:space="0"/>
              <w:right w:val="single" w:color="000000" w:sz="6" w:space="0"/>
            </w:tcBorders>
          </w:tcPr>
          <w:p w14:paraId="2EA68F0D">
            <w:pPr>
              <w:pStyle w:val="4"/>
              <w:spacing w:before="0" w:beforeAutospacing="0" w:after="0" w:afterAutospacing="0" w:line="360" w:lineRule="auto"/>
              <w:rPr>
                <w:rFonts w:ascii="宋体" w:hAnsi="宋体" w:cs="宋体"/>
                <w:color w:val="000000"/>
              </w:rPr>
            </w:pPr>
            <w:r>
              <w:rPr>
                <w:rFonts w:ascii="宋体" w:hAnsi="宋体" w:cs="宋体"/>
                <w:color w:val="000000"/>
              </w:rPr>
              <w:t>总价（元）</w:t>
            </w:r>
          </w:p>
        </w:tc>
        <w:tc>
          <w:tcPr>
            <w:tcW w:w="1500" w:type="dxa"/>
            <w:tcBorders>
              <w:top w:val="single" w:color="000000" w:sz="6" w:space="0"/>
              <w:left w:val="single" w:color="000000" w:sz="6" w:space="0"/>
              <w:bottom w:val="single" w:color="000000" w:sz="6" w:space="0"/>
              <w:right w:val="single" w:color="000000" w:sz="6" w:space="0"/>
            </w:tcBorders>
          </w:tcPr>
          <w:p w14:paraId="6BA01BD6">
            <w:pPr>
              <w:pStyle w:val="4"/>
              <w:spacing w:before="0" w:beforeAutospacing="0" w:after="0" w:afterAutospacing="0" w:line="360" w:lineRule="auto"/>
              <w:rPr>
                <w:rFonts w:ascii="宋体" w:hAnsi="宋体" w:cs="宋体"/>
                <w:color w:val="000000"/>
              </w:rPr>
            </w:pPr>
            <w:r>
              <w:rPr>
                <w:rFonts w:ascii="宋体" w:hAnsi="宋体" w:cs="宋体"/>
                <w:color w:val="000000"/>
              </w:rPr>
              <w:t>备注</w:t>
            </w:r>
          </w:p>
        </w:tc>
      </w:tr>
      <w:tr w14:paraId="18C24B64">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 w:type="dxa"/>
            <w:bottom w:w="0" w:type="dxa"/>
            <w:right w:w="10" w:type="dxa"/>
          </w:tblCellMar>
        </w:tblPrEx>
        <w:tc>
          <w:tcPr>
            <w:tcW w:w="1500" w:type="dxa"/>
            <w:tcBorders>
              <w:top w:val="single" w:color="000000" w:sz="6" w:space="0"/>
              <w:left w:val="single" w:color="000000" w:sz="6" w:space="0"/>
              <w:bottom w:val="single" w:color="000000" w:sz="6" w:space="0"/>
              <w:right w:val="single" w:color="000000" w:sz="6" w:space="0"/>
            </w:tcBorders>
          </w:tcPr>
          <w:p w14:paraId="14C6B5E1"/>
        </w:tc>
        <w:tc>
          <w:tcPr>
            <w:tcW w:w="1500" w:type="dxa"/>
            <w:tcBorders>
              <w:top w:val="single" w:color="000000" w:sz="6" w:space="0"/>
              <w:left w:val="single" w:color="000000" w:sz="6" w:space="0"/>
              <w:bottom w:val="single" w:color="000000" w:sz="6" w:space="0"/>
              <w:right w:val="single" w:color="000000" w:sz="6" w:space="0"/>
            </w:tcBorders>
          </w:tcPr>
          <w:p w14:paraId="33A1666F"/>
        </w:tc>
        <w:tc>
          <w:tcPr>
            <w:tcW w:w="1500" w:type="dxa"/>
            <w:tcBorders>
              <w:top w:val="single" w:color="000000" w:sz="6" w:space="0"/>
              <w:left w:val="single" w:color="000000" w:sz="6" w:space="0"/>
              <w:bottom w:val="single" w:color="000000" w:sz="6" w:space="0"/>
              <w:right w:val="single" w:color="000000" w:sz="6" w:space="0"/>
            </w:tcBorders>
          </w:tcPr>
          <w:p w14:paraId="17DEE4D0"/>
        </w:tc>
        <w:tc>
          <w:tcPr>
            <w:tcW w:w="1500" w:type="dxa"/>
            <w:tcBorders>
              <w:top w:val="single" w:color="000000" w:sz="6" w:space="0"/>
              <w:left w:val="single" w:color="000000" w:sz="6" w:space="0"/>
              <w:bottom w:val="single" w:color="000000" w:sz="6" w:space="0"/>
              <w:right w:val="single" w:color="000000" w:sz="6" w:space="0"/>
            </w:tcBorders>
          </w:tcPr>
          <w:p w14:paraId="384F0FF8"/>
        </w:tc>
        <w:tc>
          <w:tcPr>
            <w:tcW w:w="1500" w:type="dxa"/>
            <w:tcBorders>
              <w:top w:val="single" w:color="000000" w:sz="6" w:space="0"/>
              <w:left w:val="single" w:color="000000" w:sz="6" w:space="0"/>
              <w:bottom w:val="single" w:color="000000" w:sz="6" w:space="0"/>
              <w:right w:val="single" w:color="000000" w:sz="6" w:space="0"/>
            </w:tcBorders>
          </w:tcPr>
          <w:p w14:paraId="4E646DB3"/>
        </w:tc>
        <w:tc>
          <w:tcPr>
            <w:tcW w:w="1500" w:type="dxa"/>
            <w:tcBorders>
              <w:top w:val="single" w:color="000000" w:sz="6" w:space="0"/>
              <w:left w:val="single" w:color="000000" w:sz="6" w:space="0"/>
              <w:bottom w:val="single" w:color="000000" w:sz="6" w:space="0"/>
              <w:right w:val="single" w:color="000000" w:sz="6" w:space="0"/>
            </w:tcBorders>
          </w:tcPr>
          <w:p w14:paraId="1E02F4EF"/>
        </w:tc>
      </w:tr>
      <w:tr w14:paraId="4939D727">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 w:type="dxa"/>
            <w:bottom w:w="0" w:type="dxa"/>
            <w:right w:w="10" w:type="dxa"/>
          </w:tblCellMar>
        </w:tblPrEx>
        <w:tc>
          <w:tcPr>
            <w:tcW w:w="1500" w:type="dxa"/>
            <w:tcBorders>
              <w:top w:val="single" w:color="000000" w:sz="6" w:space="0"/>
              <w:left w:val="single" w:color="000000" w:sz="6" w:space="0"/>
              <w:bottom w:val="single" w:color="000000" w:sz="6" w:space="0"/>
              <w:right w:val="single" w:color="000000" w:sz="6" w:space="0"/>
            </w:tcBorders>
          </w:tcPr>
          <w:p w14:paraId="20771066"/>
        </w:tc>
        <w:tc>
          <w:tcPr>
            <w:tcW w:w="1500" w:type="dxa"/>
            <w:tcBorders>
              <w:top w:val="single" w:color="000000" w:sz="6" w:space="0"/>
              <w:left w:val="single" w:color="000000" w:sz="6" w:space="0"/>
              <w:bottom w:val="single" w:color="000000" w:sz="6" w:space="0"/>
              <w:right w:val="single" w:color="000000" w:sz="6" w:space="0"/>
            </w:tcBorders>
          </w:tcPr>
          <w:p w14:paraId="1C0584D8"/>
        </w:tc>
        <w:tc>
          <w:tcPr>
            <w:tcW w:w="1500" w:type="dxa"/>
            <w:tcBorders>
              <w:top w:val="single" w:color="000000" w:sz="6" w:space="0"/>
              <w:left w:val="single" w:color="000000" w:sz="6" w:space="0"/>
              <w:bottom w:val="single" w:color="000000" w:sz="6" w:space="0"/>
              <w:right w:val="single" w:color="000000" w:sz="6" w:space="0"/>
            </w:tcBorders>
          </w:tcPr>
          <w:p w14:paraId="742228AF"/>
        </w:tc>
        <w:tc>
          <w:tcPr>
            <w:tcW w:w="1500" w:type="dxa"/>
            <w:tcBorders>
              <w:top w:val="single" w:color="000000" w:sz="6" w:space="0"/>
              <w:left w:val="single" w:color="000000" w:sz="6" w:space="0"/>
              <w:bottom w:val="single" w:color="000000" w:sz="6" w:space="0"/>
              <w:right w:val="single" w:color="000000" w:sz="6" w:space="0"/>
            </w:tcBorders>
          </w:tcPr>
          <w:p w14:paraId="437C5F08"/>
        </w:tc>
        <w:tc>
          <w:tcPr>
            <w:tcW w:w="1500" w:type="dxa"/>
            <w:tcBorders>
              <w:top w:val="single" w:color="000000" w:sz="6" w:space="0"/>
              <w:left w:val="single" w:color="000000" w:sz="6" w:space="0"/>
              <w:bottom w:val="single" w:color="000000" w:sz="6" w:space="0"/>
              <w:right w:val="single" w:color="000000" w:sz="6" w:space="0"/>
            </w:tcBorders>
          </w:tcPr>
          <w:p w14:paraId="25C70431"/>
        </w:tc>
        <w:tc>
          <w:tcPr>
            <w:tcW w:w="1500" w:type="dxa"/>
            <w:tcBorders>
              <w:top w:val="single" w:color="000000" w:sz="6" w:space="0"/>
              <w:left w:val="single" w:color="000000" w:sz="6" w:space="0"/>
              <w:bottom w:val="single" w:color="000000" w:sz="6" w:space="0"/>
              <w:right w:val="single" w:color="000000" w:sz="6" w:space="0"/>
            </w:tcBorders>
          </w:tcPr>
          <w:p w14:paraId="24C8E3B6"/>
        </w:tc>
      </w:tr>
      <w:tr w14:paraId="53074B66">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 w:type="dxa"/>
            <w:bottom w:w="0" w:type="dxa"/>
            <w:right w:w="10" w:type="dxa"/>
          </w:tblCellMar>
        </w:tblPrEx>
        <w:tc>
          <w:tcPr>
            <w:tcW w:w="1500" w:type="dxa"/>
            <w:tcBorders>
              <w:top w:val="single" w:color="000000" w:sz="6" w:space="0"/>
              <w:left w:val="single" w:color="000000" w:sz="6" w:space="0"/>
              <w:bottom w:val="single" w:color="000000" w:sz="6" w:space="0"/>
              <w:right w:val="single" w:color="000000" w:sz="6" w:space="0"/>
            </w:tcBorders>
          </w:tcPr>
          <w:p w14:paraId="0705B3C4"/>
        </w:tc>
        <w:tc>
          <w:tcPr>
            <w:tcW w:w="1500" w:type="dxa"/>
            <w:tcBorders>
              <w:top w:val="single" w:color="000000" w:sz="6" w:space="0"/>
              <w:left w:val="single" w:color="000000" w:sz="6" w:space="0"/>
              <w:bottom w:val="single" w:color="000000" w:sz="6" w:space="0"/>
              <w:right w:val="single" w:color="000000" w:sz="6" w:space="0"/>
            </w:tcBorders>
          </w:tcPr>
          <w:p w14:paraId="63A4341F"/>
        </w:tc>
        <w:tc>
          <w:tcPr>
            <w:tcW w:w="1500" w:type="dxa"/>
            <w:tcBorders>
              <w:top w:val="single" w:color="000000" w:sz="6" w:space="0"/>
              <w:left w:val="single" w:color="000000" w:sz="6" w:space="0"/>
              <w:bottom w:val="single" w:color="000000" w:sz="6" w:space="0"/>
              <w:right w:val="single" w:color="000000" w:sz="6" w:space="0"/>
            </w:tcBorders>
          </w:tcPr>
          <w:p w14:paraId="308D5FA1"/>
        </w:tc>
        <w:tc>
          <w:tcPr>
            <w:tcW w:w="1500" w:type="dxa"/>
            <w:tcBorders>
              <w:top w:val="single" w:color="000000" w:sz="6" w:space="0"/>
              <w:left w:val="single" w:color="000000" w:sz="6" w:space="0"/>
              <w:bottom w:val="single" w:color="000000" w:sz="6" w:space="0"/>
              <w:right w:val="single" w:color="000000" w:sz="6" w:space="0"/>
            </w:tcBorders>
          </w:tcPr>
          <w:p w14:paraId="73B4153C"/>
        </w:tc>
        <w:tc>
          <w:tcPr>
            <w:tcW w:w="1500" w:type="dxa"/>
            <w:tcBorders>
              <w:top w:val="single" w:color="000000" w:sz="6" w:space="0"/>
              <w:left w:val="single" w:color="000000" w:sz="6" w:space="0"/>
              <w:bottom w:val="single" w:color="000000" w:sz="6" w:space="0"/>
              <w:right w:val="single" w:color="000000" w:sz="6" w:space="0"/>
            </w:tcBorders>
          </w:tcPr>
          <w:p w14:paraId="5793B44E"/>
        </w:tc>
        <w:tc>
          <w:tcPr>
            <w:tcW w:w="1500" w:type="dxa"/>
            <w:tcBorders>
              <w:top w:val="single" w:color="000000" w:sz="6" w:space="0"/>
              <w:left w:val="single" w:color="000000" w:sz="6" w:space="0"/>
              <w:bottom w:val="single" w:color="000000" w:sz="6" w:space="0"/>
              <w:right w:val="single" w:color="000000" w:sz="6" w:space="0"/>
            </w:tcBorders>
          </w:tcPr>
          <w:p w14:paraId="27D0E71E"/>
        </w:tc>
      </w:tr>
      <w:tr w14:paraId="45D49FE2">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 w:type="dxa"/>
            <w:bottom w:w="0" w:type="dxa"/>
            <w:right w:w="10" w:type="dxa"/>
          </w:tblCellMar>
        </w:tblPrEx>
        <w:tc>
          <w:tcPr>
            <w:tcW w:w="1500" w:type="dxa"/>
            <w:tcBorders>
              <w:top w:val="single" w:color="000000" w:sz="6" w:space="0"/>
              <w:left w:val="single" w:color="000000" w:sz="6" w:space="0"/>
              <w:bottom w:val="single" w:color="000000" w:sz="6" w:space="0"/>
              <w:right w:val="single" w:color="000000" w:sz="6" w:space="0"/>
            </w:tcBorders>
          </w:tcPr>
          <w:p w14:paraId="0860A770"/>
        </w:tc>
        <w:tc>
          <w:tcPr>
            <w:tcW w:w="1500" w:type="dxa"/>
            <w:tcBorders>
              <w:top w:val="single" w:color="000000" w:sz="6" w:space="0"/>
              <w:left w:val="single" w:color="000000" w:sz="6" w:space="0"/>
              <w:bottom w:val="single" w:color="000000" w:sz="6" w:space="0"/>
              <w:right w:val="single" w:color="000000" w:sz="6" w:space="0"/>
            </w:tcBorders>
          </w:tcPr>
          <w:p w14:paraId="5F021209"/>
        </w:tc>
        <w:tc>
          <w:tcPr>
            <w:tcW w:w="1500" w:type="dxa"/>
            <w:tcBorders>
              <w:top w:val="single" w:color="000000" w:sz="6" w:space="0"/>
              <w:left w:val="single" w:color="000000" w:sz="6" w:space="0"/>
              <w:bottom w:val="single" w:color="000000" w:sz="6" w:space="0"/>
              <w:right w:val="single" w:color="000000" w:sz="6" w:space="0"/>
            </w:tcBorders>
          </w:tcPr>
          <w:p w14:paraId="65F428EE"/>
        </w:tc>
        <w:tc>
          <w:tcPr>
            <w:tcW w:w="1500" w:type="dxa"/>
            <w:tcBorders>
              <w:top w:val="single" w:color="000000" w:sz="6" w:space="0"/>
              <w:left w:val="single" w:color="000000" w:sz="6" w:space="0"/>
              <w:bottom w:val="single" w:color="000000" w:sz="6" w:space="0"/>
              <w:right w:val="single" w:color="000000" w:sz="6" w:space="0"/>
            </w:tcBorders>
          </w:tcPr>
          <w:p w14:paraId="512ABB60"/>
        </w:tc>
        <w:tc>
          <w:tcPr>
            <w:tcW w:w="1500" w:type="dxa"/>
            <w:tcBorders>
              <w:top w:val="single" w:color="000000" w:sz="6" w:space="0"/>
              <w:left w:val="single" w:color="000000" w:sz="6" w:space="0"/>
              <w:bottom w:val="single" w:color="000000" w:sz="6" w:space="0"/>
              <w:right w:val="single" w:color="000000" w:sz="6" w:space="0"/>
            </w:tcBorders>
          </w:tcPr>
          <w:p w14:paraId="6786BAD4"/>
        </w:tc>
        <w:tc>
          <w:tcPr>
            <w:tcW w:w="1500" w:type="dxa"/>
            <w:tcBorders>
              <w:top w:val="single" w:color="000000" w:sz="6" w:space="0"/>
              <w:left w:val="single" w:color="000000" w:sz="6" w:space="0"/>
              <w:bottom w:val="single" w:color="000000" w:sz="6" w:space="0"/>
              <w:right w:val="single" w:color="000000" w:sz="6" w:space="0"/>
            </w:tcBorders>
          </w:tcPr>
          <w:p w14:paraId="78CCB641"/>
        </w:tc>
      </w:tr>
      <w:tr w14:paraId="2995B193">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 w:type="dxa"/>
            <w:bottom w:w="0" w:type="dxa"/>
            <w:right w:w="10" w:type="dxa"/>
          </w:tblCellMar>
        </w:tblPrEx>
        <w:tc>
          <w:tcPr>
            <w:tcW w:w="9000" w:type="dxa"/>
            <w:gridSpan w:val="6"/>
            <w:tcBorders>
              <w:top w:val="single" w:color="000000" w:sz="6" w:space="0"/>
              <w:left w:val="single" w:color="000000" w:sz="6" w:space="0"/>
              <w:bottom w:val="single" w:color="000000" w:sz="6" w:space="0"/>
              <w:right w:val="single" w:color="000000" w:sz="6" w:space="0"/>
            </w:tcBorders>
          </w:tcPr>
          <w:p w14:paraId="5C1ABA92">
            <w:pPr>
              <w:pStyle w:val="4"/>
              <w:spacing w:before="0" w:beforeAutospacing="0" w:after="0" w:afterAutospacing="0" w:line="360" w:lineRule="auto"/>
              <w:rPr>
                <w:rFonts w:ascii="宋体" w:hAnsi="宋体" w:cs="宋体"/>
                <w:color w:val="000000"/>
              </w:rPr>
            </w:pPr>
            <w:r>
              <w:rPr>
                <w:rFonts w:ascii="宋体" w:hAnsi="宋体" w:cs="宋体"/>
                <w:color w:val="000000"/>
              </w:rPr>
              <w:t>总计（合同总价款）：人民币（大写）</w:t>
            </w:r>
            <w:r>
              <w:rPr>
                <w:rFonts w:ascii="宋体" w:hAnsi="宋体" w:cs="宋体"/>
                <w:color w:val="000000"/>
                <w:u w:val="single"/>
              </w:rPr>
              <w:t>       </w:t>
            </w:r>
            <w:r>
              <w:rPr>
                <w:rFonts w:ascii="宋体" w:hAnsi="宋体" w:cs="宋体"/>
                <w:color w:val="000000"/>
              </w:rPr>
              <w:t>元（￥</w:t>
            </w:r>
            <w:r>
              <w:rPr>
                <w:rFonts w:ascii="宋体" w:hAnsi="宋体" w:cs="宋体"/>
                <w:color w:val="000000"/>
                <w:u w:val="single"/>
              </w:rPr>
              <w:t>   </w:t>
            </w:r>
            <w:r>
              <w:rPr>
                <w:rFonts w:ascii="宋体" w:hAnsi="宋体" w:cs="宋体"/>
                <w:color w:val="000000"/>
              </w:rPr>
              <w:t>元）</w:t>
            </w:r>
          </w:p>
        </w:tc>
      </w:tr>
    </w:tbl>
    <w:p w14:paraId="069AB857">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本合同约定价款为含税价格，增值税率</w:t>
      </w:r>
      <w:r>
        <w:rPr>
          <w:rFonts w:ascii="宋体" w:hAnsi="宋体" w:cs="宋体"/>
          <w:color w:val="000000"/>
          <w:u w:val="single"/>
        </w:rPr>
        <w:t>    %（百分之    ）</w:t>
      </w:r>
      <w:r>
        <w:rPr>
          <w:rFonts w:ascii="宋体" w:hAnsi="宋体" w:cs="宋体"/>
          <w:color w:val="000000"/>
        </w:rPr>
        <w:t>。</w:t>
      </w:r>
    </w:p>
    <w:p w14:paraId="3031A19E">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付款方式</w:t>
      </w:r>
    </w:p>
    <w:p w14:paraId="626084A1">
      <w:pPr>
        <w:pStyle w:val="4"/>
        <w:spacing w:before="0" w:beforeAutospacing="0" w:after="0" w:afterAutospacing="0" w:line="360" w:lineRule="auto"/>
        <w:rPr>
          <w:rFonts w:ascii="宋体" w:hAnsi="宋体" w:cs="宋体"/>
          <w:color w:val="000000"/>
        </w:rPr>
      </w:pPr>
      <w:r>
        <w:rPr>
          <w:rFonts w:ascii="宋体" w:hAnsi="宋体" w:cs="宋体"/>
          <w:color w:val="000000"/>
        </w:rPr>
        <w:t>首笔款：</w:t>
      </w:r>
      <w:r>
        <w:rPr>
          <w:rFonts w:ascii="宋体" w:hAnsi="宋体" w:cs="宋体"/>
          <w:color w:val="000000"/>
          <w:u w:val="single"/>
        </w:rPr>
        <w:t>￥  元，于本合同签订后5个工作日内支付</w:t>
      </w:r>
      <w:r>
        <w:rPr>
          <w:rFonts w:ascii="宋体" w:hAnsi="宋体" w:cs="宋体"/>
          <w:color w:val="000000"/>
        </w:rPr>
        <w:t>。</w:t>
      </w:r>
    </w:p>
    <w:p w14:paraId="1832C9B6">
      <w:pPr>
        <w:pStyle w:val="4"/>
        <w:spacing w:before="0" w:beforeAutospacing="0" w:after="0" w:afterAutospacing="0" w:line="360" w:lineRule="auto"/>
        <w:rPr>
          <w:rFonts w:ascii="宋体" w:hAnsi="宋体" w:cs="宋体"/>
          <w:color w:val="000000"/>
        </w:rPr>
      </w:pPr>
      <w:r>
        <w:rPr>
          <w:rFonts w:ascii="宋体" w:hAnsi="宋体" w:cs="宋体"/>
          <w:color w:val="000000"/>
        </w:rPr>
        <w:t>尾款：乙方交付货物并经甲方验收通过后的5个工作日内，甲方付清全部合同价款。</w:t>
      </w:r>
    </w:p>
    <w:p w14:paraId="6203B196">
      <w:pPr>
        <w:pStyle w:val="4"/>
        <w:spacing w:before="0" w:beforeAutospacing="0" w:after="0" w:afterAutospacing="0" w:line="360" w:lineRule="auto"/>
        <w:rPr>
          <w:rFonts w:ascii="宋体" w:hAnsi="宋体" w:cs="宋体"/>
          <w:color w:val="000000"/>
        </w:rPr>
      </w:pPr>
      <w:r>
        <w:rPr>
          <w:rFonts w:hint="eastAsia" w:ascii="宋体" w:hAnsi="宋体" w:cs="宋体"/>
          <w:color w:val="000000"/>
        </w:rPr>
        <w:t>甲方逾期支付首笔款的，交货时间相应顺延；非因乙方原因导致验收延迟的，尾款支付时间顺延。任何因乙方供货瑕疵导致的付款延迟，甲方不承担违约责任。</w:t>
      </w:r>
    </w:p>
    <w:p w14:paraId="671BE9B1">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除本合同明确约定的以外，甲方无需就本合同的履行向乙方支付其他价款或费用。</w:t>
      </w:r>
    </w:p>
    <w:p w14:paraId="17DA8E32">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乙方指定收款账号：</w:t>
      </w:r>
    </w:p>
    <w:p w14:paraId="675F01C6">
      <w:pPr>
        <w:pStyle w:val="4"/>
        <w:spacing w:before="0" w:beforeAutospacing="0" w:after="0" w:afterAutospacing="0" w:line="360" w:lineRule="auto"/>
        <w:rPr>
          <w:rFonts w:ascii="宋体" w:hAnsi="宋体" w:cs="宋体"/>
          <w:color w:val="000000"/>
        </w:rPr>
      </w:pPr>
      <w:r>
        <w:rPr>
          <w:rFonts w:ascii="宋体" w:hAnsi="宋体" w:cs="宋体"/>
          <w:color w:val="000000"/>
        </w:rPr>
        <w:t>户名：</w:t>
      </w:r>
      <w:r>
        <w:rPr>
          <w:rFonts w:ascii="宋体" w:hAnsi="宋体" w:cs="宋体"/>
          <w:color w:val="000000"/>
          <w:u w:val="single"/>
        </w:rPr>
        <w:t>  </w:t>
      </w:r>
    </w:p>
    <w:p w14:paraId="0DE97B53">
      <w:pPr>
        <w:pStyle w:val="4"/>
        <w:spacing w:before="0" w:beforeAutospacing="0" w:after="0" w:afterAutospacing="0" w:line="360" w:lineRule="auto"/>
        <w:rPr>
          <w:rFonts w:ascii="宋体" w:hAnsi="宋体" w:cs="宋体"/>
          <w:color w:val="000000"/>
        </w:rPr>
      </w:pPr>
      <w:r>
        <w:rPr>
          <w:rFonts w:ascii="宋体" w:hAnsi="宋体" w:cs="宋体"/>
          <w:color w:val="000000"/>
        </w:rPr>
        <w:t>账号：</w:t>
      </w:r>
      <w:r>
        <w:rPr>
          <w:rFonts w:ascii="宋体" w:hAnsi="宋体" w:cs="宋体"/>
          <w:color w:val="000000"/>
          <w:u w:val="single"/>
        </w:rPr>
        <w:t>  </w:t>
      </w:r>
    </w:p>
    <w:p w14:paraId="0C15E378">
      <w:pPr>
        <w:pStyle w:val="4"/>
        <w:spacing w:before="0" w:beforeAutospacing="0" w:after="0" w:afterAutospacing="0" w:line="360" w:lineRule="auto"/>
        <w:rPr>
          <w:rFonts w:ascii="宋体" w:hAnsi="宋体" w:cs="宋体"/>
          <w:color w:val="000000"/>
        </w:rPr>
      </w:pPr>
      <w:r>
        <w:rPr>
          <w:rFonts w:ascii="宋体" w:hAnsi="宋体" w:cs="宋体"/>
          <w:color w:val="000000"/>
        </w:rPr>
        <w:t>开户行：</w:t>
      </w:r>
      <w:r>
        <w:rPr>
          <w:rFonts w:ascii="宋体" w:hAnsi="宋体" w:cs="宋体"/>
          <w:color w:val="000000"/>
          <w:u w:val="single"/>
        </w:rPr>
        <w:t>  </w:t>
      </w:r>
    </w:p>
    <w:p w14:paraId="241B7017">
      <w:pPr>
        <w:pStyle w:val="4"/>
        <w:spacing w:before="0" w:beforeAutospacing="0" w:after="0" w:afterAutospacing="0" w:line="360" w:lineRule="auto"/>
        <w:rPr>
          <w:rFonts w:ascii="宋体" w:hAnsi="宋体" w:cs="宋体"/>
          <w:color w:val="000000"/>
        </w:rPr>
      </w:pPr>
      <w:r>
        <w:rPr>
          <w:rFonts w:ascii="宋体" w:hAnsi="宋体" w:cs="宋体"/>
          <w:color w:val="000000"/>
        </w:rPr>
        <w:t>乙方未授权任何员工、第三方收款；付款方未向指定账号付款导致损失的，乙方不承担任何责任。</w:t>
      </w:r>
      <w:r>
        <w:rPr>
          <w:rFonts w:hint="eastAsia" w:ascii="宋体" w:hAnsi="宋体" w:cs="宋体"/>
          <w:color w:val="000000"/>
        </w:rPr>
        <w:t>乙方变更收款账号，必须提前3个工作日向甲方出具加盖公章的书面变更通知，否则甲方按原账号付款视为有效履约，由此产生的损失由乙方自行承担。</w:t>
      </w:r>
    </w:p>
    <w:p w14:paraId="25B38EE5">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发票</w:t>
      </w:r>
    </w:p>
    <w:p w14:paraId="0705EBF0">
      <w:pPr>
        <w:pStyle w:val="4"/>
        <w:spacing w:before="0" w:beforeAutospacing="0" w:after="0" w:afterAutospacing="0" w:line="360" w:lineRule="auto"/>
        <w:rPr>
          <w:rFonts w:ascii="宋体" w:hAnsi="宋体" w:cs="宋体"/>
          <w:color w:val="000000"/>
        </w:rPr>
      </w:pPr>
      <w:r>
        <w:rPr>
          <w:rFonts w:ascii="宋体" w:hAnsi="宋体" w:cs="宋体"/>
          <w:color w:val="000000"/>
        </w:rPr>
        <w:t>乙方应向甲方开具正规足额增值税专用发票。甲方开票信息如下：</w:t>
      </w:r>
    </w:p>
    <w:p w14:paraId="49458F76">
      <w:pPr>
        <w:pStyle w:val="4"/>
        <w:spacing w:before="0" w:beforeAutospacing="0" w:after="0" w:afterAutospacing="0" w:line="360" w:lineRule="auto"/>
        <w:rPr>
          <w:rFonts w:ascii="宋体" w:hAnsi="宋体" w:cs="宋体"/>
          <w:color w:val="000000"/>
        </w:rPr>
      </w:pPr>
      <w:r>
        <w:rPr>
          <w:rFonts w:ascii="宋体" w:hAnsi="宋体" w:cs="宋体"/>
          <w:color w:val="000000"/>
        </w:rPr>
        <w:t>名称：</w:t>
      </w:r>
      <w:r>
        <w:rPr>
          <w:rFonts w:ascii="宋体" w:hAnsi="宋体" w:cs="宋体"/>
          <w:color w:val="000000"/>
          <w:u w:val="single"/>
        </w:rPr>
        <w:t>    </w:t>
      </w:r>
    </w:p>
    <w:p w14:paraId="7117E57B">
      <w:pPr>
        <w:pStyle w:val="4"/>
        <w:spacing w:before="0" w:beforeAutospacing="0" w:after="0" w:afterAutospacing="0" w:line="360" w:lineRule="auto"/>
        <w:rPr>
          <w:rFonts w:ascii="宋体" w:hAnsi="宋体" w:cs="宋体"/>
          <w:color w:val="000000"/>
        </w:rPr>
      </w:pPr>
      <w:r>
        <w:rPr>
          <w:rFonts w:ascii="宋体" w:hAnsi="宋体" w:cs="宋体"/>
          <w:color w:val="000000"/>
        </w:rPr>
        <w:t>纳税人识别号：</w:t>
      </w:r>
      <w:r>
        <w:rPr>
          <w:rFonts w:ascii="宋体" w:hAnsi="宋体" w:cs="宋体"/>
          <w:color w:val="000000"/>
          <w:u w:val="single"/>
        </w:rPr>
        <w:t>    </w:t>
      </w:r>
    </w:p>
    <w:p w14:paraId="35DDBEB7">
      <w:pPr>
        <w:pStyle w:val="4"/>
        <w:spacing w:before="0" w:beforeAutospacing="0" w:after="0" w:afterAutospacing="0" w:line="360" w:lineRule="auto"/>
        <w:rPr>
          <w:rFonts w:ascii="宋体" w:hAnsi="宋体" w:cs="宋体"/>
          <w:color w:val="000000"/>
        </w:rPr>
      </w:pPr>
      <w:r>
        <w:rPr>
          <w:rFonts w:ascii="宋体" w:hAnsi="宋体" w:cs="宋体"/>
          <w:color w:val="000000"/>
        </w:rPr>
        <w:t>地址、电话：</w:t>
      </w:r>
      <w:r>
        <w:rPr>
          <w:rFonts w:ascii="宋体" w:hAnsi="宋体" w:cs="宋体"/>
          <w:color w:val="000000"/>
          <w:u w:val="single"/>
        </w:rPr>
        <w:t>    </w:t>
      </w:r>
    </w:p>
    <w:p w14:paraId="2AEA9D55">
      <w:pPr>
        <w:pStyle w:val="4"/>
        <w:spacing w:before="0" w:beforeAutospacing="0" w:after="0" w:afterAutospacing="0" w:line="360" w:lineRule="auto"/>
        <w:rPr>
          <w:rFonts w:ascii="宋体" w:hAnsi="宋体" w:cs="宋体"/>
          <w:color w:val="000000"/>
        </w:rPr>
      </w:pPr>
      <w:r>
        <w:rPr>
          <w:rFonts w:ascii="宋体" w:hAnsi="宋体" w:cs="宋体"/>
          <w:color w:val="000000"/>
        </w:rPr>
        <w:t>开户行及账号：</w:t>
      </w:r>
      <w:r>
        <w:rPr>
          <w:rFonts w:ascii="宋体" w:hAnsi="宋体" w:cs="宋体"/>
          <w:color w:val="000000"/>
          <w:u w:val="single"/>
        </w:rPr>
        <w:t>    </w:t>
      </w:r>
    </w:p>
    <w:p w14:paraId="53F59A27">
      <w:pPr>
        <w:pStyle w:val="3"/>
        <w:numPr>
          <w:ilvl w:val="0"/>
          <w:numId w:val="1"/>
        </w:numPr>
        <w:spacing w:before="0" w:beforeAutospacing="0" w:after="0" w:afterAutospacing="0" w:line="360" w:lineRule="auto"/>
        <w:rPr>
          <w:rFonts w:ascii="宋体" w:hAnsi="宋体" w:cs="宋体"/>
          <w:color w:val="000000"/>
        </w:rPr>
      </w:pPr>
      <w:r>
        <w:rPr>
          <w:rFonts w:ascii="宋体" w:hAnsi="宋体" w:cs="宋体"/>
        </w:rPr>
        <w:t>质量</w:t>
      </w:r>
    </w:p>
    <w:p w14:paraId="1BA36EAA">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按该货物所适用的国家标准（强制性或推荐性标准）、行业标准、地方标准、生产企业标准执行，并以其中最高的标准为准。</w:t>
      </w:r>
    </w:p>
    <w:p w14:paraId="3BE4B57A">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lang w:val="en-US" w:eastAsia="zh-CN"/>
        </w:rPr>
        <w:t>双方确认样品的，货物质量以双方签字盖章封存的样品为最高标准；无样品的，按本合同约定标准执行。货物不得存在危及人身、财产安全的隐蔽瑕疵。</w:t>
      </w:r>
    </w:p>
    <w:p w14:paraId="214DBAEE">
      <w:pPr>
        <w:pStyle w:val="4"/>
        <w:numPr>
          <w:ilvl w:val="1"/>
          <w:numId w:val="1"/>
        </w:numPr>
        <w:spacing w:before="0" w:beforeAutospacing="0" w:after="0" w:afterAutospacing="0" w:line="360" w:lineRule="auto"/>
        <w:rPr>
          <w:rFonts w:ascii="宋体" w:hAnsi="宋体" w:cs="宋体"/>
          <w:color w:val="000000"/>
        </w:rPr>
      </w:pPr>
      <w:r>
        <w:rPr>
          <w:rFonts w:ascii="宋体" w:hAnsi="宋体" w:cs="宋体" w:eastAsiaTheme="minorEastAsia"/>
          <w:color w:val="000000"/>
          <w:sz w:val="24"/>
        </w:rPr>
        <w:t>质量应同时符合乙方所提供的产品说明书或相关说明文档中所列明的标</w:t>
      </w:r>
      <w:r>
        <w:rPr>
          <w:rFonts w:ascii="宋体" w:hAnsi="宋体" w:cs="宋体"/>
          <w:color w:val="000000"/>
        </w:rPr>
        <w:t>准。</w:t>
      </w:r>
    </w:p>
    <w:p w14:paraId="7CB28AD9">
      <w:pPr>
        <w:pStyle w:val="3"/>
        <w:numPr>
          <w:ilvl w:val="0"/>
          <w:numId w:val="1"/>
        </w:numPr>
        <w:spacing w:before="0" w:beforeAutospacing="0" w:after="0" w:afterAutospacing="0" w:line="360" w:lineRule="auto"/>
        <w:rPr>
          <w:rFonts w:ascii="宋体" w:hAnsi="宋体" w:cs="宋体"/>
          <w:color w:val="000000"/>
        </w:rPr>
      </w:pPr>
      <w:r>
        <w:rPr>
          <w:rFonts w:ascii="宋体" w:hAnsi="宋体" w:cs="宋体"/>
        </w:rPr>
        <w:t>数量</w:t>
      </w:r>
    </w:p>
    <w:p w14:paraId="5B7F9904">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交货数量正负差在</w:t>
      </w:r>
      <w:r>
        <w:rPr>
          <w:rFonts w:hint="eastAsia" w:ascii="宋体" w:hAnsi="宋体" w:cs="宋体"/>
          <w:color w:val="000000"/>
          <w:u w:val="single"/>
          <w:lang w:val="en-US" w:eastAsia="zh-CN"/>
        </w:rPr>
        <w:t>3</w:t>
      </w:r>
      <w:r>
        <w:rPr>
          <w:rFonts w:ascii="宋体" w:hAnsi="宋体" w:cs="宋体"/>
          <w:color w:val="000000"/>
          <w:u w:val="single"/>
        </w:rPr>
        <w:t>%（百分之</w:t>
      </w:r>
      <w:r>
        <w:rPr>
          <w:rFonts w:hint="eastAsia" w:ascii="宋体" w:hAnsi="宋体" w:cs="宋体"/>
          <w:color w:val="000000"/>
          <w:u w:val="single"/>
          <w:lang w:val="en-US" w:eastAsia="zh-CN"/>
        </w:rPr>
        <w:t>三</w:t>
      </w:r>
      <w:r>
        <w:rPr>
          <w:rFonts w:ascii="宋体" w:hAnsi="宋体" w:cs="宋体"/>
          <w:color w:val="000000"/>
          <w:u w:val="single"/>
        </w:rPr>
        <w:t>）</w:t>
      </w:r>
      <w:r>
        <w:rPr>
          <w:rFonts w:ascii="宋体" w:hAnsi="宋体" w:cs="宋体"/>
          <w:color w:val="000000"/>
        </w:rPr>
        <w:t>范围内时，甲方仍应正常收货，并按实际交付数量结算费用。交货数量正负差超出该范围时，甲方有权拒绝收货。</w:t>
      </w:r>
    </w:p>
    <w:p w14:paraId="37090637">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双方实际确认的交货数量与约定不一致的，应根据实际交货数量来结算货款。</w:t>
      </w:r>
    </w:p>
    <w:p w14:paraId="7F9CDBBB">
      <w:pPr>
        <w:pStyle w:val="3"/>
        <w:numPr>
          <w:ilvl w:val="0"/>
          <w:numId w:val="1"/>
        </w:numPr>
        <w:spacing w:before="0" w:beforeAutospacing="0" w:after="0" w:afterAutospacing="0" w:line="360" w:lineRule="auto"/>
        <w:rPr>
          <w:rFonts w:ascii="宋体" w:hAnsi="宋体" w:cs="宋体"/>
          <w:color w:val="000000"/>
        </w:rPr>
      </w:pPr>
      <w:r>
        <w:rPr>
          <w:rFonts w:ascii="宋体" w:hAnsi="宋体" w:cs="宋体"/>
        </w:rPr>
        <w:t>配套资料</w:t>
      </w:r>
    </w:p>
    <w:p w14:paraId="65E436A0">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乙方交货时应同时提交货物的产品合格证书、保修单、使用说明书等随附单证。</w:t>
      </w:r>
    </w:p>
    <w:p w14:paraId="59F7DC71">
      <w:pPr>
        <w:pStyle w:val="4"/>
        <w:numPr>
          <w:ilvl w:val="1"/>
          <w:numId w:val="1"/>
        </w:numPr>
        <w:spacing w:before="0" w:beforeAutospacing="0" w:after="0" w:afterAutospacing="0" w:line="360" w:lineRule="auto"/>
        <w:rPr>
          <w:rFonts w:ascii="宋体" w:hAnsi="宋体" w:cs="宋体"/>
          <w:color w:val="000000"/>
        </w:rPr>
      </w:pPr>
      <w:r>
        <w:rPr>
          <w:rFonts w:hint="eastAsia" w:ascii="宋体" w:hAnsi="宋体" w:cs="宋体"/>
          <w:color w:val="000000"/>
        </w:rPr>
        <w:t>乙方需同步提供货物质检报告、溯源凭证、报关资料（进口货物）、售后保修凭证等法定随附资料。乙方未按时、完整提供配套资料的，视为未完成交货义务，甲方有权顺延验收及付款，由此产生的逾期责任由乙方承担。</w:t>
      </w:r>
    </w:p>
    <w:p w14:paraId="2935DB36">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配套资料的交付与否不影响货物的所有权与风险转移。</w:t>
      </w:r>
    </w:p>
    <w:p w14:paraId="13F9C988">
      <w:pPr>
        <w:pStyle w:val="3"/>
        <w:numPr>
          <w:ilvl w:val="0"/>
          <w:numId w:val="1"/>
        </w:numPr>
        <w:spacing w:before="0" w:beforeAutospacing="0" w:after="0" w:afterAutospacing="0" w:line="360" w:lineRule="auto"/>
        <w:rPr>
          <w:rFonts w:ascii="宋体" w:hAnsi="宋体" w:cs="宋体"/>
          <w:color w:val="000000"/>
        </w:rPr>
      </w:pPr>
      <w:r>
        <w:rPr>
          <w:rFonts w:ascii="宋体" w:hAnsi="宋体" w:cs="宋体"/>
        </w:rPr>
        <w:t>包装</w:t>
      </w:r>
    </w:p>
    <w:p w14:paraId="1C505CF0">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乙方应按如下标准包装：必须进行妥善包装，并确保其适合长途运输、防潮、防湿、防锈、耐野蛮装卸，以确保货物不受损。包装费用由乙方自行承担。</w:t>
      </w:r>
      <w:r>
        <w:rPr>
          <w:rFonts w:hint="eastAsia" w:ascii="宋体" w:hAnsi="宋体" w:cs="宋体"/>
          <w:color w:val="000000"/>
        </w:rPr>
        <w:t>因包装不当导致货物运输破损、受潮、损坏的，由乙方无条件退换货，并承担全部运费及甲方损失。</w:t>
      </w:r>
    </w:p>
    <w:p w14:paraId="58463837">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包装物回收：甲方自行处置，乙方不进行回收。</w:t>
      </w:r>
    </w:p>
    <w:p w14:paraId="6C9784EE">
      <w:pPr>
        <w:pStyle w:val="3"/>
        <w:numPr>
          <w:ilvl w:val="0"/>
          <w:numId w:val="1"/>
        </w:numPr>
        <w:spacing w:before="0" w:beforeAutospacing="0" w:after="0" w:afterAutospacing="0" w:line="360" w:lineRule="auto"/>
        <w:rPr>
          <w:rFonts w:ascii="宋体" w:hAnsi="宋体" w:cs="宋体"/>
          <w:color w:val="000000"/>
        </w:rPr>
      </w:pPr>
      <w:r>
        <w:rPr>
          <w:rFonts w:ascii="宋体" w:hAnsi="宋体" w:cs="宋体"/>
        </w:rPr>
        <w:t>运输</w:t>
      </w:r>
    </w:p>
    <w:p w14:paraId="317A6B99">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运输方式：乙方应选择最适合于保护货物的运输方式进行运输。如甲方对运输方式有特别要求，乙方应按甲方要求运输。</w:t>
      </w:r>
    </w:p>
    <w:p w14:paraId="73EF2726">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运费承担：运输到交货地点的运输费用由乙方自行承担；本合同另有约定的除外。</w:t>
      </w:r>
      <w:r>
        <w:rPr>
          <w:rFonts w:hint="eastAsia" w:ascii="宋体" w:hAnsi="宋体" w:cs="宋体"/>
          <w:color w:val="000000"/>
        </w:rPr>
        <w:t>运输途中产生的货损、丢货、短少风险，全部由乙方承担，乙方需无偿补发或退换货物。</w:t>
      </w:r>
    </w:p>
    <w:p w14:paraId="06373F46">
      <w:pPr>
        <w:pStyle w:val="3"/>
        <w:numPr>
          <w:ilvl w:val="0"/>
          <w:numId w:val="1"/>
        </w:numPr>
        <w:spacing w:before="0" w:beforeAutospacing="0" w:after="0" w:afterAutospacing="0" w:line="360" w:lineRule="auto"/>
        <w:rPr>
          <w:rFonts w:ascii="宋体" w:hAnsi="宋体" w:cs="宋体"/>
          <w:color w:val="000000"/>
        </w:rPr>
      </w:pPr>
      <w:r>
        <w:rPr>
          <w:rFonts w:ascii="宋体" w:hAnsi="宋体" w:cs="宋体"/>
        </w:rPr>
        <w:t>交货</w:t>
      </w:r>
    </w:p>
    <w:p w14:paraId="20F0A2A1">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交货时间：</w:t>
      </w:r>
      <w:r>
        <w:rPr>
          <w:rFonts w:ascii="宋体" w:hAnsi="宋体" w:cs="宋体"/>
          <w:color w:val="000000"/>
          <w:u w:val="single"/>
        </w:rPr>
        <w:t>自    年    月    日起（含当日）至    年    月    日（含当日）止</w:t>
      </w:r>
      <w:r>
        <w:rPr>
          <w:rFonts w:ascii="宋体" w:hAnsi="宋体" w:cs="宋体"/>
          <w:color w:val="000000"/>
        </w:rPr>
        <w:t>，具体交货时间由乙方在指定期限内安排，但必须至少提前3天通知甲方。</w:t>
      </w:r>
    </w:p>
    <w:p w14:paraId="54FC7C6B">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交货地点：由甲方指定，但必须在</w:t>
      </w:r>
      <w:r>
        <w:rPr>
          <w:rFonts w:ascii="宋体" w:hAnsi="宋体" w:cs="宋体"/>
          <w:color w:val="000000"/>
          <w:u w:val="single"/>
        </w:rPr>
        <w:t>    省    市</w:t>
      </w:r>
      <w:r>
        <w:rPr>
          <w:rFonts w:ascii="宋体" w:hAnsi="宋体" w:cs="宋体"/>
          <w:color w:val="000000"/>
        </w:rPr>
        <w:t>范围内。</w:t>
      </w:r>
    </w:p>
    <w:p w14:paraId="05E5CF29">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甲方变更交货地点导致乙方增加费用的，该增加的费用由甲方承担。</w:t>
      </w:r>
    </w:p>
    <w:p w14:paraId="5B7E25BE">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验收：交货当时进行外观、数量验收；交货后5日内进行质量验收。</w:t>
      </w:r>
      <w:r>
        <w:rPr>
          <w:rFonts w:hint="eastAsia" w:ascii="宋体" w:hAnsi="宋体" w:cs="宋体"/>
          <w:color w:val="000000"/>
        </w:rPr>
        <w:t>交货当场完成外观、规格、数量验收；货物外观、数量瑕疵当场提出，逾期视为无异议。隐蔽质量瑕疵、功能性瑕疵，甲方可在质保期内随时提出异议，乙方仍需承担质保责任，不受5日验收期限制。</w:t>
      </w:r>
    </w:p>
    <w:p w14:paraId="0CF4FABD">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货物毁损、灭失的风险自交货之日起转移；采取代办托运方式的，自乙方将货物交付给第一承运人后风险转移。</w:t>
      </w:r>
    </w:p>
    <w:p w14:paraId="0D7B3AB1">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安装：乙方仅负责在约定交货地点卸货，不负责安装。</w:t>
      </w:r>
    </w:p>
    <w:p w14:paraId="60BE20E6">
      <w:pPr>
        <w:pStyle w:val="3"/>
        <w:numPr>
          <w:ilvl w:val="0"/>
          <w:numId w:val="1"/>
        </w:numPr>
        <w:spacing w:before="0" w:beforeAutospacing="0" w:after="0" w:afterAutospacing="0" w:line="360" w:lineRule="auto"/>
        <w:rPr>
          <w:rFonts w:ascii="宋体" w:hAnsi="宋体" w:cs="宋体"/>
          <w:color w:val="000000"/>
        </w:rPr>
      </w:pPr>
      <w:r>
        <w:rPr>
          <w:rFonts w:ascii="宋体" w:hAnsi="宋体" w:cs="宋体"/>
        </w:rPr>
        <w:t>质保期</w:t>
      </w:r>
    </w:p>
    <w:p w14:paraId="09281CB9">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质保期为：</w:t>
      </w:r>
      <w:r>
        <w:rPr>
          <w:rFonts w:ascii="宋体" w:hAnsi="宋体" w:cs="宋体"/>
          <w:color w:val="000000"/>
          <w:u w:val="single"/>
        </w:rPr>
        <w:t> </w:t>
      </w:r>
      <w:r>
        <w:rPr>
          <w:rFonts w:hint="eastAsia" w:ascii="宋体" w:hAnsi="宋体" w:cs="宋体"/>
          <w:color w:val="000000"/>
          <w:u w:val="single"/>
          <w:lang w:val="en-US" w:eastAsia="zh-CN"/>
        </w:rPr>
        <w:t>12</w:t>
      </w:r>
      <w:r>
        <w:rPr>
          <w:rFonts w:ascii="宋体" w:hAnsi="宋体" w:cs="宋体"/>
          <w:color w:val="000000"/>
          <w:u w:val="single"/>
        </w:rPr>
        <w:t>个月</w:t>
      </w:r>
      <w:r>
        <w:rPr>
          <w:rFonts w:ascii="宋体" w:hAnsi="宋体" w:cs="宋体"/>
          <w:color w:val="000000"/>
        </w:rPr>
        <w:t>；自乙方交货并经甲方验收通过之日起算。</w:t>
      </w:r>
    </w:p>
    <w:p w14:paraId="36E74C9C">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质保期内，乙方应承担如下责任：</w:t>
      </w:r>
    </w:p>
    <w:p w14:paraId="658D0B9F">
      <w:pPr>
        <w:pStyle w:val="4"/>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质保期内，如货物不能正常使用，</w:t>
      </w:r>
      <w:r>
        <w:rPr>
          <w:rFonts w:hint="eastAsia" w:ascii="宋体" w:hAnsi="宋体" w:cs="宋体"/>
          <w:color w:val="000000"/>
        </w:rPr>
        <w:t>乙方接到甲方质保通知后，需在48小时内响应，7日内完成维修/更换，逾期未处理的，甲方可自行维修，产生的费用由乙方双倍承担。</w:t>
      </w:r>
      <w:r>
        <w:rPr>
          <w:rFonts w:ascii="宋体" w:hAnsi="宋体" w:cs="宋体"/>
          <w:color w:val="000000"/>
        </w:rPr>
        <w:t>质保期自更换或修理完毕后重新计算。本合同约定质保期的期限与责任低于乙方承诺或国家、行业标准的，以较高要求为准。</w:t>
      </w:r>
    </w:p>
    <w:p w14:paraId="58690522">
      <w:pPr>
        <w:pStyle w:val="4"/>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交货后因使用、保管不当导致货物出现的质量问题或不能正常使用，乙方不承担质保责任。</w:t>
      </w:r>
    </w:p>
    <w:p w14:paraId="4C01F48F">
      <w:pPr>
        <w:pStyle w:val="3"/>
        <w:numPr>
          <w:ilvl w:val="0"/>
          <w:numId w:val="1"/>
        </w:numPr>
        <w:spacing w:before="0" w:beforeAutospacing="0" w:after="0" w:afterAutospacing="0" w:line="360" w:lineRule="auto"/>
        <w:rPr>
          <w:rFonts w:ascii="宋体" w:hAnsi="宋体" w:cs="宋体"/>
          <w:color w:val="000000"/>
        </w:rPr>
      </w:pPr>
      <w:r>
        <w:rPr>
          <w:rFonts w:ascii="宋体" w:hAnsi="宋体" w:cs="宋体"/>
        </w:rPr>
        <w:t>知识产权</w:t>
      </w:r>
    </w:p>
    <w:p w14:paraId="2F5A8B79">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乙方保证享有所提供货物所需的完整知识产权，并保证甲方及甲方客户在世界范围内使用（包括但不限于单独使用、结合使用、连接使用、嵌入使用、贴附使用、拼拆使用，下合称“使用”）、生产、销售、许诺销售、运输、仓储、进口、出口货物不会侵犯任何第三方知识产权。</w:t>
      </w:r>
    </w:p>
    <w:p w14:paraId="36580289">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除上述情形以外，本合同的签订与履行不意味着知识产权的转让或许可。</w:t>
      </w:r>
    </w:p>
    <w:p w14:paraId="50C8DF3B">
      <w:pPr>
        <w:pStyle w:val="3"/>
        <w:numPr>
          <w:ilvl w:val="0"/>
          <w:numId w:val="1"/>
        </w:numPr>
        <w:spacing w:before="0" w:beforeAutospacing="0" w:after="0" w:afterAutospacing="0" w:line="360" w:lineRule="auto"/>
        <w:rPr>
          <w:rFonts w:ascii="宋体" w:hAnsi="宋体" w:cs="宋体"/>
          <w:color w:val="000000"/>
        </w:rPr>
      </w:pPr>
      <w:r>
        <w:rPr>
          <w:rFonts w:ascii="宋体" w:hAnsi="宋体" w:cs="宋体"/>
        </w:rPr>
        <w:t>违约责任</w:t>
      </w:r>
    </w:p>
    <w:p w14:paraId="728715E0">
      <w:pPr>
        <w:pStyle w:val="4"/>
        <w:numPr>
          <w:ilvl w:val="1"/>
          <w:numId w:val="1"/>
        </w:numPr>
        <w:spacing w:before="0" w:beforeAutospacing="0" w:after="0" w:afterAutospacing="0" w:line="360" w:lineRule="auto"/>
        <w:rPr>
          <w:rFonts w:ascii="宋体" w:hAnsi="宋体" w:cs="宋体"/>
          <w:color w:val="000000"/>
        </w:rPr>
      </w:pPr>
      <w:r>
        <w:rPr>
          <w:rFonts w:hint="eastAsia" w:ascii="宋体" w:hAnsi="宋体" w:cs="宋体"/>
          <w:color w:val="000000"/>
        </w:rPr>
        <w:t>逾期履约的，每逾期一日，按逾期对应金额的万分之五支付违约金，违约金总额最高不超过合同总价款的20%。逾期超过15日的，守约方有权单方解除合同，并要求违约方赔偿全部损失。</w:t>
      </w:r>
    </w:p>
    <w:p w14:paraId="785C5F5A">
      <w:pPr>
        <w:pStyle w:val="4"/>
        <w:numPr>
          <w:ilvl w:val="1"/>
          <w:numId w:val="1"/>
        </w:numPr>
        <w:spacing w:before="0" w:beforeAutospacing="0" w:after="0" w:afterAutospacing="0" w:line="360" w:lineRule="auto"/>
        <w:rPr>
          <w:rFonts w:ascii="宋体" w:hAnsi="宋体" w:cs="宋体"/>
          <w:color w:val="000000"/>
        </w:rPr>
      </w:pPr>
      <w:r>
        <w:rPr>
          <w:rFonts w:hint="eastAsia" w:ascii="宋体" w:hAnsi="宋体" w:cs="宋体"/>
          <w:lang w:val="en-US" w:eastAsia="zh-CN"/>
        </w:rPr>
        <w:t>任意一方因违约导致合同解除的，违约方需退还守约方全部已付款项/返还货物，并按合同总价款20%支付违约金，违约金不足弥补损失的，补足全部实际损失。</w:t>
      </w:r>
    </w:p>
    <w:p w14:paraId="6E34099C">
      <w:pPr>
        <w:pStyle w:val="3"/>
        <w:numPr>
          <w:ilvl w:val="0"/>
          <w:numId w:val="1"/>
        </w:numPr>
        <w:spacing w:before="0" w:beforeAutospacing="0" w:after="0" w:afterAutospacing="0" w:line="360" w:lineRule="auto"/>
        <w:rPr>
          <w:rFonts w:hint="default" w:ascii="宋体" w:hAnsi="宋体" w:cs="宋体"/>
          <w:color w:val="000000"/>
          <w:lang w:val="en-US"/>
        </w:rPr>
      </w:pPr>
      <w:r>
        <w:rPr>
          <w:rFonts w:hint="eastAsia" w:ascii="宋体" w:hAnsi="宋体" w:cs="宋体"/>
          <w:lang w:val="en-US" w:eastAsia="zh-CN"/>
        </w:rPr>
        <w:t>不可抗力</w:t>
      </w:r>
    </w:p>
    <w:p w14:paraId="3F036CED">
      <w:pPr>
        <w:pStyle w:val="4"/>
        <w:numPr>
          <w:ilvl w:val="1"/>
          <w:numId w:val="1"/>
        </w:numPr>
        <w:spacing w:before="0" w:beforeAutospacing="0" w:after="0" w:afterAutospacing="0" w:line="360" w:lineRule="auto"/>
        <w:rPr>
          <w:rFonts w:ascii="宋体" w:hAnsi="宋体" w:cs="宋体"/>
          <w:color w:val="000000"/>
        </w:rPr>
      </w:pPr>
      <w:r>
        <w:rPr>
          <w:rFonts w:hint="eastAsia" w:ascii="宋体" w:hAnsi="宋体" w:cs="宋体"/>
          <w:color w:val="000000"/>
        </w:rPr>
        <w:t>不可抗力指不能预见、不能避免且不能克服的客观情况。遭遇不可抗力一方需在24小时内书面通知对方，并于7日内提供官方有效证明。不可抗力消除后，履约方需立即恢复履行合同。</w:t>
      </w:r>
    </w:p>
    <w:p w14:paraId="2DBCF319">
      <w:pPr>
        <w:pStyle w:val="4"/>
        <w:numPr>
          <w:ilvl w:val="1"/>
          <w:numId w:val="1"/>
        </w:numPr>
        <w:spacing w:before="0" w:beforeAutospacing="0" w:after="0" w:afterAutospacing="0" w:line="360" w:lineRule="auto"/>
        <w:rPr>
          <w:rFonts w:ascii="宋体" w:hAnsi="宋体" w:cs="宋体"/>
          <w:color w:val="000000"/>
        </w:rPr>
      </w:pPr>
      <w:r>
        <w:rPr>
          <w:rFonts w:hint="eastAsia" w:ascii="宋体" w:hAnsi="宋体" w:cs="宋体"/>
          <w:color w:val="000000"/>
        </w:rPr>
        <w:t xml:space="preserve">因不可抗力导致无法履约超过30日的，双方均可无责解除合同，互不承担违约金，据实结算已发生货款。 </w:t>
      </w:r>
    </w:p>
    <w:p w14:paraId="5C144FDC">
      <w:pPr>
        <w:pStyle w:val="3"/>
        <w:numPr>
          <w:ilvl w:val="0"/>
          <w:numId w:val="1"/>
        </w:numPr>
        <w:spacing w:before="0" w:beforeAutospacing="0" w:after="0" w:afterAutospacing="0" w:line="360" w:lineRule="auto"/>
        <w:rPr>
          <w:rFonts w:ascii="宋体" w:hAnsi="宋体" w:cs="宋体"/>
          <w:color w:val="000000"/>
        </w:rPr>
      </w:pPr>
      <w:r>
        <w:rPr>
          <w:rFonts w:ascii="宋体" w:hAnsi="宋体" w:cs="宋体"/>
        </w:rPr>
        <w:t>反商业贿赂</w:t>
      </w:r>
    </w:p>
    <w:p w14:paraId="2D417C73">
      <w:pPr>
        <w:pStyle w:val="4"/>
        <w:spacing w:before="0" w:beforeAutospacing="0" w:after="0" w:afterAutospacing="0" w:line="360" w:lineRule="auto"/>
        <w:rPr>
          <w:rFonts w:ascii="宋体" w:hAnsi="宋体" w:cs="宋体"/>
          <w:color w:val="000000"/>
        </w:rPr>
      </w:pPr>
      <w:r>
        <w:rPr>
          <w:rFonts w:ascii="宋体" w:hAnsi="宋体" w:cs="宋体"/>
          <w:color w:val="000000"/>
        </w:rPr>
        <w:t>双方均不得向对方或对方经办人、工作人员或其他相关人员索要、收受、提供、给予合同约定外的任何利益，包括但不限于明扣、暗扣、现金、购物卡、实物、有价证券、旅游或其他非物质性利益等，否则构成重大违约。如该等利益属于行业惯例或通常做法，则须在本合同中明示，否则亦为重大违约。</w:t>
      </w:r>
    </w:p>
    <w:p w14:paraId="74720F10">
      <w:pPr>
        <w:pStyle w:val="3"/>
        <w:numPr>
          <w:ilvl w:val="0"/>
          <w:numId w:val="1"/>
        </w:numPr>
        <w:spacing w:before="0" w:beforeAutospacing="0" w:after="0" w:afterAutospacing="0" w:line="360" w:lineRule="auto"/>
        <w:rPr>
          <w:rFonts w:ascii="宋体" w:hAnsi="宋体" w:cs="宋体"/>
          <w:color w:val="000000"/>
        </w:rPr>
      </w:pPr>
      <w:r>
        <w:rPr>
          <w:rFonts w:ascii="宋体" w:hAnsi="宋体" w:cs="宋体"/>
          <w:b/>
        </w:rPr>
        <w:t>合同联系方式</w:t>
      </w:r>
    </w:p>
    <w:p w14:paraId="110ADB9A">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为更好的履行本合同，双方提供如下联系方式：</w:t>
      </w:r>
    </w:p>
    <w:p w14:paraId="7E773C6B">
      <w:pPr>
        <w:pStyle w:val="4"/>
        <w:spacing w:before="0" w:beforeAutospacing="0" w:after="0" w:afterAutospacing="0" w:line="360" w:lineRule="auto"/>
        <w:rPr>
          <w:rFonts w:ascii="宋体" w:hAnsi="宋体" w:cs="宋体"/>
          <w:color w:val="000000"/>
        </w:rPr>
      </w:pPr>
      <w:r>
        <w:rPr>
          <w:rFonts w:ascii="宋体" w:hAnsi="宋体" w:cs="宋体"/>
          <w:color w:val="000000"/>
        </w:rPr>
        <w:t>（1）甲方联系方式</w:t>
      </w:r>
    </w:p>
    <w:p w14:paraId="2C188C37">
      <w:pPr>
        <w:pStyle w:val="4"/>
        <w:spacing w:before="0" w:beforeAutospacing="0" w:after="0" w:afterAutospacing="0" w:line="360" w:lineRule="auto"/>
        <w:rPr>
          <w:rFonts w:ascii="宋体" w:hAnsi="宋体" w:cs="宋体"/>
          <w:color w:val="000000"/>
        </w:rPr>
      </w:pPr>
      <w:r>
        <w:rPr>
          <w:rFonts w:ascii="宋体" w:hAnsi="宋体" w:cs="宋体"/>
          <w:color w:val="000000"/>
        </w:rPr>
        <w:t>联系人：</w:t>
      </w:r>
      <w:r>
        <w:rPr>
          <w:rFonts w:ascii="宋体" w:hAnsi="宋体" w:cs="宋体"/>
          <w:color w:val="000000"/>
          <w:u w:val="single"/>
        </w:rPr>
        <w:t>  </w:t>
      </w:r>
    </w:p>
    <w:p w14:paraId="066A8B75">
      <w:pPr>
        <w:pStyle w:val="4"/>
        <w:spacing w:before="0" w:beforeAutospacing="0" w:after="0" w:afterAutospacing="0" w:line="360" w:lineRule="auto"/>
        <w:rPr>
          <w:rFonts w:ascii="宋体" w:hAnsi="宋体" w:cs="宋体"/>
          <w:color w:val="000000"/>
        </w:rPr>
      </w:pPr>
      <w:r>
        <w:rPr>
          <w:rFonts w:ascii="宋体" w:hAnsi="宋体" w:cs="宋体"/>
          <w:color w:val="000000"/>
        </w:rPr>
        <w:t>地址：</w:t>
      </w:r>
      <w:r>
        <w:rPr>
          <w:rFonts w:ascii="宋体" w:hAnsi="宋体" w:cs="宋体"/>
          <w:color w:val="000000"/>
          <w:u w:val="single"/>
        </w:rPr>
        <w:t>  </w:t>
      </w:r>
    </w:p>
    <w:p w14:paraId="708E0AEF">
      <w:pPr>
        <w:pStyle w:val="4"/>
        <w:spacing w:before="0" w:beforeAutospacing="0" w:after="0" w:afterAutospacing="0" w:line="360" w:lineRule="auto"/>
        <w:rPr>
          <w:rFonts w:ascii="宋体" w:hAnsi="宋体" w:cs="宋体"/>
          <w:color w:val="000000"/>
        </w:rPr>
      </w:pPr>
      <w:r>
        <w:rPr>
          <w:rFonts w:ascii="宋体" w:hAnsi="宋体" w:cs="宋体"/>
          <w:color w:val="000000"/>
        </w:rPr>
        <w:t>手机：</w:t>
      </w:r>
      <w:r>
        <w:rPr>
          <w:rFonts w:ascii="宋体" w:hAnsi="宋体" w:cs="宋体"/>
          <w:color w:val="000000"/>
          <w:u w:val="single"/>
        </w:rPr>
        <w:t>  </w:t>
      </w:r>
    </w:p>
    <w:p w14:paraId="1AE0C6A4">
      <w:pPr>
        <w:pStyle w:val="4"/>
        <w:spacing w:before="0" w:beforeAutospacing="0" w:after="0" w:afterAutospacing="0" w:line="360" w:lineRule="auto"/>
        <w:rPr>
          <w:rFonts w:ascii="宋体" w:hAnsi="宋体" w:cs="宋体"/>
          <w:color w:val="000000"/>
        </w:rPr>
      </w:pPr>
      <w:r>
        <w:rPr>
          <w:rFonts w:ascii="宋体" w:hAnsi="宋体" w:cs="宋体"/>
          <w:color w:val="000000"/>
        </w:rPr>
        <w:t>微信：</w:t>
      </w:r>
      <w:r>
        <w:rPr>
          <w:rFonts w:ascii="宋体" w:hAnsi="宋体" w:cs="宋体"/>
          <w:color w:val="000000"/>
          <w:u w:val="single"/>
        </w:rPr>
        <w:t>  </w:t>
      </w:r>
    </w:p>
    <w:p w14:paraId="64C229B0">
      <w:pPr>
        <w:pStyle w:val="4"/>
        <w:spacing w:before="0" w:beforeAutospacing="0" w:after="0" w:afterAutospacing="0" w:line="360" w:lineRule="auto"/>
        <w:rPr>
          <w:rFonts w:ascii="宋体" w:hAnsi="宋体" w:cs="宋体"/>
          <w:color w:val="000000"/>
        </w:rPr>
      </w:pPr>
      <w:r>
        <w:rPr>
          <w:rFonts w:ascii="宋体" w:hAnsi="宋体" w:cs="宋体"/>
          <w:color w:val="000000"/>
        </w:rPr>
        <w:t>电子邮箱：</w:t>
      </w:r>
      <w:r>
        <w:rPr>
          <w:rFonts w:ascii="宋体" w:hAnsi="宋体" w:cs="宋体"/>
          <w:color w:val="000000"/>
          <w:u w:val="single"/>
        </w:rPr>
        <w:t>  </w:t>
      </w:r>
    </w:p>
    <w:p w14:paraId="66A4EE84">
      <w:pPr>
        <w:pStyle w:val="4"/>
        <w:spacing w:before="0" w:beforeAutospacing="0" w:after="0" w:afterAutospacing="0" w:line="360" w:lineRule="auto"/>
        <w:rPr>
          <w:rFonts w:ascii="宋体" w:hAnsi="宋体" w:cs="宋体"/>
          <w:color w:val="000000"/>
        </w:rPr>
      </w:pPr>
      <w:r>
        <w:rPr>
          <w:rFonts w:ascii="宋体" w:hAnsi="宋体" w:cs="宋体"/>
          <w:color w:val="000000"/>
        </w:rPr>
        <w:t>（2）乙方联系方式</w:t>
      </w:r>
    </w:p>
    <w:p w14:paraId="6C09FEA8">
      <w:pPr>
        <w:pStyle w:val="4"/>
        <w:spacing w:before="0" w:beforeAutospacing="0" w:after="0" w:afterAutospacing="0" w:line="360" w:lineRule="auto"/>
        <w:rPr>
          <w:rFonts w:ascii="宋体" w:hAnsi="宋体" w:cs="宋体"/>
          <w:color w:val="000000"/>
        </w:rPr>
      </w:pPr>
      <w:r>
        <w:rPr>
          <w:rFonts w:ascii="宋体" w:hAnsi="宋体" w:cs="宋体"/>
          <w:color w:val="000000"/>
        </w:rPr>
        <w:t>联系人：</w:t>
      </w:r>
      <w:r>
        <w:rPr>
          <w:rFonts w:ascii="宋体" w:hAnsi="宋体" w:cs="宋体"/>
          <w:color w:val="000000"/>
          <w:u w:val="single"/>
        </w:rPr>
        <w:t>  </w:t>
      </w:r>
    </w:p>
    <w:p w14:paraId="18F43D0B">
      <w:pPr>
        <w:pStyle w:val="4"/>
        <w:spacing w:before="0" w:beforeAutospacing="0" w:after="0" w:afterAutospacing="0" w:line="360" w:lineRule="auto"/>
        <w:rPr>
          <w:rFonts w:ascii="宋体" w:hAnsi="宋体" w:cs="宋体"/>
          <w:color w:val="000000"/>
        </w:rPr>
      </w:pPr>
      <w:r>
        <w:rPr>
          <w:rFonts w:ascii="宋体" w:hAnsi="宋体" w:cs="宋体"/>
          <w:color w:val="000000"/>
        </w:rPr>
        <w:t>地址：</w:t>
      </w:r>
      <w:r>
        <w:rPr>
          <w:rFonts w:ascii="宋体" w:hAnsi="宋体" w:cs="宋体"/>
          <w:color w:val="000000"/>
          <w:u w:val="single"/>
        </w:rPr>
        <w:t>  </w:t>
      </w:r>
    </w:p>
    <w:p w14:paraId="06326C14">
      <w:pPr>
        <w:pStyle w:val="4"/>
        <w:spacing w:before="0" w:beforeAutospacing="0" w:after="0" w:afterAutospacing="0" w:line="360" w:lineRule="auto"/>
        <w:rPr>
          <w:rFonts w:ascii="宋体" w:hAnsi="宋体" w:cs="宋体"/>
          <w:color w:val="000000"/>
        </w:rPr>
      </w:pPr>
      <w:r>
        <w:rPr>
          <w:rFonts w:ascii="宋体" w:hAnsi="宋体" w:cs="宋体"/>
          <w:color w:val="000000"/>
        </w:rPr>
        <w:t>手机：</w:t>
      </w:r>
      <w:r>
        <w:rPr>
          <w:rFonts w:ascii="宋体" w:hAnsi="宋体" w:cs="宋体"/>
          <w:color w:val="000000"/>
          <w:u w:val="single"/>
        </w:rPr>
        <w:t>  </w:t>
      </w:r>
    </w:p>
    <w:p w14:paraId="4BBB6C3B">
      <w:pPr>
        <w:pStyle w:val="4"/>
        <w:spacing w:before="0" w:beforeAutospacing="0" w:after="0" w:afterAutospacing="0" w:line="360" w:lineRule="auto"/>
        <w:rPr>
          <w:rFonts w:ascii="宋体" w:hAnsi="宋体" w:cs="宋体"/>
          <w:color w:val="000000"/>
        </w:rPr>
      </w:pPr>
      <w:r>
        <w:rPr>
          <w:rFonts w:ascii="宋体" w:hAnsi="宋体" w:cs="宋体"/>
          <w:color w:val="000000"/>
        </w:rPr>
        <w:t>微信：</w:t>
      </w:r>
      <w:r>
        <w:rPr>
          <w:rFonts w:ascii="宋体" w:hAnsi="宋体" w:cs="宋体"/>
          <w:color w:val="000000"/>
          <w:u w:val="single"/>
        </w:rPr>
        <w:t>  </w:t>
      </w:r>
    </w:p>
    <w:p w14:paraId="1630873F">
      <w:pPr>
        <w:pStyle w:val="4"/>
        <w:spacing w:before="0" w:beforeAutospacing="0" w:after="0" w:afterAutospacing="0" w:line="360" w:lineRule="auto"/>
        <w:rPr>
          <w:rFonts w:ascii="宋体" w:hAnsi="宋体" w:cs="宋体"/>
          <w:color w:val="000000"/>
        </w:rPr>
      </w:pPr>
      <w:r>
        <w:rPr>
          <w:rFonts w:ascii="宋体" w:hAnsi="宋体" w:cs="宋体"/>
          <w:color w:val="000000"/>
        </w:rPr>
        <w:t>电子邮箱：</w:t>
      </w:r>
      <w:r>
        <w:rPr>
          <w:rFonts w:ascii="宋体" w:hAnsi="宋体" w:cs="宋体"/>
          <w:color w:val="000000"/>
          <w:u w:val="single"/>
        </w:rPr>
        <w:t>  </w:t>
      </w:r>
    </w:p>
    <w:p w14:paraId="1790A662">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通过电子邮箱及其它电子方式送达时，发出之日即视为有效送达。</w:t>
      </w:r>
    </w:p>
    <w:p w14:paraId="58770DCF">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通过快递等方式送达时，对方签收之日视为有效送达；对方拒收或退回的，视为签收。</w:t>
      </w:r>
    </w:p>
    <w:p w14:paraId="76985C73">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上述联系方式同时作为有效司法送达地址。</w:t>
      </w:r>
    </w:p>
    <w:p w14:paraId="07B19106">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一方变更联系方式，应以书面形式通知对方；否则，该联系方式仍视为有效，由未通知方承担由此而引起的相关责任。</w:t>
      </w:r>
    </w:p>
    <w:p w14:paraId="67750228">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本联系方式条款为独立条款，不受合同整体或其他条款的效力影响，始终有效。</w:t>
      </w:r>
    </w:p>
    <w:p w14:paraId="34788518">
      <w:pPr>
        <w:pStyle w:val="3"/>
        <w:numPr>
          <w:ilvl w:val="0"/>
          <w:numId w:val="1"/>
        </w:numPr>
        <w:spacing w:before="0" w:beforeAutospacing="0" w:after="0" w:afterAutospacing="0" w:line="360" w:lineRule="auto"/>
        <w:rPr>
          <w:rFonts w:ascii="宋体" w:hAnsi="宋体" w:cs="宋体"/>
          <w:color w:val="000000"/>
        </w:rPr>
      </w:pPr>
      <w:r>
        <w:rPr>
          <w:rFonts w:ascii="宋体" w:hAnsi="宋体" w:cs="宋体"/>
        </w:rPr>
        <w:t>争议解决</w:t>
      </w:r>
    </w:p>
    <w:p w14:paraId="021FB68C">
      <w:pPr>
        <w:pStyle w:val="4"/>
        <w:spacing w:before="0" w:beforeAutospacing="0" w:after="0" w:afterAutospacing="0" w:line="360" w:lineRule="auto"/>
        <w:rPr>
          <w:rFonts w:ascii="宋体" w:hAnsi="宋体" w:cs="宋体"/>
          <w:color w:val="000000"/>
        </w:rPr>
      </w:pPr>
      <w:r>
        <w:rPr>
          <w:rFonts w:ascii="宋体" w:hAnsi="宋体" w:cs="宋体"/>
          <w:color w:val="000000"/>
        </w:rPr>
        <w:t>因本合同以及本合同项下订单/附件/补充协议等（如有）引起或有关的任何争议，由合同各方协商解决，也可由有关部门调解。协商或调解不成的，应向</w:t>
      </w:r>
      <w:r>
        <w:rPr>
          <w:rFonts w:ascii="宋体" w:hAnsi="宋体" w:cs="宋体"/>
          <w:color w:val="000000"/>
          <w:u w:val="single"/>
        </w:rPr>
        <w:t> </w:t>
      </w:r>
      <w:r>
        <w:rPr>
          <w:rFonts w:hint="eastAsia" w:ascii="宋体" w:hAnsi="宋体" w:cs="宋体"/>
          <w:color w:val="000000"/>
          <w:u w:val="single"/>
          <w:lang w:val="en-US" w:eastAsia="zh-CN"/>
        </w:rPr>
        <w:t>甲方住所地</w:t>
      </w:r>
      <w:r>
        <w:rPr>
          <w:rFonts w:ascii="宋体" w:hAnsi="宋体" w:cs="宋体"/>
          <w:color w:val="000000"/>
        </w:rPr>
        <w:t>有管辖权的人民法院起诉。</w:t>
      </w:r>
    </w:p>
    <w:p w14:paraId="6ACE1DAE">
      <w:pPr>
        <w:pStyle w:val="3"/>
        <w:numPr>
          <w:ilvl w:val="0"/>
          <w:numId w:val="1"/>
        </w:numPr>
        <w:spacing w:before="0" w:beforeAutospacing="0" w:after="0" w:afterAutospacing="0" w:line="360" w:lineRule="auto"/>
        <w:rPr>
          <w:rFonts w:ascii="宋体" w:hAnsi="宋体" w:cs="宋体"/>
          <w:color w:val="000000"/>
        </w:rPr>
      </w:pPr>
      <w:r>
        <w:rPr>
          <w:rFonts w:ascii="宋体" w:hAnsi="宋体" w:cs="宋体"/>
        </w:rPr>
        <w:t>附则</w:t>
      </w:r>
    </w:p>
    <w:p w14:paraId="742E4D4B">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本合同一式二份，合同各方各执一份。各份合同文本具有同等法律效力。</w:t>
      </w:r>
    </w:p>
    <w:p w14:paraId="0CAAD2FE">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本合同未尽事宜，双方应另行协商并签订补充协议。</w:t>
      </w:r>
    </w:p>
    <w:p w14:paraId="075D7672">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本合同经各方签名或盖章后生效。</w:t>
      </w:r>
    </w:p>
    <w:p w14:paraId="79F222B5">
      <w:pPr>
        <w:pStyle w:val="4"/>
        <w:numPr>
          <w:ilvl w:val="1"/>
          <w:numId w:val="1"/>
        </w:numPr>
        <w:spacing w:before="0" w:beforeAutospacing="0" w:after="0" w:afterAutospacing="0" w:line="360" w:lineRule="auto"/>
        <w:rPr>
          <w:rFonts w:ascii="宋体" w:hAnsi="宋体" w:cs="宋体"/>
          <w:color w:val="000000"/>
        </w:rPr>
      </w:pPr>
      <w:r>
        <w:rPr>
          <w:rFonts w:hint="eastAsia" w:ascii="宋体" w:hAnsi="宋体" w:cs="宋体"/>
          <w:color w:val="000000"/>
        </w:rPr>
        <w:t>本合同附件、送货单、对账单、发票记录均为本合同有效组成部分。</w:t>
      </w:r>
      <w:bookmarkStart w:id="0" w:name="_GoBack"/>
      <w:bookmarkEnd w:id="0"/>
    </w:p>
    <w:p w14:paraId="1D9C525D">
      <w:pPr>
        <w:pStyle w:val="4"/>
        <w:spacing w:before="0" w:beforeAutospacing="0" w:after="0" w:afterAutospacing="0" w:line="360" w:lineRule="auto"/>
        <w:jc w:val="center"/>
        <w:rPr>
          <w:rFonts w:ascii="宋体" w:hAnsi="宋体" w:cs="宋体"/>
          <w:color w:val="000000"/>
        </w:rPr>
      </w:pPr>
      <w:r>
        <w:rPr>
          <w:rFonts w:ascii="宋体" w:hAnsi="宋体" w:cs="宋体"/>
          <w:color w:val="000000"/>
        </w:rPr>
        <w:t>（以下无合同正文）</w:t>
      </w:r>
    </w:p>
    <w:p w14:paraId="65CDEEA6">
      <w:pPr>
        <w:pStyle w:val="4"/>
        <w:spacing w:before="0" w:beforeAutospacing="0" w:after="0" w:afterAutospacing="0" w:line="360" w:lineRule="auto"/>
        <w:rPr>
          <w:rFonts w:ascii="宋体" w:hAnsi="宋体" w:cs="宋体"/>
          <w:color w:val="000000"/>
        </w:rPr>
      </w:pPr>
      <w:r>
        <w:rPr>
          <w:rFonts w:ascii="宋体" w:hAnsi="宋体" w:cs="宋体"/>
          <w:color w:val="000000"/>
        </w:rPr>
        <w:t>签订时间：    年    月    日</w:t>
      </w:r>
    </w:p>
    <w:p w14:paraId="5BB79BC9">
      <w:pPr>
        <w:pStyle w:val="4"/>
        <w:spacing w:before="0" w:beforeAutospacing="0" w:after="0" w:afterAutospacing="0" w:line="360" w:lineRule="auto"/>
        <w:rPr>
          <w:rFonts w:ascii="宋体" w:hAnsi="宋体" w:cs="宋体"/>
          <w:color w:val="000000"/>
        </w:rPr>
      </w:pPr>
      <w:r>
        <w:rPr>
          <w:rFonts w:ascii="宋体" w:hAnsi="宋体" w:cs="宋体"/>
          <w:b/>
          <w:color w:val="000000"/>
        </w:rPr>
        <w:t>甲方（盖章）：</w:t>
      </w:r>
    </w:p>
    <w:p w14:paraId="7A22B57A">
      <w:pPr>
        <w:pStyle w:val="4"/>
        <w:spacing w:before="0" w:beforeAutospacing="0" w:after="0" w:afterAutospacing="0" w:line="360" w:lineRule="auto"/>
        <w:rPr>
          <w:rFonts w:ascii="宋体" w:hAnsi="宋体" w:cs="宋体"/>
          <w:color w:val="000000"/>
        </w:rPr>
      </w:pPr>
      <w:r>
        <w:rPr>
          <w:rFonts w:ascii="宋体" w:hAnsi="宋体" w:cs="宋体"/>
          <w:color w:val="000000"/>
        </w:rPr>
        <w:t>法定代表人或授权代表：</w:t>
      </w:r>
    </w:p>
    <w:p w14:paraId="164A4BD6">
      <w:pPr>
        <w:pStyle w:val="4"/>
        <w:spacing w:before="0" w:beforeAutospacing="0" w:after="0" w:afterAutospacing="0" w:line="360" w:lineRule="auto"/>
        <w:rPr>
          <w:rFonts w:ascii="宋体" w:hAnsi="宋体" w:cs="宋体"/>
          <w:color w:val="000000"/>
        </w:rPr>
      </w:pPr>
      <w:r>
        <w:rPr>
          <w:rFonts w:ascii="宋体" w:hAnsi="宋体" w:cs="宋体"/>
          <w:b/>
          <w:color w:val="000000"/>
        </w:rPr>
        <w:t>乙方（盖章）：</w:t>
      </w:r>
    </w:p>
    <w:p w14:paraId="77842CA9">
      <w:pPr>
        <w:pStyle w:val="4"/>
        <w:spacing w:before="0" w:beforeAutospacing="0" w:after="0" w:afterAutospacing="0" w:line="360" w:lineRule="auto"/>
        <w:rPr>
          <w:rFonts w:ascii="宋体" w:hAnsi="宋体" w:cs="宋体"/>
          <w:color w:val="000000"/>
        </w:rPr>
      </w:pPr>
      <w:r>
        <w:rPr>
          <w:rFonts w:ascii="宋体" w:hAnsi="宋体" w:cs="宋体"/>
          <w:color w:val="000000"/>
        </w:rPr>
        <w:t>法定代表人或授权代表：</w:t>
      </w:r>
    </w:p>
    <w:sectPr>
      <w:footerReference r:id="rId3" w:type="default"/>
      <w:pgSz w:w="11895" w:h="16845"/>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imfang">
    <w:altName w:val="ksdb"/>
    <w:panose1 w:val="00000000000000000000"/>
    <w:charset w:val="00"/>
    <w:family w:val="auto"/>
    <w:pitch w:val="default"/>
    <w:sig w:usb0="00000000" w:usb1="00000000" w:usb2="00000000" w:usb3="00000000" w:csb0="00000000" w:csb1="00000000"/>
  </w:font>
  <w:font w:name="ksdb">
    <w:panose1 w:val="02000500000000000000"/>
    <w:charset w:val="00"/>
    <w:family w:val="auto"/>
    <w:pitch w:val="default"/>
    <w:sig w:usb0="00000001" w:usb1="00000000" w:usb2="00000000" w:usb3="00000000" w:csb0="00000001" w:csb1="00000000"/>
  </w:font>
  <w:font w:name="Msyh">
    <w:altName w:val="ksdb"/>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BA0F95">
    <w:pPr>
      <w:jc w:val="center"/>
    </w:pPr>
    <w:r>
      <w:t>第</w:t>
    </w:r>
    <w:r>
      <w:fldChar w:fldCharType="begin"/>
    </w:r>
    <w:r>
      <w:instrText xml:space="preserve">PAGE</w:instrText>
    </w:r>
    <w:r>
      <w:fldChar w:fldCharType="end"/>
    </w:r>
    <w:r>
      <w:t>页 / 共</w:t>
    </w:r>
    <w:r>
      <w:fldChar w:fldCharType="begin"/>
    </w:r>
    <w:r>
      <w:instrText xml:space="preserve">NUMPAGES</w:instrText>
    </w:r>
    <w:r>
      <w:fldChar w:fldCharType="end"/>
    </w:r>
    <w:r>
      <w:t>页</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HalfWidth"/>
      <w:lvlText w:val="%1."/>
      <w:lvlJc w:val="left"/>
      <w:pPr>
        <w:ind w:left="0"/>
      </w:pPr>
    </w:lvl>
    <w:lvl w:ilvl="1" w:tentative="0">
      <w:start w:val="1"/>
      <w:numFmt w:val="decimalHalfWidth"/>
      <w:lvlText w:val="%1.%2."/>
      <w:lvlJc w:val="left"/>
      <w:pPr>
        <w:ind w:left="0"/>
      </w:pPr>
    </w:lvl>
    <w:lvl w:ilvl="2" w:tentative="0">
      <w:start w:val="1"/>
      <w:numFmt w:val="decimalHalfWidth"/>
      <w:lvlText w:val="%1.%2.%3."/>
      <w:lvlJc w:val="left"/>
      <w:pPr>
        <w:ind w:left="0"/>
      </w:pPr>
    </w:lvl>
    <w:lvl w:ilvl="3" w:tentative="0">
      <w:start w:val="1"/>
      <w:numFmt w:val="decimalHalfWidth"/>
      <w:lvlText w:val="%1.%2.%3.%4."/>
      <w:lvlJc w:val="left"/>
      <w:pPr>
        <w:ind w:left="0"/>
      </w:pPr>
    </w:lvl>
    <w:lvl w:ilvl="4" w:tentative="0">
      <w:start w:val="1"/>
      <w:numFmt w:val="decimalHalfWidth"/>
      <w:lvlText w:val="%1.%2.%3.%4.%5."/>
      <w:lvlJc w:val="left"/>
      <w:pPr>
        <w:ind w:left="0"/>
      </w:pPr>
    </w:lvl>
    <w:lvl w:ilvl="5" w:tentative="0">
      <w:start w:val="1"/>
      <w:numFmt w:val="decimalHalfWidth"/>
      <w:lvlText w:val="%1.%2.%3.%4.%5.%6."/>
      <w:lvlJc w:val="left"/>
      <w:pPr>
        <w:ind w:left="0"/>
      </w:pPr>
    </w:lvl>
    <w:lvl w:ilvl="6" w:tentative="0">
      <w:start w:val="1"/>
      <w:numFmt w:val="decimalHalfWidth"/>
      <w:lvlText w:val="%1.%2.%3.%4.%5.%6.%7."/>
      <w:lvlJc w:val="left"/>
      <w:pPr>
        <w:ind w:left="0"/>
      </w:pPr>
    </w:lvl>
    <w:lvl w:ilvl="7" w:tentative="0">
      <w:start w:val="1"/>
      <w:numFmt w:val="decimalHalfWidth"/>
      <w:lvlText w:val="%1.%2.%3.%4.%5.%6.%7.%8."/>
      <w:lvlJc w:val="left"/>
      <w:pPr>
        <w:ind w:left="0"/>
      </w:pPr>
    </w:lvl>
    <w:lvl w:ilvl="8" w:tentative="0">
      <w:start w:val="1"/>
      <w:numFmt w:val="decimalHalfWidth"/>
      <w:lvlText w:val="%1.%2.%3.%4.%5.%6.%7.%8.%9."/>
      <w:lvlJc w:val="left"/>
      <w:pPr>
        <w:ind w:left="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112D5929"/>
    <w:rsid w:val="3F6E3A4A"/>
    <w:rsid w:val="6DE82D7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cs="Times New Roman" w:eastAsiaTheme="minorEastAsia"/>
      <w:sz w:val="24"/>
    </w:rPr>
  </w:style>
  <w:style w:type="paragraph" w:styleId="2">
    <w:name w:val="heading 1"/>
    <w:basedOn w:val="1"/>
    <w:next w:val="1"/>
    <w:qFormat/>
    <w:uiPriority w:val="9"/>
    <w:pPr>
      <w:keepLines/>
      <w:spacing w:before="280" w:beforeAutospacing="0" w:after="280" w:afterAutospacing="0"/>
      <w:jc w:val="center"/>
      <w:outlineLvl w:val="9"/>
    </w:pPr>
    <w:rPr>
      <w:b/>
      <w:color w:val="000000"/>
      <w:sz w:val="36"/>
    </w:rPr>
  </w:style>
  <w:style w:type="paragraph" w:styleId="3">
    <w:name w:val="heading 3"/>
    <w:basedOn w:val="1"/>
    <w:next w:val="1"/>
    <w:qFormat/>
    <w:uiPriority w:val="9"/>
    <w:pPr>
      <w:keepLines/>
      <w:spacing w:before="280" w:beforeAutospacing="0" w:after="280" w:afterAutospacing="0"/>
      <w:outlineLvl w:val="1"/>
    </w:pPr>
    <w:rPr>
      <w:b/>
      <w:color w:val="000000"/>
      <w:sz w:val="28"/>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qFormat/>
    <w:uiPriority w:val="99"/>
    <w:pPr>
      <w:spacing w:before="100" w:beforeAutospacing="1" w:after="100" w:afterAutospacing="1"/>
    </w:pPr>
    <w:rPr>
      <w:sz w:val="24"/>
    </w:rPr>
  </w:style>
  <w:style w:type="character" w:styleId="7">
    <w:name w:val="Strong"/>
    <w:basedOn w:val="6"/>
    <w:qFormat/>
    <w:uiPriority w:val="0"/>
    <w:rPr>
      <w:b/>
    </w:rPr>
  </w:style>
  <w:style w:type="table" w:customStyle="1" w:styleId="8">
    <w:name w:val="Table Normal"/>
    <w:uiPriority w:val="59"/>
    <w:tblPr>
      <w:tblCellMar>
        <w:top w:w="0" w:type="dxa"/>
        <w:left w:w="108" w:type="dxa"/>
        <w:bottom w:w="0" w:type="dxa"/>
        <w:right w:w="108" w:type="dxa"/>
      </w:tblCellMar>
    </w:tblPr>
  </w:style>
  <w:style w:type="paragraph" w:customStyle="1" w:styleId="9">
    <w:name w:val="font-fangsong *"/>
    <w:basedOn w:val="1"/>
    <w:qFormat/>
    <w:uiPriority w:val="0"/>
    <w:pPr>
      <w:spacing w:before="100" w:beforeAutospacing="1" w:after="100" w:afterAutospacing="1"/>
    </w:pPr>
    <w:rPr>
      <w:rFonts w:ascii="Simfang" w:hAnsi="Simfang" w:cs="Simfang"/>
      <w:sz w:val="24"/>
    </w:rPr>
  </w:style>
  <w:style w:type="paragraph" w:customStyle="1" w:styleId="10">
    <w:name w:val="font-song *"/>
    <w:basedOn w:val="1"/>
    <w:qFormat/>
    <w:uiPriority w:val="0"/>
    <w:pPr>
      <w:spacing w:before="100" w:beforeAutospacing="1" w:after="100" w:afterAutospacing="1"/>
    </w:pPr>
    <w:rPr>
      <w:rFonts w:ascii="宋体" w:hAnsi="宋体" w:cs="宋体"/>
      <w:sz w:val="24"/>
    </w:rPr>
  </w:style>
  <w:style w:type="paragraph" w:customStyle="1" w:styleId="11">
    <w:name w:val="font-yahei *"/>
    <w:basedOn w:val="1"/>
    <w:uiPriority w:val="0"/>
    <w:pPr>
      <w:spacing w:before="100" w:beforeAutospacing="1" w:after="100" w:afterAutospacing="1"/>
    </w:pPr>
    <w:rPr>
      <w:rFonts w:ascii="Msyh" w:hAnsi="Msyh" w:cs="Msyh"/>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Min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Mine">
      <a:majorFont>
        <a:latin typeface="宋体"/>
        <a:ea typeface="宋体"/>
        <a:cs typeface="宋体"/>
      </a:majorFont>
      <a:minorFont>
        <a:latin typeface="宋体"/>
        <a:ea typeface="宋体"/>
        <a:cs typeface="宋体"/>
      </a:minorFont>
    </a:fontScheme>
    <a:fmtScheme name="Mine">
      <a:fillStyleLst>
        <a:solidFill>
          <a:schemeClr val="phClr"/>
        </a:solidFill>
        <a:solidFill>
          <a:schemeClr val="phClr"/>
        </a:solidFill>
        <a:solidFill>
          <a:schemeClr val="phClr"/>
        </a:solidFill>
      </a:fillStyleLst>
      <a:lnStyleLst>
        <a:ln>
          <a:solidFill>
            <a:schemeClr val="phClr"/>
          </a:solidFill>
        </a:ln>
        <a:ln>
          <a:solidFill>
            <a:schemeClr val="phClr"/>
          </a:solidFill>
        </a:ln>
        <a:ln>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2702</Words>
  <Characters>2710</Characters>
  <TotalTime>82</TotalTime>
  <ScaleCrop>false</ScaleCrop>
  <LinksUpToDate>false</LinksUpToDate>
  <CharactersWithSpaces>2845</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2026-06-16T05:13:00Z</dcterms:created>
  <dc:creator>法天使</dc:creator>
  <cp:lastModifiedBy>敖律师</cp:lastModifiedBy>
  <dcterms:modified xsi:type="dcterms:W3CDTF">2026-06-16T14:10:13Z</dcterms:modified>
  <dc:title>一般商品买卖合同</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eyJoZGlkIjoiZGVhYTRkYWVkOGIwMTgyZjFiODM4YzQ4OTdhNjI0YTAiLCJ1c2VySWQiOiIxMDI2NDI2MDI2In0=</vt:lpwstr>
  </property>
  <property fmtid="{D5CDD505-2E9C-101B-9397-08002B2CF9AE}" pid="3" name="KSOProductBuildVer">
    <vt:lpwstr>2052-12.1.0.26375</vt:lpwstr>
  </property>
  <property fmtid="{D5CDD505-2E9C-101B-9397-08002B2CF9AE}" pid="4" name="ICV">
    <vt:lpwstr>A8FF8034921A423696797273D2EAB8EE_12</vt:lpwstr>
  </property>
</Properties>
</file>