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CEF55">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bookmarkStart w:id="0" w:name="_GoBack"/>
      <w:r>
        <w:rPr>
          <w:rFonts w:ascii="黑体" w:hAnsi="黑体" w:eastAsia="黑体"/>
          <w:b/>
          <w:sz w:val="44"/>
        </w:rPr>
        <w:t>加工承揽合同</w:t>
      </w:r>
    </w:p>
    <w:p w14:paraId="1B78301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sz w:val="21"/>
        </w:rPr>
        <w:t>甲方（定作方）：</w:t>
      </w:r>
    </w:p>
    <w:p w14:paraId="0F8190A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统一社会信用代码：</w:t>
      </w:r>
    </w:p>
    <w:p w14:paraId="4A3E152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住所：</w:t>
      </w:r>
    </w:p>
    <w:p w14:paraId="4DB4700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法定代表人：</w:t>
      </w:r>
    </w:p>
    <w:p w14:paraId="2CB0C65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sz w:val="21"/>
        </w:rPr>
        <w:t>乙方（承揽方）：</w:t>
      </w:r>
    </w:p>
    <w:p w14:paraId="263C0D7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统一社会信用代码：</w:t>
      </w:r>
    </w:p>
    <w:p w14:paraId="62C6FC6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住所：</w:t>
      </w:r>
    </w:p>
    <w:p w14:paraId="21DCD22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法定代表人：</w:t>
      </w:r>
    </w:p>
    <w:p w14:paraId="1CE1E04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鉴于甲方委托乙方进行定作加工，乙方具备相应的承揽能力和资质，双方经平等自愿协商，根据《中华人民共和国民法典》及相关法律法规，就乙方提供承揽服务事宜，签订本合同以共同遵守。</w:t>
      </w:r>
    </w:p>
    <w:p w14:paraId="4D579A6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第一条 加工承揽项目</w:t>
      </w:r>
    </w:p>
    <w:p w14:paraId="72C1193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1.1 项目基本信息</w:t>
      </w:r>
    </w:p>
    <w:p w14:paraId="3313E32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服务项目名称：</w:t>
      </w:r>
      <w:r>
        <w:rPr>
          <w:rFonts w:hint="eastAsia"/>
          <w:b w:val="0"/>
          <w:sz w:val="21"/>
          <w:u w:val="single"/>
          <w:lang w:val="en-US" w:eastAsia="zh-CN"/>
        </w:rPr>
        <w:t xml:space="preserve">          </w:t>
      </w:r>
      <w:r>
        <w:rPr>
          <w:rFonts w:ascii="宋体" w:hAnsi="宋体" w:eastAsia="宋体"/>
          <w:b w:val="0"/>
          <w:sz w:val="21"/>
        </w:rPr>
        <w:t>加工承揽服务。</w:t>
      </w:r>
    </w:p>
    <w:p w14:paraId="2522174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服务要求：具体见附件"承揽方案确认书"及本合同其他约定。</w:t>
      </w:r>
    </w:p>
    <w:p w14:paraId="28B3E1E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工作成果要求：乙方应提交的工作成果见附件"承揽方案确认书"。</w:t>
      </w:r>
    </w:p>
    <w:p w14:paraId="1689B00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以下将该加工承揽项目称为"项目"或"本次服务"；乙方向甲方提供的定作加工的工作成果（具体以双方约定为准）称为"工作成果"。</w:t>
      </w:r>
    </w:p>
    <w:p w14:paraId="0CF4A4A0">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1.2 项目变更</w:t>
      </w:r>
    </w:p>
    <w:p w14:paraId="5DDFA15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服务过程中，如甲方需要变更加工要求、增加或减少项目数量、调整技术标准等，应提前以书面形式通知乙方。乙方应在收到通知后3个工作日内书面回复是否可以执行变更以及变更对价格、工期的影响。双方就变更事项达成一致的，应签订书面补充协议。</w:t>
      </w:r>
    </w:p>
    <w:p w14:paraId="7F6B406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如经甲方同意或要求增加原加工承揽范围之外的项目，则甲方应根据该项目收费标准增加费用。如无特别约定，则增加的费用应于乙方向甲方交付工作成果之前支付。</w:t>
      </w:r>
    </w:p>
    <w:p w14:paraId="0D6E22D7">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服务过程中，如甲方减少数量、项目导致乙方单位成本增加的，乙方有权要求调整费用标准，双方应就调整后的费用标准另行协商并签订补充协议。</w:t>
      </w:r>
    </w:p>
    <w:p w14:paraId="3AC2613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第二条 服务费用</w:t>
      </w:r>
    </w:p>
    <w:p w14:paraId="29D20DE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2.1 服务费用（合同价款）</w:t>
      </w:r>
    </w:p>
    <w:p w14:paraId="65CC1C1F">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本次服务费用总价（合同总价款）为：人民币（大写）</w:t>
      </w:r>
      <w:r>
        <w:rPr>
          <w:rFonts w:hint="eastAsia"/>
          <w:b w:val="0"/>
          <w:sz w:val="21"/>
          <w:u w:val="single"/>
          <w:lang w:val="en-US" w:eastAsia="zh-CN"/>
        </w:rPr>
        <w:t xml:space="preserve">               </w:t>
      </w:r>
      <w:r>
        <w:rPr>
          <w:rFonts w:ascii="宋体" w:hAnsi="宋体" w:eastAsia="宋体"/>
          <w:b w:val="0"/>
          <w:sz w:val="21"/>
        </w:rPr>
        <w:t>元（</w:t>
      </w:r>
      <w:r>
        <w:rPr>
          <w:rFonts w:ascii="宋体" w:hAnsi="宋体" w:eastAsia="宋体"/>
          <w:b w:val="0"/>
          <w:sz w:val="21"/>
          <w:u w:val="single"/>
        </w:rPr>
        <w:t>￥</w:t>
      </w:r>
      <w:r>
        <w:rPr>
          <w:rFonts w:hint="eastAsia"/>
          <w:b w:val="0"/>
          <w:sz w:val="21"/>
          <w:u w:val="single"/>
          <w:lang w:val="en-US" w:eastAsia="zh-CN"/>
        </w:rPr>
        <w:t xml:space="preserve">      </w:t>
      </w:r>
      <w:r>
        <w:rPr>
          <w:rFonts w:ascii="宋体" w:hAnsi="宋体" w:eastAsia="宋体"/>
          <w:b w:val="0"/>
          <w:sz w:val="21"/>
          <w:u w:val="single"/>
        </w:rPr>
        <w:t xml:space="preserve"> 元</w:t>
      </w:r>
      <w:r>
        <w:rPr>
          <w:rFonts w:ascii="宋体" w:hAnsi="宋体" w:eastAsia="宋体"/>
          <w:b w:val="0"/>
          <w:sz w:val="21"/>
        </w:rPr>
        <w:t>）。</w:t>
      </w:r>
    </w:p>
    <w:p w14:paraId="45CF93F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2.2 税费</w:t>
      </w:r>
    </w:p>
    <w:p w14:paraId="7C059F6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本合同约定价款为含税价格，增值税率</w:t>
      </w:r>
      <w:r>
        <w:rPr>
          <w:rFonts w:hint="eastAsia"/>
          <w:b w:val="0"/>
          <w:sz w:val="21"/>
          <w:u w:val="single"/>
          <w:lang w:val="en-US" w:eastAsia="zh-CN"/>
        </w:rPr>
        <w:t xml:space="preserve">     </w:t>
      </w:r>
      <w:r>
        <w:rPr>
          <w:rFonts w:ascii="宋体" w:hAnsi="宋体" w:eastAsia="宋体"/>
          <w:b w:val="0"/>
          <w:sz w:val="21"/>
        </w:rPr>
        <w:t>%（百分之</w:t>
      </w:r>
      <w:r>
        <w:rPr>
          <w:rFonts w:hint="eastAsia"/>
          <w:b w:val="0"/>
          <w:sz w:val="21"/>
          <w:u w:val="single"/>
          <w:lang w:val="en-US" w:eastAsia="zh-CN"/>
        </w:rPr>
        <w:t xml:space="preserve">  </w:t>
      </w:r>
      <w:r>
        <w:rPr>
          <w:rFonts w:ascii="宋体" w:hAnsi="宋体" w:eastAsia="宋体"/>
          <w:b w:val="0"/>
          <w:sz w:val="21"/>
        </w:rPr>
        <w:t>）。</w:t>
      </w:r>
    </w:p>
    <w:p w14:paraId="1D77DEF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本次服务费用明细如下：</w:t>
      </w:r>
    </w:p>
    <w:tbl>
      <w:tblPr>
        <w:tblStyle w:val="32"/>
        <w:tblW w:w="0" w:type="auto"/>
        <w:jc w:val="center"/>
        <w:tblLayout w:type="autofit"/>
        <w:tblCellMar>
          <w:top w:w="0" w:type="dxa"/>
          <w:left w:w="108" w:type="dxa"/>
          <w:bottom w:w="0" w:type="dxa"/>
          <w:right w:w="108" w:type="dxa"/>
        </w:tblCellMar>
      </w:tblPr>
      <w:tblGrid>
        <w:gridCol w:w="1701"/>
        <w:gridCol w:w="1417"/>
        <w:gridCol w:w="1134"/>
        <w:gridCol w:w="1701"/>
        <w:gridCol w:w="2551"/>
      </w:tblGrid>
      <w:tr w14:paraId="2D350EF4">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02DB72AC">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单项</w:t>
            </w:r>
          </w:p>
        </w:tc>
        <w:tc>
          <w:tcPr>
            <w:tcW w:w="1417" w:type="dxa"/>
            <w:tcBorders>
              <w:top w:val="single" w:color="000000" w:sz="4" w:space="0"/>
              <w:left w:val="single" w:color="000000" w:sz="4" w:space="0"/>
              <w:bottom w:val="single" w:color="000000" w:sz="4" w:space="0"/>
              <w:right w:val="single" w:color="000000" w:sz="4" w:space="0"/>
            </w:tcBorders>
            <w:shd w:val="clear" w:color="auto" w:fill="F2F2F2"/>
          </w:tcPr>
          <w:p w14:paraId="2B6B57EA">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单价</w:t>
            </w:r>
          </w:p>
        </w:tc>
        <w:tc>
          <w:tcPr>
            <w:tcW w:w="1134" w:type="dxa"/>
            <w:tcBorders>
              <w:top w:val="single" w:color="000000" w:sz="4" w:space="0"/>
              <w:left w:val="single" w:color="000000" w:sz="4" w:space="0"/>
              <w:bottom w:val="single" w:color="000000" w:sz="4" w:space="0"/>
              <w:right w:val="single" w:color="000000" w:sz="4" w:space="0"/>
            </w:tcBorders>
            <w:shd w:val="clear" w:color="auto" w:fill="F2F2F2"/>
          </w:tcPr>
          <w:p w14:paraId="19919C42">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数量</w:t>
            </w:r>
          </w:p>
        </w:tc>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373DE686">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价款（元）</w:t>
            </w:r>
          </w:p>
        </w:tc>
        <w:tc>
          <w:tcPr>
            <w:tcW w:w="2551" w:type="dxa"/>
            <w:tcBorders>
              <w:top w:val="single" w:color="000000" w:sz="4" w:space="0"/>
              <w:left w:val="single" w:color="000000" w:sz="4" w:space="0"/>
              <w:bottom w:val="single" w:color="000000" w:sz="4" w:space="0"/>
              <w:right w:val="single" w:color="000000" w:sz="4" w:space="0"/>
            </w:tcBorders>
            <w:shd w:val="clear" w:color="auto" w:fill="F2F2F2"/>
          </w:tcPr>
          <w:p w14:paraId="290CE55A">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说明</w:t>
            </w:r>
          </w:p>
        </w:tc>
      </w:tr>
      <w:tr w14:paraId="63CA032D">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3D75A8EB">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417" w:type="dxa"/>
            <w:tcBorders>
              <w:top w:val="single" w:color="000000" w:sz="4" w:space="0"/>
              <w:left w:val="single" w:color="000000" w:sz="4" w:space="0"/>
              <w:bottom w:val="single" w:color="000000" w:sz="4" w:space="0"/>
              <w:right w:val="single" w:color="000000" w:sz="4" w:space="0"/>
            </w:tcBorders>
          </w:tcPr>
          <w:p w14:paraId="161C2996">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134" w:type="dxa"/>
            <w:tcBorders>
              <w:top w:val="single" w:color="000000" w:sz="4" w:space="0"/>
              <w:left w:val="single" w:color="000000" w:sz="4" w:space="0"/>
              <w:bottom w:val="single" w:color="000000" w:sz="4" w:space="0"/>
              <w:right w:val="single" w:color="000000" w:sz="4" w:space="0"/>
            </w:tcBorders>
          </w:tcPr>
          <w:p w14:paraId="4E90CBF2">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701" w:type="dxa"/>
            <w:tcBorders>
              <w:top w:val="single" w:color="000000" w:sz="4" w:space="0"/>
              <w:left w:val="single" w:color="000000" w:sz="4" w:space="0"/>
              <w:bottom w:val="single" w:color="000000" w:sz="4" w:space="0"/>
              <w:right w:val="single" w:color="000000" w:sz="4" w:space="0"/>
            </w:tcBorders>
          </w:tcPr>
          <w:p w14:paraId="34B2990B">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2551" w:type="dxa"/>
            <w:tcBorders>
              <w:top w:val="single" w:color="000000" w:sz="4" w:space="0"/>
              <w:left w:val="single" w:color="000000" w:sz="4" w:space="0"/>
              <w:bottom w:val="single" w:color="000000" w:sz="4" w:space="0"/>
              <w:right w:val="single" w:color="000000" w:sz="4" w:space="0"/>
            </w:tcBorders>
          </w:tcPr>
          <w:p w14:paraId="0FE5E3D4">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r>
      <w:tr w14:paraId="43F71D93">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7DDF2FEE">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sz w:val="21"/>
              </w:rPr>
              <w:t>合计</w:t>
            </w:r>
          </w:p>
        </w:tc>
        <w:tc>
          <w:tcPr>
            <w:tcW w:w="1417" w:type="dxa"/>
            <w:tcBorders>
              <w:top w:val="single" w:color="000000" w:sz="4" w:space="0"/>
              <w:left w:val="single" w:color="000000" w:sz="4" w:space="0"/>
              <w:bottom w:val="single" w:color="000000" w:sz="4" w:space="0"/>
              <w:right w:val="single" w:color="000000" w:sz="4" w:space="0"/>
            </w:tcBorders>
          </w:tcPr>
          <w:p w14:paraId="77096A9B">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sz w:val="21"/>
              </w:rPr>
              <w:t>/</w:t>
            </w:r>
          </w:p>
        </w:tc>
        <w:tc>
          <w:tcPr>
            <w:tcW w:w="1134" w:type="dxa"/>
            <w:tcBorders>
              <w:top w:val="single" w:color="000000" w:sz="4" w:space="0"/>
              <w:left w:val="single" w:color="000000" w:sz="4" w:space="0"/>
              <w:bottom w:val="single" w:color="000000" w:sz="4" w:space="0"/>
              <w:right w:val="single" w:color="000000" w:sz="4" w:space="0"/>
            </w:tcBorders>
          </w:tcPr>
          <w:p w14:paraId="21439211">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701" w:type="dxa"/>
            <w:tcBorders>
              <w:top w:val="single" w:color="000000" w:sz="4" w:space="0"/>
              <w:left w:val="single" w:color="000000" w:sz="4" w:space="0"/>
              <w:bottom w:val="single" w:color="000000" w:sz="4" w:space="0"/>
              <w:right w:val="single" w:color="000000" w:sz="4" w:space="0"/>
            </w:tcBorders>
          </w:tcPr>
          <w:p w14:paraId="7E9EB301">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2551" w:type="dxa"/>
            <w:tcBorders>
              <w:top w:val="single" w:color="000000" w:sz="4" w:space="0"/>
              <w:left w:val="single" w:color="000000" w:sz="4" w:space="0"/>
              <w:bottom w:val="single" w:color="000000" w:sz="4" w:space="0"/>
              <w:right w:val="single" w:color="000000" w:sz="4" w:space="0"/>
            </w:tcBorders>
          </w:tcPr>
          <w:p w14:paraId="68E8954F">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sz w:val="21"/>
              </w:rPr>
              <w:t>/</w:t>
            </w:r>
          </w:p>
        </w:tc>
      </w:tr>
    </w:tbl>
    <w:p w14:paraId="3C52AB8F">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76EB233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2.3 付款方式</w:t>
      </w:r>
    </w:p>
    <w:p w14:paraId="0335215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首笔款：</w:t>
      </w:r>
      <w:r>
        <w:rPr>
          <w:rFonts w:ascii="宋体" w:hAnsi="宋体" w:eastAsia="宋体"/>
          <w:b w:val="0"/>
          <w:sz w:val="21"/>
          <w:u w:val="single"/>
        </w:rPr>
        <w:t xml:space="preserve">￥ </w:t>
      </w:r>
      <w:r>
        <w:rPr>
          <w:rFonts w:hint="eastAsia"/>
          <w:b w:val="0"/>
          <w:sz w:val="21"/>
          <w:u w:val="single"/>
          <w:lang w:val="en-US" w:eastAsia="zh-CN"/>
        </w:rPr>
        <w:t xml:space="preserve">    </w:t>
      </w:r>
      <w:r>
        <w:rPr>
          <w:rFonts w:ascii="宋体" w:hAnsi="宋体" w:eastAsia="宋体"/>
          <w:b w:val="0"/>
          <w:sz w:val="21"/>
          <w:u w:val="single"/>
        </w:rPr>
        <w:t>元</w:t>
      </w:r>
      <w:r>
        <w:rPr>
          <w:rFonts w:ascii="宋体" w:hAnsi="宋体" w:eastAsia="宋体"/>
          <w:b w:val="0"/>
          <w:sz w:val="21"/>
        </w:rPr>
        <w:t>，于本合同签订后</w:t>
      </w:r>
      <w:r>
        <w:rPr>
          <w:rFonts w:hint="eastAsia"/>
          <w:b w:val="0"/>
          <w:sz w:val="21"/>
          <w:lang w:val="en-US" w:eastAsia="zh-CN"/>
        </w:rPr>
        <w:t>5</w:t>
      </w:r>
      <w:r>
        <w:rPr>
          <w:rFonts w:ascii="宋体" w:hAnsi="宋体" w:eastAsia="宋体"/>
          <w:b w:val="0"/>
          <w:sz w:val="21"/>
        </w:rPr>
        <w:t>个工作日内支付。该款项同时作为双方履行本合同的定金，适用定金罚则。</w:t>
      </w:r>
    </w:p>
    <w:p w14:paraId="1633AA6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尾款：乙方向甲方交付工作成果并经甲方验收通过后的</w:t>
      </w:r>
      <w:r>
        <w:rPr>
          <w:rFonts w:hint="eastAsia"/>
          <w:b w:val="0"/>
          <w:sz w:val="21"/>
          <w:u w:val="none"/>
          <w:lang w:val="en-US" w:eastAsia="zh-CN"/>
        </w:rPr>
        <w:t xml:space="preserve"> 5 </w:t>
      </w:r>
      <w:r>
        <w:rPr>
          <w:rFonts w:ascii="宋体" w:hAnsi="宋体" w:eastAsia="宋体"/>
          <w:b w:val="0"/>
          <w:sz w:val="21"/>
        </w:rPr>
        <w:t>个工作日内，甲方付清全部合同价款。</w:t>
      </w:r>
    </w:p>
    <w:p w14:paraId="702B242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如甲方逾期支付任何款项的，每逾期一日，应按逾期金额的万分之五向乙方支付违约金。逾期超过15日的，乙方有权暂停工作并相应顺延工期，因此造成的损失由甲方承担。</w:t>
      </w:r>
    </w:p>
    <w:p w14:paraId="238BED7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2.4 收款账号</w:t>
      </w:r>
    </w:p>
    <w:p w14:paraId="33659BC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乙方指定收款账号：</w:t>
      </w:r>
    </w:p>
    <w:p w14:paraId="65D74747">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户名： </w:t>
      </w:r>
    </w:p>
    <w:p w14:paraId="4190F5E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账号： </w:t>
      </w:r>
    </w:p>
    <w:p w14:paraId="1309971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开户行： </w:t>
      </w:r>
    </w:p>
    <w:p w14:paraId="7F637B3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乙方未授权任何员工、第三方收款；付款方未向指定账号付款导致损失的，乙方不承担任何责任。乙方收款账号如有变更，应提前5个工作日书面通知甲方。</w:t>
      </w:r>
    </w:p>
    <w:p w14:paraId="16D7517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2.5 发票</w:t>
      </w:r>
    </w:p>
    <w:p w14:paraId="1A4CD8AC">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乙方应在收到甲方款项后 个工作日内向甲方开具正规足额增值税专用发票。甲方开票信息如下：</w:t>
      </w:r>
    </w:p>
    <w:p w14:paraId="6C960CE7">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名称： </w:t>
      </w:r>
    </w:p>
    <w:p w14:paraId="00D9163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纳税人识别号： </w:t>
      </w:r>
    </w:p>
    <w:p w14:paraId="381E4AE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地址、电话： </w:t>
      </w:r>
    </w:p>
    <w:p w14:paraId="41EBC26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开户行及账号： </w:t>
      </w:r>
    </w:p>
    <w:p w14:paraId="5EB9A0A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2.6 费用范围</w:t>
      </w:r>
    </w:p>
    <w:p w14:paraId="193668D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本合同约定的价款已经包括但不限于乙方提供的全部物料成本（约定由甲方提供的除外）、人工成本、运输费用、包装费用、保险费、利润和税费等；除本合同明确约定的以外，甲方无需再向乙方支付其他任何价款、费用或报销。</w:t>
      </w:r>
    </w:p>
    <w:p w14:paraId="40BB05B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第三条 委托方配合</w:t>
      </w:r>
    </w:p>
    <w:p w14:paraId="04B7E22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3.1 原材料提供</w:t>
      </w:r>
    </w:p>
    <w:p w14:paraId="4978766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甲方应提供如下原材料：</w:t>
      </w:r>
    </w:p>
    <w:tbl>
      <w:tblPr>
        <w:tblStyle w:val="32"/>
        <w:tblW w:w="0" w:type="auto"/>
        <w:jc w:val="center"/>
        <w:tblLayout w:type="autofit"/>
        <w:tblCellMar>
          <w:top w:w="0" w:type="dxa"/>
          <w:left w:w="108" w:type="dxa"/>
          <w:bottom w:w="0" w:type="dxa"/>
          <w:right w:w="108" w:type="dxa"/>
        </w:tblCellMar>
      </w:tblPr>
      <w:tblGrid>
        <w:gridCol w:w="1701"/>
        <w:gridCol w:w="2268"/>
        <w:gridCol w:w="1134"/>
        <w:gridCol w:w="1701"/>
        <w:gridCol w:w="1701"/>
      </w:tblGrid>
      <w:tr w14:paraId="558BF37E">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48684604">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名称</w:t>
            </w:r>
          </w:p>
        </w:tc>
        <w:tc>
          <w:tcPr>
            <w:tcW w:w="2268" w:type="dxa"/>
            <w:tcBorders>
              <w:top w:val="single" w:color="000000" w:sz="4" w:space="0"/>
              <w:left w:val="single" w:color="000000" w:sz="4" w:space="0"/>
              <w:bottom w:val="single" w:color="000000" w:sz="4" w:space="0"/>
              <w:right w:val="single" w:color="000000" w:sz="4" w:space="0"/>
            </w:tcBorders>
            <w:shd w:val="clear" w:color="auto" w:fill="F2F2F2"/>
          </w:tcPr>
          <w:p w14:paraId="0FBEDA34">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规格、型号、生产厂家等</w:t>
            </w:r>
          </w:p>
        </w:tc>
        <w:tc>
          <w:tcPr>
            <w:tcW w:w="1134" w:type="dxa"/>
            <w:tcBorders>
              <w:top w:val="single" w:color="000000" w:sz="4" w:space="0"/>
              <w:left w:val="single" w:color="000000" w:sz="4" w:space="0"/>
              <w:bottom w:val="single" w:color="000000" w:sz="4" w:space="0"/>
              <w:right w:val="single" w:color="000000" w:sz="4" w:space="0"/>
            </w:tcBorders>
            <w:shd w:val="clear" w:color="auto" w:fill="F2F2F2"/>
          </w:tcPr>
          <w:p w14:paraId="119AB2B7">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数量</w:t>
            </w:r>
          </w:p>
        </w:tc>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49E42FB3">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市场价值（单价）</w:t>
            </w:r>
          </w:p>
        </w:tc>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3E7F3A12">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说明</w:t>
            </w:r>
          </w:p>
        </w:tc>
      </w:tr>
      <w:tr w14:paraId="5C6AC723">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4033B170">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2268" w:type="dxa"/>
            <w:tcBorders>
              <w:top w:val="single" w:color="000000" w:sz="4" w:space="0"/>
              <w:left w:val="single" w:color="000000" w:sz="4" w:space="0"/>
              <w:bottom w:val="single" w:color="000000" w:sz="4" w:space="0"/>
              <w:right w:val="single" w:color="000000" w:sz="4" w:space="0"/>
            </w:tcBorders>
          </w:tcPr>
          <w:p w14:paraId="1DA8BF6D">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134" w:type="dxa"/>
            <w:tcBorders>
              <w:top w:val="single" w:color="000000" w:sz="4" w:space="0"/>
              <w:left w:val="single" w:color="000000" w:sz="4" w:space="0"/>
              <w:bottom w:val="single" w:color="000000" w:sz="4" w:space="0"/>
              <w:right w:val="single" w:color="000000" w:sz="4" w:space="0"/>
            </w:tcBorders>
          </w:tcPr>
          <w:p w14:paraId="18D7DD66">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701" w:type="dxa"/>
            <w:tcBorders>
              <w:top w:val="single" w:color="000000" w:sz="4" w:space="0"/>
              <w:left w:val="single" w:color="000000" w:sz="4" w:space="0"/>
              <w:bottom w:val="single" w:color="000000" w:sz="4" w:space="0"/>
              <w:right w:val="single" w:color="000000" w:sz="4" w:space="0"/>
            </w:tcBorders>
          </w:tcPr>
          <w:p w14:paraId="0725D08C">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701" w:type="dxa"/>
            <w:tcBorders>
              <w:top w:val="single" w:color="000000" w:sz="4" w:space="0"/>
              <w:left w:val="single" w:color="000000" w:sz="4" w:space="0"/>
              <w:bottom w:val="single" w:color="000000" w:sz="4" w:space="0"/>
              <w:right w:val="single" w:color="000000" w:sz="4" w:space="0"/>
            </w:tcBorders>
          </w:tcPr>
          <w:p w14:paraId="6A38496A">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r>
    </w:tbl>
    <w:p w14:paraId="5E502AB7">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4F68937F">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甲方原材料交付地点：乙方工厂所在地，位于</w:t>
      </w:r>
      <w:r>
        <w:rPr>
          <w:rFonts w:ascii="宋体" w:hAnsi="宋体" w:eastAsia="宋体"/>
          <w:b w:val="0"/>
          <w:sz w:val="21"/>
          <w:u w:val="single"/>
        </w:rPr>
        <w:t xml:space="preserve"> </w:t>
      </w:r>
      <w:r>
        <w:rPr>
          <w:rFonts w:hint="eastAsia"/>
          <w:b w:val="0"/>
          <w:sz w:val="21"/>
          <w:u w:val="single"/>
          <w:lang w:val="en-US" w:eastAsia="zh-CN"/>
        </w:rPr>
        <w:t xml:space="preserve">  </w:t>
      </w:r>
      <w:r>
        <w:rPr>
          <w:rFonts w:ascii="宋体" w:hAnsi="宋体" w:eastAsia="宋体"/>
          <w:b w:val="0"/>
          <w:sz w:val="21"/>
          <w:u w:val="single"/>
        </w:rPr>
        <w:t>省</w:t>
      </w:r>
      <w:r>
        <w:rPr>
          <w:rFonts w:hint="eastAsia"/>
          <w:b w:val="0"/>
          <w:sz w:val="21"/>
          <w:u w:val="single"/>
          <w:lang w:val="en-US" w:eastAsia="zh-CN"/>
        </w:rPr>
        <w:t xml:space="preserve">  </w:t>
      </w:r>
      <w:r>
        <w:rPr>
          <w:rFonts w:ascii="宋体" w:hAnsi="宋体" w:eastAsia="宋体"/>
          <w:b w:val="0"/>
          <w:sz w:val="21"/>
          <w:u w:val="single"/>
        </w:rPr>
        <w:t xml:space="preserve"> 市</w:t>
      </w:r>
      <w:r>
        <w:rPr>
          <w:rFonts w:hint="eastAsia"/>
          <w:b w:val="0"/>
          <w:sz w:val="21"/>
          <w:u w:val="single"/>
          <w:lang w:val="en-US" w:eastAsia="zh-CN"/>
        </w:rPr>
        <w:t xml:space="preserve"> </w:t>
      </w:r>
      <w:r>
        <w:rPr>
          <w:rFonts w:ascii="宋体" w:hAnsi="宋体" w:eastAsia="宋体"/>
          <w:b w:val="0"/>
          <w:sz w:val="21"/>
          <w:u w:val="single"/>
        </w:rPr>
        <w:t xml:space="preserve"> </w:t>
      </w:r>
      <w:r>
        <w:rPr>
          <w:rFonts w:hint="eastAsia"/>
          <w:b w:val="0"/>
          <w:sz w:val="21"/>
          <w:u w:val="single"/>
          <w:lang w:val="en-US" w:eastAsia="zh-CN"/>
        </w:rPr>
        <w:t xml:space="preserve">  </w:t>
      </w:r>
      <w:r>
        <w:rPr>
          <w:rFonts w:ascii="宋体" w:hAnsi="宋体" w:eastAsia="宋体"/>
          <w:b w:val="0"/>
          <w:sz w:val="21"/>
          <w:u w:val="single"/>
        </w:rPr>
        <w:t xml:space="preserve">区 </w:t>
      </w:r>
      <w:r>
        <w:rPr>
          <w:rFonts w:hint="eastAsia"/>
          <w:b w:val="0"/>
          <w:sz w:val="21"/>
          <w:u w:val="single"/>
          <w:lang w:val="en-US" w:eastAsia="zh-CN"/>
        </w:rPr>
        <w:t xml:space="preserve">   </w:t>
      </w:r>
      <w:r>
        <w:rPr>
          <w:rFonts w:ascii="宋体" w:hAnsi="宋体" w:eastAsia="宋体"/>
          <w:b w:val="0"/>
          <w:sz w:val="21"/>
          <w:u w:val="single"/>
        </w:rPr>
        <w:t xml:space="preserve">路 </w:t>
      </w:r>
      <w:r>
        <w:rPr>
          <w:rFonts w:hint="eastAsia"/>
          <w:b w:val="0"/>
          <w:sz w:val="21"/>
          <w:u w:val="single"/>
          <w:lang w:val="en-US" w:eastAsia="zh-CN"/>
        </w:rPr>
        <w:t xml:space="preserve"> </w:t>
      </w:r>
      <w:r>
        <w:rPr>
          <w:rFonts w:ascii="宋体" w:hAnsi="宋体" w:eastAsia="宋体"/>
          <w:b w:val="0"/>
          <w:sz w:val="21"/>
          <w:u w:val="single"/>
        </w:rPr>
        <w:t>号</w:t>
      </w:r>
      <w:r>
        <w:rPr>
          <w:rFonts w:ascii="宋体" w:hAnsi="宋体" w:eastAsia="宋体"/>
          <w:b w:val="0"/>
          <w:sz w:val="21"/>
        </w:rPr>
        <w:t>。</w:t>
      </w:r>
    </w:p>
    <w:p w14:paraId="09BA7F6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甲方原材料交付时间：本合同签订后</w:t>
      </w:r>
      <w:r>
        <w:rPr>
          <w:rFonts w:hint="eastAsia"/>
          <w:b w:val="0"/>
          <w:sz w:val="21"/>
          <w:u w:val="single"/>
          <w:lang w:val="en-US" w:eastAsia="zh-CN"/>
        </w:rPr>
        <w:t>3</w:t>
      </w:r>
      <w:r>
        <w:rPr>
          <w:rFonts w:ascii="宋体" w:hAnsi="宋体" w:eastAsia="宋体"/>
          <w:b w:val="0"/>
          <w:sz w:val="21"/>
        </w:rPr>
        <w:t>个工作日内。</w:t>
      </w:r>
    </w:p>
    <w:p w14:paraId="463D3F3C">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向乙方交付原材料时，乙方应当场进行验收并签署验收单；当场未提出异议的，视为甲方交付的原材料符合约定。乙方验收后发现原材料存在隐蔽瑕疵的，应在发现后3个工作日内书面通知甲方，甲方应在收到通知后5个工作日内予以更换或补齐。</w:t>
      </w:r>
    </w:p>
    <w:p w14:paraId="4561252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 xml:space="preserve">甲方提供原材料的，交付乙方后所有权不发生转移。乙方在完成加工后，原材料如仍有剩余，乙方应及时返还给甲方；如无特别约定，乙方应与工作成果一并交付给甲方。剩余原材料的返还费用由 </w:t>
      </w:r>
      <w:r>
        <w:rPr>
          <w:rFonts w:hint="eastAsia"/>
          <w:b w:val="0"/>
          <w:sz w:val="21"/>
          <w:u w:val="single"/>
          <w:lang w:val="en-US" w:eastAsia="zh-CN"/>
        </w:rPr>
        <w:t xml:space="preserve">    </w:t>
      </w:r>
      <w:r>
        <w:rPr>
          <w:rFonts w:hint="eastAsia"/>
          <w:b w:val="0"/>
          <w:sz w:val="21"/>
          <w:u w:val="none"/>
          <w:lang w:val="en-US" w:eastAsia="zh-CN"/>
        </w:rPr>
        <w:t>甲</w:t>
      </w:r>
      <w:r>
        <w:rPr>
          <w:rFonts w:ascii="宋体" w:hAnsi="宋体" w:eastAsia="宋体"/>
          <w:b w:val="0"/>
          <w:sz w:val="21"/>
        </w:rPr>
        <w:t>方承担。</w:t>
      </w:r>
    </w:p>
    <w:p w14:paraId="3F91340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将原材料交付乙方后在乙方保管期间，乙方应妥善保管；因乙方保管不当导致原材料损失的，乙方应按原材料市场价值承担赔偿责任。但因不可抗力等非乙方原因致使原材料破损或灭失的，不利后果由甲方承担。</w:t>
      </w:r>
    </w:p>
    <w:p w14:paraId="72CB7F09">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除双方约定由甲方提供的原材料以外，加工承揽中所需其他原材料、辅料、零部件等均由乙方自行提供并承担费用。</w:t>
      </w:r>
    </w:p>
    <w:p w14:paraId="6A9629ED">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3.2 资料提供</w:t>
      </w:r>
    </w:p>
    <w:p w14:paraId="1934DFE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甲方应向乙方提供承揽加工所需技术资料与图纸（下称"技术资料"）。</w:t>
      </w:r>
    </w:p>
    <w:p w14:paraId="141E119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甲方技术资料交付时间：本合同签订后</w:t>
      </w:r>
      <w:r>
        <w:rPr>
          <w:rFonts w:hint="eastAsia"/>
          <w:b w:val="0"/>
          <w:sz w:val="21"/>
          <w:lang w:val="en-US" w:eastAsia="zh-CN"/>
        </w:rPr>
        <w:t>3</w:t>
      </w:r>
      <w:r>
        <w:rPr>
          <w:rFonts w:ascii="宋体" w:hAnsi="宋体" w:eastAsia="宋体"/>
          <w:b w:val="0"/>
          <w:sz w:val="21"/>
        </w:rPr>
        <w:t>个工作日内。</w:t>
      </w:r>
    </w:p>
    <w:p w14:paraId="75D31FE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乙方在服务期间，发现甲方技术资料或指示不合理的，应当及时通知甲方；甲方应当在收到通知后</w:t>
      </w:r>
      <w:r>
        <w:rPr>
          <w:rFonts w:hint="eastAsia"/>
          <w:b w:val="0"/>
          <w:sz w:val="21"/>
          <w:lang w:val="en-US" w:eastAsia="zh-CN"/>
        </w:rPr>
        <w:t>2</w:t>
      </w:r>
      <w:r>
        <w:rPr>
          <w:rFonts w:ascii="宋体" w:hAnsi="宋体" w:eastAsia="宋体"/>
          <w:b w:val="0"/>
          <w:sz w:val="21"/>
        </w:rPr>
        <w:t>个工作日内回复，提出修改意见。甲方逾期未回复的，乙方有权暂停工作并相应顺延工期。</w:t>
      </w:r>
    </w:p>
    <w:p w14:paraId="4A1B96E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3.3 逾期配合的责任</w:t>
      </w:r>
    </w:p>
    <w:p w14:paraId="6357F2D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甲方逾期提供原材料、技术资料或甲方未能及时回复乙方对技术资料的意见，导致乙方无法正常开展承揽加工的，乙方有权停止工作、相应顺延工期。因此造成的乙方损失（包括但不限于人工成本、设备闲置损失、材料损耗等），由甲方赔偿。</w:t>
      </w:r>
    </w:p>
    <w:p w14:paraId="3208D25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第四条 加工承揽要求</w:t>
      </w:r>
    </w:p>
    <w:p w14:paraId="6534224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4.1 原材料要求</w:t>
      </w:r>
    </w:p>
    <w:p w14:paraId="1D7DCBA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乙方在本次加工承揽中应使用下列原材料（包括零部件、辅料、备品等）：</w:t>
      </w:r>
    </w:p>
    <w:tbl>
      <w:tblPr>
        <w:tblStyle w:val="32"/>
        <w:tblW w:w="0" w:type="auto"/>
        <w:jc w:val="center"/>
        <w:tblLayout w:type="autofit"/>
        <w:tblCellMar>
          <w:top w:w="0" w:type="dxa"/>
          <w:left w:w="108" w:type="dxa"/>
          <w:bottom w:w="0" w:type="dxa"/>
          <w:right w:w="108" w:type="dxa"/>
        </w:tblCellMar>
      </w:tblPr>
      <w:tblGrid>
        <w:gridCol w:w="1701"/>
        <w:gridCol w:w="3402"/>
        <w:gridCol w:w="1134"/>
        <w:gridCol w:w="2268"/>
      </w:tblGrid>
      <w:tr w14:paraId="18279C52">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2F2F2"/>
          </w:tcPr>
          <w:p w14:paraId="68DBFE25">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名称</w:t>
            </w:r>
          </w:p>
        </w:tc>
        <w:tc>
          <w:tcPr>
            <w:tcW w:w="3402" w:type="dxa"/>
            <w:tcBorders>
              <w:top w:val="single" w:color="000000" w:sz="4" w:space="0"/>
              <w:left w:val="single" w:color="000000" w:sz="4" w:space="0"/>
              <w:bottom w:val="single" w:color="000000" w:sz="4" w:space="0"/>
              <w:right w:val="single" w:color="000000" w:sz="4" w:space="0"/>
            </w:tcBorders>
            <w:shd w:val="clear" w:color="auto" w:fill="F2F2F2"/>
          </w:tcPr>
          <w:p w14:paraId="19F92486">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规格、型号、生产厂家等</w:t>
            </w:r>
          </w:p>
        </w:tc>
        <w:tc>
          <w:tcPr>
            <w:tcW w:w="1134" w:type="dxa"/>
            <w:tcBorders>
              <w:top w:val="single" w:color="000000" w:sz="4" w:space="0"/>
              <w:left w:val="single" w:color="000000" w:sz="4" w:space="0"/>
              <w:bottom w:val="single" w:color="000000" w:sz="4" w:space="0"/>
              <w:right w:val="single" w:color="000000" w:sz="4" w:space="0"/>
            </w:tcBorders>
            <w:shd w:val="clear" w:color="auto" w:fill="F2F2F2"/>
          </w:tcPr>
          <w:p w14:paraId="723A1037">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数量</w:t>
            </w:r>
          </w:p>
        </w:tc>
        <w:tc>
          <w:tcPr>
            <w:tcW w:w="2268" w:type="dxa"/>
            <w:tcBorders>
              <w:top w:val="single" w:color="000000" w:sz="4" w:space="0"/>
              <w:left w:val="single" w:color="000000" w:sz="4" w:space="0"/>
              <w:bottom w:val="single" w:color="000000" w:sz="4" w:space="0"/>
              <w:right w:val="single" w:color="000000" w:sz="4" w:space="0"/>
            </w:tcBorders>
            <w:shd w:val="clear" w:color="auto" w:fill="F2F2F2"/>
          </w:tcPr>
          <w:p w14:paraId="672F94EC">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sz w:val="21"/>
              </w:rPr>
              <w:t>说明</w:t>
            </w:r>
          </w:p>
        </w:tc>
      </w:tr>
      <w:tr w14:paraId="53A96821">
        <w:tblPrEx>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cBorders>
          </w:tcPr>
          <w:p w14:paraId="7F215981">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3402" w:type="dxa"/>
            <w:tcBorders>
              <w:top w:val="single" w:color="000000" w:sz="4" w:space="0"/>
              <w:left w:val="single" w:color="000000" w:sz="4" w:space="0"/>
              <w:bottom w:val="single" w:color="000000" w:sz="4" w:space="0"/>
              <w:right w:val="single" w:color="000000" w:sz="4" w:space="0"/>
            </w:tcBorders>
          </w:tcPr>
          <w:p w14:paraId="3CCA222C">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1134" w:type="dxa"/>
            <w:tcBorders>
              <w:top w:val="single" w:color="000000" w:sz="4" w:space="0"/>
              <w:left w:val="single" w:color="000000" w:sz="4" w:space="0"/>
              <w:bottom w:val="single" w:color="000000" w:sz="4" w:space="0"/>
              <w:right w:val="single" w:color="000000" w:sz="4" w:space="0"/>
            </w:tcBorders>
          </w:tcPr>
          <w:p w14:paraId="1903CFAC">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c>
          <w:tcPr>
            <w:tcW w:w="2268" w:type="dxa"/>
            <w:tcBorders>
              <w:top w:val="single" w:color="000000" w:sz="4" w:space="0"/>
              <w:left w:val="single" w:color="000000" w:sz="4" w:space="0"/>
              <w:bottom w:val="single" w:color="000000" w:sz="4" w:space="0"/>
              <w:right w:val="single" w:color="000000" w:sz="4" w:space="0"/>
            </w:tcBorders>
          </w:tcPr>
          <w:p w14:paraId="7B317C43">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p>
        </w:tc>
      </w:tr>
    </w:tbl>
    <w:p w14:paraId="37022381">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44CC318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乙方加工前及加工过程中，甲方有权检查乙方所使用的原材料。甲方检查不免除乙方对原材料质量的责任。</w:t>
      </w:r>
    </w:p>
    <w:p w14:paraId="4534C08F">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对于加工为成品不便检测的原材料，乙方应在加工前请甲方进行检查验收，并由甲方书面确认。甲方未确认的，乙方不得进行加工。</w:t>
      </w:r>
    </w:p>
    <w:p w14:paraId="003390D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乙方应保证其所使用的原材料符合国家环保、安全等相关标准，不得使用国家明令淘汰或禁止使用的材料。</w:t>
      </w:r>
    </w:p>
    <w:p w14:paraId="7A02C16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4.2 加工质量要求</w:t>
      </w:r>
    </w:p>
    <w:p w14:paraId="71B6D5E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乙方应按甲方提供的技术资料及甲方要求完成定作加工。</w:t>
      </w:r>
    </w:p>
    <w:p w14:paraId="4934BDA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交付的工作成果应符合该货物所适用的国家标准（强制性或推荐性标准）、行业标准、地方标准、生产企业标准执行，并以其中最高的标准为准。如无上述标准的，应符合通常标准或符合合同目的的特定标准。</w:t>
      </w:r>
    </w:p>
    <w:p w14:paraId="0A34FEC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乙方交付的工作成果质量应同时符合乙方所提供的产品说明书或相关说明文档中所列明的标准。</w:t>
      </w:r>
    </w:p>
    <w:p w14:paraId="5E4F163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乙方应建立并执行严格的质量检验制度，在交付前对工作成果进行全面检验，并向甲方提供质量检验报告。</w:t>
      </w:r>
    </w:p>
    <w:p w14:paraId="4348912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4.3 数量</w:t>
      </w:r>
    </w:p>
    <w:p w14:paraId="64095B0F">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乙方交货数量与约定数量不一致的，甲方有权拒绝收货或要求乙方在</w:t>
      </w:r>
      <w:r>
        <w:rPr>
          <w:rFonts w:hint="eastAsia"/>
          <w:b w:val="0"/>
          <w:sz w:val="21"/>
          <w:lang w:val="en-US" w:eastAsia="zh-CN"/>
        </w:rPr>
        <w:t>3</w:t>
      </w:r>
      <w:r>
        <w:rPr>
          <w:rFonts w:ascii="宋体" w:hAnsi="宋体" w:eastAsia="宋体"/>
          <w:b w:val="0"/>
          <w:sz w:val="21"/>
        </w:rPr>
        <w:t>个工作日内补齐。乙方逾期未补齐的，按逾期交货处理。</w:t>
      </w:r>
    </w:p>
    <w:p w14:paraId="6AECB6B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4.4 包装要求</w:t>
      </w:r>
    </w:p>
    <w:p w14:paraId="2093FC2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 xml:space="preserve">乙方交付给甲方的工作成果应按下列要求进行包装： </w:t>
      </w:r>
    </w:p>
    <w:p w14:paraId="7FC9191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包装应符合国家有关包装标准，足以保护工作成果在运输、储存过程中不受损坏。因包装不当造成工作成果损坏的，由乙方承担责任。</w:t>
      </w:r>
    </w:p>
    <w:p w14:paraId="78CDC51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4.5 权利保证</w:t>
      </w:r>
    </w:p>
    <w:p w14:paraId="657CF36C">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乙方保证交付给甲方的所有工作成果未设置任何的留置权、抵押权、质押权、担保权和其他权利负担；</w:t>
      </w:r>
    </w:p>
    <w:p w14:paraId="22713C1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乙方保证交付给甲方的所有工作成果未侵犯第三人知识产权、商业秘密或其他合法权益。但因甲方提供的技术资料与甲方指示所导致的，乙方不承担责任。</w:t>
      </w:r>
    </w:p>
    <w:p w14:paraId="42B3FF9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4.6 免责情形</w:t>
      </w:r>
    </w:p>
    <w:p w14:paraId="1DB10C7E">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因甲方原材料、技术资料及甲方指示所引起且乙方无法发现或避免的质量问题，乙方不承担责任。但乙方发现后应及时通知甲方，未及时通知导致损失扩大的，乙方应就扩大部分承担责任。</w:t>
      </w:r>
    </w:p>
    <w:p w14:paraId="05C0CF7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4.7 转包与分包</w:t>
      </w:r>
    </w:p>
    <w:p w14:paraId="2EE72CD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乙方必须自行完成本合同约定的主要工作，不得将主要工作转交第三方完成。</w:t>
      </w:r>
    </w:p>
    <w:p w14:paraId="7AA81AA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乙方可以将辅助工作交由第三方完成，但应提前书面通知甲方并取得甲方同意。乙方应对第三方完成的工作成果向甲方承担全部责任，第三方的行为视为乙方的行为。</w:t>
      </w:r>
    </w:p>
    <w:p w14:paraId="5BE9897B">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乙方违反本条约定转包或分包的，甲方有权解除合同，乙方应按本合同约定承担违约责任。</w:t>
      </w:r>
    </w:p>
    <w:p w14:paraId="772F2C0E">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第五条 交货与验收</w:t>
      </w:r>
    </w:p>
    <w:p w14:paraId="33D82C8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5.1 交货时间</w:t>
      </w:r>
    </w:p>
    <w:p w14:paraId="2DFEAFA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乙方应于</w:t>
      </w:r>
      <w:r>
        <w:rPr>
          <w:rFonts w:ascii="宋体" w:hAnsi="宋体" w:eastAsia="宋体"/>
          <w:b w:val="0"/>
          <w:sz w:val="21"/>
          <w:u w:val="single"/>
        </w:rPr>
        <w:t xml:space="preserve"> </w:t>
      </w:r>
      <w:r>
        <w:rPr>
          <w:rFonts w:hint="eastAsia"/>
          <w:b w:val="0"/>
          <w:sz w:val="21"/>
          <w:u w:val="single"/>
          <w:lang w:val="en-US" w:eastAsia="zh-CN"/>
        </w:rPr>
        <w:t xml:space="preserve">    </w:t>
      </w:r>
      <w:r>
        <w:rPr>
          <w:rFonts w:ascii="宋体" w:hAnsi="宋体" w:eastAsia="宋体"/>
          <w:b w:val="0"/>
          <w:sz w:val="21"/>
          <w:u w:val="single"/>
        </w:rPr>
        <w:t xml:space="preserve">年 </w:t>
      </w:r>
      <w:r>
        <w:rPr>
          <w:rFonts w:hint="eastAsia"/>
          <w:b w:val="0"/>
          <w:sz w:val="21"/>
          <w:u w:val="single"/>
          <w:lang w:val="en-US" w:eastAsia="zh-CN"/>
        </w:rPr>
        <w:t xml:space="preserve"> </w:t>
      </w:r>
      <w:r>
        <w:rPr>
          <w:rFonts w:ascii="宋体" w:hAnsi="宋体" w:eastAsia="宋体"/>
          <w:b w:val="0"/>
          <w:sz w:val="21"/>
          <w:u w:val="single"/>
        </w:rPr>
        <w:t xml:space="preserve">月 </w:t>
      </w:r>
      <w:r>
        <w:rPr>
          <w:rFonts w:hint="eastAsia"/>
          <w:b w:val="0"/>
          <w:sz w:val="21"/>
          <w:u w:val="single"/>
          <w:lang w:val="en-US" w:eastAsia="zh-CN"/>
        </w:rPr>
        <w:t xml:space="preserve"> </w:t>
      </w:r>
      <w:r>
        <w:rPr>
          <w:rFonts w:ascii="宋体" w:hAnsi="宋体" w:eastAsia="宋体"/>
          <w:b w:val="0"/>
          <w:sz w:val="21"/>
          <w:u w:val="single"/>
        </w:rPr>
        <w:t>日</w:t>
      </w:r>
      <w:r>
        <w:rPr>
          <w:rFonts w:ascii="宋体" w:hAnsi="宋体" w:eastAsia="宋体"/>
          <w:b w:val="0"/>
          <w:sz w:val="21"/>
        </w:rPr>
        <w:t>前完成加工并交付工作成果。</w:t>
      </w:r>
    </w:p>
    <w:p w14:paraId="320AF58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因甲方原因或不可抗力导致工期延误的，交货时间相应顺延。</w:t>
      </w:r>
    </w:p>
    <w:p w14:paraId="0A2F956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5.2 交货地点</w:t>
      </w:r>
    </w:p>
    <w:p w14:paraId="69562C3E">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交货地点：</w:t>
      </w:r>
      <w:r>
        <w:rPr>
          <w:rFonts w:hint="eastAsia"/>
          <w:b w:val="0"/>
          <w:sz w:val="21"/>
          <w:u w:val="single"/>
          <w:lang w:val="en-US" w:eastAsia="zh-CN"/>
        </w:rPr>
        <w:t xml:space="preserve">              </w:t>
      </w:r>
      <w:r>
        <w:rPr>
          <w:rFonts w:ascii="宋体" w:hAnsi="宋体" w:eastAsia="宋体"/>
          <w:b w:val="0"/>
          <w:sz w:val="21"/>
        </w:rPr>
        <w:t>。</w:t>
      </w:r>
    </w:p>
    <w:p w14:paraId="245E4EA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甲方变更交货地点导致乙方增加费用的，该增加的费用由甲方承担。</w:t>
      </w:r>
    </w:p>
    <w:p w14:paraId="148ADA8B">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上述交货地点为最终交付工作成果的地点；除非特别约定，乙方提交样品及甲方验收样品的地点应在乙方加工所在地。</w:t>
      </w:r>
    </w:p>
    <w:p w14:paraId="0DE977D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5.3 运输方式与费用</w:t>
      </w:r>
    </w:p>
    <w:p w14:paraId="69D3946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运输方式：</w:t>
      </w:r>
      <w:r>
        <w:rPr>
          <w:rFonts w:hint="eastAsia"/>
          <w:b w:val="0"/>
          <w:sz w:val="21"/>
          <w:u w:val="single"/>
          <w:lang w:val="en-US" w:eastAsia="zh-CN"/>
        </w:rPr>
        <w:t xml:space="preserve"> 按甲方要求运输</w:t>
      </w:r>
      <w:r>
        <w:rPr>
          <w:rFonts w:ascii="宋体" w:hAnsi="宋体" w:eastAsia="宋体"/>
          <w:b w:val="0"/>
          <w:sz w:val="21"/>
        </w:rPr>
        <w:t>。</w:t>
      </w:r>
    </w:p>
    <w:p w14:paraId="0E822A4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运输费用由</w:t>
      </w:r>
      <w:r>
        <w:rPr>
          <w:rFonts w:hint="eastAsia"/>
          <w:b w:val="0"/>
          <w:sz w:val="21"/>
          <w:lang w:val="en-US" w:eastAsia="zh-CN"/>
        </w:rPr>
        <w:t>乙</w:t>
      </w:r>
      <w:r>
        <w:rPr>
          <w:rFonts w:ascii="宋体" w:hAnsi="宋体" w:eastAsia="宋体"/>
          <w:b w:val="0"/>
          <w:sz w:val="21"/>
        </w:rPr>
        <w:t>方承担。</w:t>
      </w:r>
    </w:p>
    <w:p w14:paraId="191D3C6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采取代办托运方式的，乙方应选择有资质的承运人，并办理货物运输保险，保险费用由</w:t>
      </w:r>
      <w:r>
        <w:rPr>
          <w:rFonts w:hint="eastAsia"/>
          <w:b w:val="0"/>
          <w:sz w:val="21"/>
          <w:lang w:val="en-US" w:eastAsia="zh-CN"/>
        </w:rPr>
        <w:t>乙</w:t>
      </w:r>
      <w:r>
        <w:rPr>
          <w:rFonts w:ascii="宋体" w:hAnsi="宋体" w:eastAsia="宋体"/>
          <w:b w:val="0"/>
          <w:sz w:val="21"/>
        </w:rPr>
        <w:t>方承担。</w:t>
      </w:r>
    </w:p>
    <w:p w14:paraId="68C0739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5.4 验收</w:t>
      </w:r>
    </w:p>
    <w:p w14:paraId="72C0C47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甲方应在交货当时进行外观、数量验收，并签署验收单。对外观、数量有异议的，应当场提出；当场未提出异议的，视为外观、数量符合约定。</w:t>
      </w:r>
    </w:p>
    <w:p w14:paraId="763A7D79">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质量验收期为交货后</w:t>
      </w:r>
      <w:r>
        <w:rPr>
          <w:rFonts w:hint="eastAsia"/>
          <w:b w:val="0"/>
          <w:sz w:val="21"/>
          <w:lang w:val="en-US" w:eastAsia="zh-CN"/>
        </w:rPr>
        <w:t>90</w:t>
      </w:r>
      <w:r>
        <w:rPr>
          <w:rFonts w:ascii="宋体" w:hAnsi="宋体" w:eastAsia="宋体"/>
          <w:b w:val="0"/>
          <w:sz w:val="21"/>
        </w:rPr>
        <w:t>日。甲方应在验收期内进行质量检验，对质量有异议的，应在验收期内以书面形式向乙方提出，并说明异议的具体内容和依据。验收期内未提出书面异议的，视为质量符合约定、验收通过。</w:t>
      </w:r>
    </w:p>
    <w:p w14:paraId="1927FD3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乙方应在收到甲方书面异议后</w:t>
      </w:r>
      <w:r>
        <w:rPr>
          <w:rFonts w:hint="eastAsia"/>
          <w:b w:val="0"/>
          <w:sz w:val="21"/>
          <w:lang w:val="en-US" w:eastAsia="zh-CN"/>
        </w:rPr>
        <w:t>3</w:t>
      </w:r>
      <w:r>
        <w:rPr>
          <w:rFonts w:ascii="宋体" w:hAnsi="宋体" w:eastAsia="宋体"/>
          <w:b w:val="0"/>
          <w:sz w:val="21"/>
        </w:rPr>
        <w:t>个工作日内予以答复或处理。对质量异议有争议的，双方可共同委托具有资质的第三方检测机构进行检测，检测费用由责任方承担。</w:t>
      </w:r>
    </w:p>
    <w:p w14:paraId="594D022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工作成果需安装调试的，安装调试完毕后</w:t>
      </w:r>
      <w:r>
        <w:rPr>
          <w:rFonts w:hint="eastAsia"/>
          <w:b w:val="0"/>
          <w:sz w:val="21"/>
          <w:lang w:val="en-US" w:eastAsia="zh-CN"/>
        </w:rPr>
        <w:t>60</w:t>
      </w:r>
      <w:r>
        <w:rPr>
          <w:rFonts w:ascii="宋体" w:hAnsi="宋体" w:eastAsia="宋体"/>
          <w:b w:val="0"/>
          <w:sz w:val="21"/>
        </w:rPr>
        <w:t>日内为质量验收期。</w:t>
      </w:r>
    </w:p>
    <w:p w14:paraId="129B950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5.5 风险转移</w:t>
      </w:r>
    </w:p>
    <w:p w14:paraId="76124CD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工作成果毁损、灭失的风险自交货之日起转移；采取代办托运方式的，自乙方将工作成果交付给第一承运人后风险转移。甲方逾期收货的，自逾期之日起风险转移至甲方。</w:t>
      </w:r>
    </w:p>
    <w:p w14:paraId="4E42E66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5.6 所有权转移</w:t>
      </w:r>
    </w:p>
    <w:p w14:paraId="2B476D8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工作成果所有权自甲方付清全部价款之日起转移。甲方未付清全部价款的，工作成果所有权仍归乙方所有。</w:t>
      </w:r>
    </w:p>
    <w:p w14:paraId="11D081B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甲方提供的原材料的所有权始终归甲方所有，不因加工而发生转移。</w:t>
      </w:r>
    </w:p>
    <w:p w14:paraId="3148994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5.7 安装与调试</w:t>
      </w:r>
    </w:p>
    <w:p w14:paraId="272669EC">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 （负责/不负责）在约定交货地点进行安装调试。</w:t>
      </w:r>
    </w:p>
    <w:p w14:paraId="44F5257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如乙方负责安装调试的，应在交货后</w:t>
      </w:r>
      <w:r>
        <w:rPr>
          <w:rFonts w:hint="eastAsia"/>
          <w:b w:val="0"/>
          <w:sz w:val="21"/>
          <w:lang w:val="en-US" w:eastAsia="zh-CN"/>
        </w:rPr>
        <w:t>10</w:t>
      </w:r>
      <w:r>
        <w:rPr>
          <w:rFonts w:ascii="宋体" w:hAnsi="宋体" w:eastAsia="宋体"/>
          <w:b w:val="0"/>
          <w:sz w:val="21"/>
        </w:rPr>
        <w:t>个工作日内完成安装调试，并确保工作成果正常运行。安装调试费用由</w:t>
      </w:r>
      <w:r>
        <w:rPr>
          <w:rFonts w:hint="eastAsia"/>
          <w:b w:val="0"/>
          <w:sz w:val="21"/>
          <w:lang w:val="en-US" w:eastAsia="zh-CN"/>
        </w:rPr>
        <w:t>乙</w:t>
      </w:r>
      <w:r>
        <w:rPr>
          <w:rFonts w:ascii="宋体" w:hAnsi="宋体" w:eastAsia="宋体"/>
          <w:b w:val="0"/>
          <w:sz w:val="21"/>
        </w:rPr>
        <w:t>方承担。</w:t>
      </w:r>
    </w:p>
    <w:p w14:paraId="52F467D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第六条 质保期</w:t>
      </w:r>
    </w:p>
    <w:p w14:paraId="566506E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6.1 质保期限</w:t>
      </w:r>
    </w:p>
    <w:p w14:paraId="19F964E7">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质保期为：</w:t>
      </w:r>
      <w:r>
        <w:rPr>
          <w:rFonts w:hint="eastAsia"/>
          <w:b w:val="0"/>
          <w:sz w:val="21"/>
          <w:lang w:val="en-US" w:eastAsia="zh-CN"/>
        </w:rPr>
        <w:t>12</w:t>
      </w:r>
      <w:r>
        <w:rPr>
          <w:rFonts w:ascii="宋体" w:hAnsi="宋体" w:eastAsia="宋体"/>
          <w:b w:val="0"/>
          <w:sz w:val="21"/>
        </w:rPr>
        <w:t>个月；自乙方交货并经甲方验收通过之日起算。</w:t>
      </w:r>
    </w:p>
    <w:p w14:paraId="3B29450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本合同约定质保期的期限与责任低于乙方承诺或国家、行业标准的，以较高要求为准。</w:t>
      </w:r>
    </w:p>
    <w:p w14:paraId="32135FD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6.2 质保责任</w:t>
      </w:r>
    </w:p>
    <w:p w14:paraId="6E2F2CB7">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质保期内，如工作成果出现质量问题不能正常使用，乙方应按甲方要求免费为其更换或修理并承担相应费用。乙方应在收到甲方通知后</w:t>
      </w:r>
      <w:r>
        <w:rPr>
          <w:rFonts w:hint="eastAsia"/>
          <w:b w:val="0"/>
          <w:sz w:val="21"/>
          <w:lang w:val="en-US" w:eastAsia="zh-CN"/>
        </w:rPr>
        <w:t>2</w:t>
      </w:r>
      <w:r>
        <w:rPr>
          <w:rFonts w:ascii="宋体" w:hAnsi="宋体" w:eastAsia="宋体"/>
          <w:b w:val="0"/>
          <w:sz w:val="21"/>
        </w:rPr>
        <w:t>个工作日内响应，</w:t>
      </w:r>
      <w:r>
        <w:rPr>
          <w:rFonts w:hint="eastAsia"/>
          <w:b w:val="0"/>
          <w:sz w:val="21"/>
          <w:lang w:val="en-US" w:eastAsia="zh-CN"/>
        </w:rPr>
        <w:t>5</w:t>
      </w:r>
      <w:r>
        <w:rPr>
          <w:rFonts w:ascii="宋体" w:hAnsi="宋体" w:eastAsia="宋体"/>
          <w:b w:val="0"/>
          <w:sz w:val="21"/>
        </w:rPr>
        <w:t>个工作日内完成更换或修理。</w:t>
      </w:r>
    </w:p>
    <w:p w14:paraId="798C86E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更换或修理后的工作成果，质保期自更换或修理完毕并验收通过之日起重新计算。</w:t>
      </w:r>
    </w:p>
    <w:p w14:paraId="14A7024B">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因同一质量问题经两次修理仍不能正常使用的，甲方有权要求更换或退货，乙方应退还相应货款并承担甲方因此遭受的损失。</w:t>
      </w:r>
    </w:p>
    <w:p w14:paraId="1709623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6.3 免责情形</w:t>
      </w:r>
    </w:p>
    <w:p w14:paraId="5AE1685F">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交货后因甲方使用、保管、维护不当导致工作成果出现的质量问题或不能正常使用，乙方不承担质保责任，但可提供有偿维修服务。</w:t>
      </w:r>
    </w:p>
    <w:p w14:paraId="539866E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因不可抗力、第三方原因或非乙方原因造成的损坏，乙方不承担质保责任。</w:t>
      </w:r>
    </w:p>
    <w:p w14:paraId="6001F18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第七条 留置权</w:t>
      </w:r>
    </w:p>
    <w:p w14:paraId="23878398">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甲方未按合同约定及时支付乙方费用的，乙方有权留置工作成果及甲方提供的原材料，并依法行使留置权。</w:t>
      </w:r>
    </w:p>
    <w:p w14:paraId="05B7571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乙方行使留置权后，应给予甲方不少于六十日的履行期限。甲方逾期仍不履行的，乙方可以与甲方协议以留置财产折价，也可以就拍卖、变卖留置财产所得的价款优先受偿。</w:t>
      </w:r>
    </w:p>
    <w:p w14:paraId="7EB97B5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留置财产折价或者拍卖、变卖后，其价款超过债权数额的部分归甲方所有，不足部分由甲方清偿。</w:t>
      </w:r>
    </w:p>
    <w:p w14:paraId="2A389A97">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留置期间，乙方应妥善保管留置财产，因保管不善致使留置财产毁损、灭失的，乙方应承担赔偿责任。</w:t>
      </w:r>
    </w:p>
    <w:p w14:paraId="13FD101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第八条 知识产权</w:t>
      </w:r>
    </w:p>
    <w:p w14:paraId="01D88BC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8.1 甲方知识产权</w:t>
      </w:r>
    </w:p>
    <w:p w14:paraId="1FC2B08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甲方提交给乙方使用的素材、资料、技术资料、图纸等，其知识产权仍归甲方所有。除为本合同目的而使用之外，乙方不得复制、使用及提供给第三方，不得用于本合同以外的任何目的。</w:t>
      </w:r>
    </w:p>
    <w:p w14:paraId="644739F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乙方应采取合理的保密措施保护甲方的知识产权，防止泄露或被第三方获取。</w:t>
      </w:r>
    </w:p>
    <w:p w14:paraId="7A43529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8.2 乙方知识产权保证</w:t>
      </w:r>
    </w:p>
    <w:p w14:paraId="32E664A9">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保证享有所提供工作成果所需的完整知识产权，并保证甲方及甲方客户在世界范围内使用（包括但不限于单独使用、结合使用、连接使用、嵌入使用、贴附使用、拼拆使用，下合称"使用"）、生产、销售、许诺销售、运输、仓储、进口、出口货物不会侵犯任何第三方知识产权。</w:t>
      </w:r>
    </w:p>
    <w:p w14:paraId="4BDA530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如因乙方提供的工作成果侵犯第三方知识产权导致甲方被索赔或涉诉，乙方应承担全部责任，包括但不限于赔偿甲方因此遭受的全部损失、支付的赔偿金、律师费、诉讼费等，并为甲方提供抗辩。</w:t>
      </w:r>
    </w:p>
    <w:p w14:paraId="63CCAAD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但是乙方不对甲方所提供的技术资料、甲方原材料中的知识产权承担保证责任。</w:t>
      </w:r>
    </w:p>
    <w:p w14:paraId="2EE6E48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8.3 工作成果知识产权归属</w:t>
      </w:r>
    </w:p>
    <w:p w14:paraId="3EF53B6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除本合同约定的授权使用以外，本合同的签订与履行不代表知识产权的转让及许可。</w:t>
      </w:r>
    </w:p>
    <w:p w14:paraId="6A042F0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如工作成果涉及乙方拥有的专利、技术秘密等知识产权，甲方仅享有为本合同目的使用的权利，不得擅自复制、传播或向第三方许可。</w:t>
      </w:r>
    </w:p>
    <w:p w14:paraId="6548777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因履行本合同产生的新技术成果的知识产权归属，双方另行约定。</w:t>
      </w:r>
    </w:p>
    <w:p w14:paraId="672052B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第九条 保密</w:t>
      </w:r>
    </w:p>
    <w:p w14:paraId="14E8348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9.1 保密义务</w:t>
      </w:r>
    </w:p>
    <w:p w14:paraId="61220D0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保证对在讨论、签订、履行本合同过程中所获悉的属于甲方及甲方关联方的且无法自公开渠道获取的文件及资料（包括但不限于商业秘密、公司计划、运营活动、财务信息、技术信息、经营信息及其他商业秘密）予以保密。</w:t>
      </w:r>
    </w:p>
    <w:p w14:paraId="7D80283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未经甲方书面同意，乙方不得超出本合同约定的目的和范围使用该商业秘密，不得向任何第三方泄露该商业秘密的全部或部分内容。</w:t>
      </w:r>
    </w:p>
    <w:p w14:paraId="302D345D">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乙方应采取与保护自身商业秘密同等的保密措施保护甲方的保密信息。乙方的保密义务同样适用于其员工、代理人和分包商，乙方应对其员工、代理人和分包商的违反保密义务的行为承担连带责任。</w:t>
      </w:r>
    </w:p>
    <w:p w14:paraId="4218198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9.2 保密期限</w:t>
      </w:r>
    </w:p>
    <w:p w14:paraId="5A631A2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上述保密义务，在本合同终止或解除之后仍需履行，直至保密信息成为公开信息或甲方书面解除保密义务为止。</w:t>
      </w:r>
    </w:p>
    <w:p w14:paraId="6B17F54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9.3 例外情形</w:t>
      </w:r>
    </w:p>
    <w:p w14:paraId="6CDB460B">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本合同关于对保密信息的保护不适用于以下情形：</w:t>
      </w:r>
    </w:p>
    <w:p w14:paraId="288208E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（1）保密信息在披露给接收方之前，已经公开或能从公开领域获得；</w:t>
      </w:r>
    </w:p>
    <w:p w14:paraId="0E6A52E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（2）在本合同约定的保密义务未被违反的前提下，保密信息已经公开或能从公开领域获得；</w:t>
      </w:r>
    </w:p>
    <w:p w14:paraId="4C1489F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3）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14:paraId="53C0902D">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（4）接收方有证据证明其在披露方披露之前已经合法持有该保密信息，且无保密义务限制的。</w:t>
      </w:r>
    </w:p>
    <w:p w14:paraId="44340CF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9.4 宣传限制</w:t>
      </w:r>
    </w:p>
    <w:p w14:paraId="46FCAB3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乙方有权将本合同约定的项目及甲方作为乙方客户及服务示例进行适当宣传，但不得泄露甲方保密信息，且应事先取得甲方书面同意。</w:t>
      </w:r>
    </w:p>
    <w:p w14:paraId="361525C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第十条 双方关系</w:t>
      </w:r>
    </w:p>
    <w:p w14:paraId="0DD606B0">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10.1</w:t>
      </w:r>
      <w:r>
        <w:rPr>
          <w:rFonts w:ascii="宋体" w:hAnsi="宋体" w:eastAsia="宋体"/>
          <w:b w:val="0"/>
          <w:sz w:val="21"/>
        </w:rPr>
        <w:t>甲方与乙方服务人员之间不成立雇佣、劳务派遣或其他法律关系；乙方应依法自行向乙方服务人员承担用人单位的义务，包括但不限于支付工资、缴纳社会保险、提供劳动保护等。</w:t>
      </w:r>
    </w:p>
    <w:p w14:paraId="56A0513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如乙方服务人员向甲方索赔或追究其他责任，甲方有权向乙方追偿。</w:t>
      </w:r>
    </w:p>
    <w:p w14:paraId="2CEE53C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10.</w:t>
      </w:r>
      <w:r>
        <w:rPr>
          <w:rFonts w:hint="eastAsia" w:ascii="黑体" w:hAnsi="黑体" w:eastAsia="黑体"/>
          <w:b/>
          <w:sz w:val="24"/>
          <w:lang w:val="en-US" w:eastAsia="zh-CN"/>
        </w:rPr>
        <w:t>2</w:t>
      </w:r>
      <w:r>
        <w:rPr>
          <w:rFonts w:ascii="宋体" w:hAnsi="宋体" w:eastAsia="宋体"/>
          <w:b w:val="0"/>
          <w:sz w:val="21"/>
        </w:rPr>
        <w:t>乙方及乙方服务人员在服务过程中如出现人身、财产损害或造成第三方损害，应由乙方自行承担责任。但因甲方原因造成的除外。</w:t>
      </w:r>
    </w:p>
    <w:p w14:paraId="4A05D0E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乙方应遵守安全生产相关法律法规，建立健全安全生产制度，确保加工过程安全。</w:t>
      </w:r>
    </w:p>
    <w:p w14:paraId="0118CFC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第十一条 合同解除</w:t>
      </w:r>
    </w:p>
    <w:p w14:paraId="3B71554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11.1 </w:t>
      </w:r>
      <w:r>
        <w:rPr>
          <w:rFonts w:ascii="宋体" w:hAnsi="宋体" w:eastAsia="宋体"/>
          <w:b w:val="0"/>
          <w:sz w:val="21"/>
        </w:rPr>
        <w:t>双方协商一致可解除本合同。</w:t>
      </w:r>
    </w:p>
    <w:p w14:paraId="376C4657">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11.2 </w:t>
      </w:r>
      <w:r>
        <w:rPr>
          <w:rFonts w:ascii="宋体" w:hAnsi="宋体" w:eastAsia="宋体"/>
          <w:b w:val="0"/>
          <w:sz w:val="21"/>
        </w:rPr>
        <w:t>甲方在乙方完成工作前可以随时解除合同。甲方解除合同的，应赔偿乙方因此遭受的损失，包括但不限于乙方已完成工作的报酬、已投入的材料成本、设备闲置损失等。</w:t>
      </w:r>
    </w:p>
    <w:p w14:paraId="21CD5D7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11.</w:t>
      </w:r>
      <w:r>
        <w:rPr>
          <w:rFonts w:hint="eastAsia" w:ascii="黑体" w:hAnsi="黑体" w:eastAsia="黑体"/>
          <w:b/>
          <w:sz w:val="24"/>
          <w:lang w:val="en-US" w:eastAsia="zh-CN"/>
        </w:rPr>
        <w:t>3</w:t>
      </w:r>
      <w:r>
        <w:rPr>
          <w:rFonts w:ascii="黑体" w:hAnsi="黑体" w:eastAsia="黑体"/>
          <w:b/>
          <w:sz w:val="24"/>
        </w:rPr>
        <w:t xml:space="preserve"> 解除的后果</w:t>
      </w:r>
    </w:p>
    <w:p w14:paraId="1155269C">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合同解除后，尚未履行的，终止履行；已经履行的，根据履行情况和合同性质，当事人可以请求恢复原状或者采取其他补救措施，并有权请求赔偿损失。</w:t>
      </w:r>
    </w:p>
    <w:p w14:paraId="19C86C3E">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合同因违约解除的，解除权人可以请求违约方承担违约责任。</w:t>
      </w:r>
    </w:p>
    <w:p w14:paraId="64F4E11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第十二条 违约责任</w:t>
      </w:r>
    </w:p>
    <w:p w14:paraId="127643B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12.1 甲方逾期付款</w:t>
      </w:r>
    </w:p>
    <w:p w14:paraId="26ECB71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甲方逾期付款的，每逾期一天，应按逾期金额的万分之五向乙方支付违约金，同时仍应履行付款义务。</w:t>
      </w:r>
    </w:p>
    <w:p w14:paraId="26E0D260">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逾期超过15日的，乙方有权解除本合同，并要求甲方承担违约责任。</w:t>
      </w:r>
    </w:p>
    <w:p w14:paraId="0EB8FEDE">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12.2 乙方逾期交货</w:t>
      </w:r>
    </w:p>
    <w:p w14:paraId="2C4C26F9">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乙方逾期交货的，每逾期一天，应按相应货款金额的万分之五向甲方支付违约金，同时仍应履行交货义务。</w:t>
      </w:r>
    </w:p>
    <w:p w14:paraId="640FAC42">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逾期超过15天的，甲方有权解除本合同，并要求乙方承担违约责任。</w:t>
      </w:r>
    </w:p>
    <w:p w14:paraId="15ACFAE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12.3 质量违约</w:t>
      </w:r>
    </w:p>
    <w:p w14:paraId="711C9B77">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乙方交付的工作成果质量不符合约定的，甲方有权要求乙方承担修理、更换、重作、退货、减少价款等违约责任。</w:t>
      </w:r>
    </w:p>
    <w:p w14:paraId="4DA6EA29">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因质量问题给甲方造成损失的，乙方应赔偿甲方全部损失，包括但不限于直接损失、可得利益损失、甲方支付给第三方的赔偿费用/违约金/罚款、调查取证费用/公证费/诉讼费用/律师费用以及因此而支付的其他合理费用。</w:t>
      </w:r>
    </w:p>
    <w:p w14:paraId="0050DFB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12.4 违约解除的责任</w:t>
      </w:r>
    </w:p>
    <w:p w14:paraId="06FBC139">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违约导致解除合同的，</w:t>
      </w:r>
      <w:r>
        <w:rPr>
          <w:rFonts w:hint="eastAsia"/>
          <w:b w:val="0"/>
          <w:sz w:val="21"/>
          <w:lang w:val="en-US" w:eastAsia="zh-CN"/>
        </w:rPr>
        <w:t>违约方</w:t>
      </w:r>
      <w:r>
        <w:rPr>
          <w:rFonts w:ascii="宋体" w:hAnsi="宋体" w:eastAsia="宋体"/>
          <w:b w:val="0"/>
          <w:sz w:val="21"/>
        </w:rPr>
        <w:t>应同时向</w:t>
      </w:r>
      <w:r>
        <w:rPr>
          <w:rFonts w:hint="eastAsia"/>
          <w:b w:val="0"/>
          <w:sz w:val="21"/>
          <w:lang w:val="en-US" w:eastAsia="zh-CN"/>
        </w:rPr>
        <w:t>守约方</w:t>
      </w:r>
      <w:r>
        <w:rPr>
          <w:rFonts w:ascii="宋体" w:hAnsi="宋体" w:eastAsia="宋体"/>
          <w:b w:val="0"/>
          <w:sz w:val="21"/>
        </w:rPr>
        <w:t>承担如下责任：</w:t>
      </w:r>
    </w:p>
    <w:p w14:paraId="71398234">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（1）退还</w:t>
      </w:r>
      <w:r>
        <w:rPr>
          <w:rFonts w:hint="eastAsia"/>
          <w:b w:val="0"/>
          <w:sz w:val="21"/>
          <w:lang w:val="en-US" w:eastAsia="zh-CN"/>
        </w:rPr>
        <w:t>已</w:t>
      </w:r>
      <w:r>
        <w:rPr>
          <w:rFonts w:ascii="宋体" w:hAnsi="宋体" w:eastAsia="宋体"/>
          <w:b w:val="0"/>
          <w:sz w:val="21"/>
        </w:rPr>
        <w:t>支付的全部款项和交付的原料</w:t>
      </w:r>
      <w:r>
        <w:rPr>
          <w:rFonts w:hint="eastAsia"/>
          <w:b w:val="0"/>
          <w:sz w:val="21"/>
          <w:lang w:val="en-US" w:eastAsia="zh-CN"/>
        </w:rPr>
        <w:t>或退还</w:t>
      </w:r>
      <w:r>
        <w:rPr>
          <w:rFonts w:ascii="宋体" w:hAnsi="宋体" w:eastAsia="宋体"/>
          <w:b w:val="0"/>
          <w:sz w:val="21"/>
        </w:rPr>
        <w:t>交付的全部货物、设备与材料（如已交付）；</w:t>
      </w:r>
    </w:p>
    <w:p w14:paraId="1BC861B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（2）按合同价款的20%支付违约金。违约金不足以赔偿损失的，</w:t>
      </w:r>
      <w:r>
        <w:rPr>
          <w:rFonts w:hint="eastAsia"/>
          <w:b w:val="0"/>
          <w:sz w:val="21"/>
          <w:lang w:val="en-US" w:eastAsia="zh-CN"/>
        </w:rPr>
        <w:t>违约方</w:t>
      </w:r>
      <w:r>
        <w:rPr>
          <w:rFonts w:ascii="宋体" w:hAnsi="宋体" w:eastAsia="宋体"/>
          <w:b w:val="0"/>
          <w:sz w:val="21"/>
        </w:rPr>
        <w:t>还应赔偿全部损失。</w:t>
      </w:r>
    </w:p>
    <w:p w14:paraId="24416BB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任何一方有其他违反本合同情形的，应赔偿守约方全部损失，该损失包括但不限于对守约方所造成的直接损失、可得利益损失、守约方支付给第三方的赔偿费用/违约金/罚款、调查取证费用/公证费/诉讼费用/律师费用以及因此而支付的其他合理费用。</w:t>
      </w:r>
    </w:p>
    <w:p w14:paraId="036AA6D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第十三条 不可抗力</w:t>
      </w:r>
    </w:p>
    <w:p w14:paraId="0969257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13.1 </w:t>
      </w:r>
      <w:r>
        <w:rPr>
          <w:rFonts w:ascii="宋体" w:hAnsi="宋体" w:eastAsia="宋体"/>
          <w:b w:val="0"/>
          <w:sz w:val="21"/>
        </w:rPr>
        <w:t>当事人一方因不可抗力不能履行合同的，应当及时通知对方，以减轻可能给对方造成的损失，并应当在合理期限内提供证明。未及时通知导致对方损失扩大的，应就扩大部分承担赔偿责任。</w:t>
      </w:r>
    </w:p>
    <w:p w14:paraId="692CBF2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13.</w:t>
      </w:r>
      <w:r>
        <w:rPr>
          <w:rFonts w:hint="eastAsia" w:ascii="黑体" w:hAnsi="黑体" w:eastAsia="黑体"/>
          <w:b/>
          <w:sz w:val="24"/>
          <w:lang w:val="en-US" w:eastAsia="zh-CN"/>
        </w:rPr>
        <w:t>2</w:t>
      </w:r>
      <w:r>
        <w:rPr>
          <w:rFonts w:ascii="黑体" w:hAnsi="黑体" w:eastAsia="黑体"/>
          <w:b/>
          <w:sz w:val="24"/>
        </w:rPr>
        <w:t xml:space="preserve"> </w:t>
      </w:r>
      <w:r>
        <w:rPr>
          <w:rFonts w:ascii="宋体" w:hAnsi="宋体" w:eastAsia="宋体"/>
          <w:b w:val="0"/>
          <w:sz w:val="21"/>
        </w:rPr>
        <w:t>因不可抗力致使不能实现合同目的的，当事人可以解除合同。因不可抗力不能履行合同的，根据不可抗力的影响，部分或者全部免除责任，但法律另有规定的除外。当事人迟延履行后发生不可抗力的，不免除其违约责任。</w:t>
      </w:r>
    </w:p>
    <w:p w14:paraId="1B5CA391">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不可抗力导致合同履行迟延的，履行期限相应顺延。</w:t>
      </w:r>
    </w:p>
    <w:p w14:paraId="56DD98C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第十四条 反商业贿赂</w:t>
      </w:r>
    </w:p>
    <w:p w14:paraId="7049C74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各方均不得向对方或对方经办人、工作人员或其他相关人员索要、收受、提供、给予合同约定外的任何利益，包括但不限于明扣、暗扣、现金、购物卡、实物、有价证券、旅游或其他非物质性利益等，否则构成重大违约。如该等利益属于行业惯例或通常做法，则须在本合同中明示，否则亦为重大违约。</w:t>
      </w:r>
    </w:p>
    <w:p w14:paraId="6AC6C8F7">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任何一方违反本条约定的，守约方有权解除合同，并要求违约方按合同价款的 %支付违约金。违约金不足以弥补损失的，违约方还应赔偿全部损失。</w:t>
      </w:r>
    </w:p>
    <w:p w14:paraId="481EFE9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第十五条 合同联系方式</w:t>
      </w:r>
    </w:p>
    <w:p w14:paraId="26660A5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15.1 甲方项目联系人</w:t>
      </w:r>
    </w:p>
    <w:p w14:paraId="2DF80806">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甲方确认如下项目联系信息：</w:t>
      </w:r>
    </w:p>
    <w:p w14:paraId="2F86872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联系人： </w:t>
      </w:r>
    </w:p>
    <w:p w14:paraId="2C7A66A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地址： </w:t>
      </w:r>
    </w:p>
    <w:p w14:paraId="0672713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手机： </w:t>
      </w:r>
    </w:p>
    <w:p w14:paraId="480A326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微信： </w:t>
      </w:r>
    </w:p>
    <w:p w14:paraId="365339B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电子邮箱： </w:t>
      </w:r>
    </w:p>
    <w:p w14:paraId="442F04B5">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甲方确认，甲方项目联系人的权限仅限于下列：</w:t>
      </w:r>
    </w:p>
    <w:p w14:paraId="6F8C31A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（1）代表甲方提交、接受项目有关资料、文档、工作成果；</w:t>
      </w:r>
    </w:p>
    <w:p w14:paraId="58F0390D">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（2）代表甲方对服务提出意见；</w:t>
      </w:r>
    </w:p>
    <w:p w14:paraId="53309F5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（3）代表甲方验收乙方提供的工作成果与服务。</w:t>
      </w:r>
    </w:p>
    <w:p w14:paraId="12C7C564">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甲方变更项目联系人的，应提前3个工作日书面通知乙方。</w:t>
      </w:r>
    </w:p>
    <w:p w14:paraId="37249BB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15.2 乙方项目联系人</w:t>
      </w:r>
    </w:p>
    <w:p w14:paraId="374397D3">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乙方确认如下项目联系信息：</w:t>
      </w:r>
    </w:p>
    <w:p w14:paraId="5B85845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联系人： </w:t>
      </w:r>
    </w:p>
    <w:p w14:paraId="3909D89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地址： </w:t>
      </w:r>
    </w:p>
    <w:p w14:paraId="501ED0A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手机： </w:t>
      </w:r>
    </w:p>
    <w:p w14:paraId="254C909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微信： </w:t>
      </w:r>
    </w:p>
    <w:p w14:paraId="5D1D2D8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电子邮箱： </w:t>
      </w:r>
    </w:p>
    <w:p w14:paraId="1C4F2EC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乙方确认，乙方项目联系人的权限仅限于下列：</w:t>
      </w:r>
    </w:p>
    <w:p w14:paraId="1ED314C0">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（1）代表乙方提交、接受项目有关资料、文档、工作成果；</w:t>
      </w:r>
    </w:p>
    <w:p w14:paraId="4851B09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（2）代表乙方对服务进行沟通、提出意见。</w:t>
      </w:r>
    </w:p>
    <w:p w14:paraId="1F4E779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乙方变更项目联系人的，应提前3个工作日书面通知甲方。</w:t>
      </w:r>
    </w:p>
    <w:p w14:paraId="118BB73E">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15.3 通知与送达</w:t>
      </w:r>
    </w:p>
    <w:p w14:paraId="0E5DEC9A">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除非双方另有约定，合同双方可通过指定电子邮箱提供资料、文档、工作成果电子版。</w:t>
      </w:r>
    </w:p>
    <w:p w14:paraId="7037896E">
      <w:pPr>
        <w:keepNext w:val="0"/>
        <w:keepLines w:val="0"/>
        <w:pageBreakBefore w:val="0"/>
        <w:widowControl/>
        <w:kinsoku/>
        <w:wordWrap/>
        <w:overflowPunct/>
        <w:topLinePunct w:val="0"/>
        <w:autoSpaceDE/>
        <w:autoSpaceDN/>
        <w:bidi w:val="0"/>
        <w:adjustRightInd w:val="0"/>
        <w:snapToGrid w:val="0"/>
        <w:spacing w:after="0" w:line="360" w:lineRule="auto"/>
        <w:ind w:firstLine="420"/>
        <w:textAlignment w:val="auto"/>
      </w:pPr>
      <w:r>
        <w:rPr>
          <w:rFonts w:ascii="宋体" w:hAnsi="宋体" w:eastAsia="宋体"/>
          <w:b w:val="0"/>
          <w:sz w:val="21"/>
        </w:rPr>
        <w:t>双方确认上述联系方式同时作为有效司法送达地址。任何一方变更送达地址的，应及时书面通知对方；未及时通知导致文书无法送达的，视为已送达。</w:t>
      </w:r>
    </w:p>
    <w:p w14:paraId="54D8EE8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通知的送达时间：</w:t>
      </w:r>
    </w:p>
    <w:p w14:paraId="309C883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（1）专人送达的，以签收之日为送达日；</w:t>
      </w:r>
    </w:p>
    <w:p w14:paraId="7BC20CD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（2）邮寄送达的，以邮件寄出后第3日为送达日；</w:t>
      </w:r>
    </w:p>
    <w:p w14:paraId="7A08051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（3）电子邮件送达的，以邮件发出之日为送达日。</w:t>
      </w:r>
    </w:p>
    <w:p w14:paraId="2A3D8CF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第十六条 争议解决</w:t>
      </w:r>
    </w:p>
    <w:p w14:paraId="225378E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因本合同引起或有关的任何争议，由合同各方协商解决</w:t>
      </w:r>
      <w:r>
        <w:rPr>
          <w:rFonts w:hint="eastAsia"/>
          <w:b w:val="0"/>
          <w:sz w:val="21"/>
          <w:lang w:eastAsia="zh-CN"/>
        </w:rPr>
        <w:t>。</w:t>
      </w:r>
      <w:r>
        <w:rPr>
          <w:rFonts w:ascii="宋体" w:hAnsi="宋体" w:eastAsia="宋体"/>
          <w:b w:val="0"/>
          <w:sz w:val="21"/>
        </w:rPr>
        <w:t>协商或调解不成的，</w:t>
      </w:r>
      <w:r>
        <w:rPr>
          <w:rFonts w:hint="eastAsia"/>
          <w:b w:val="0"/>
          <w:sz w:val="21"/>
          <w:lang w:val="en-US" w:eastAsia="zh-CN"/>
        </w:rPr>
        <w:t>任何乙方可</w:t>
      </w:r>
      <w:r>
        <w:rPr>
          <w:rFonts w:ascii="宋体" w:hAnsi="宋体" w:eastAsia="宋体"/>
          <w:b w:val="0"/>
          <w:sz w:val="21"/>
        </w:rPr>
        <w:t>向甲方住所地有管辖权的人民法院起诉；</w:t>
      </w:r>
    </w:p>
    <w:p w14:paraId="5AB6123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第十七条 附则</w:t>
      </w:r>
    </w:p>
    <w:p w14:paraId="25E932D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17.1 </w:t>
      </w:r>
      <w:r>
        <w:rPr>
          <w:rFonts w:ascii="宋体" w:hAnsi="宋体" w:eastAsia="宋体"/>
          <w:b w:val="0"/>
          <w:sz w:val="21"/>
        </w:rPr>
        <w:t>本合同一式二份，合同各方各执一份。各份合同文本具有同等法律效力。</w:t>
      </w:r>
    </w:p>
    <w:p w14:paraId="24856127">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17.2 </w:t>
      </w:r>
      <w:r>
        <w:rPr>
          <w:rFonts w:ascii="宋体" w:hAnsi="宋体" w:eastAsia="宋体"/>
          <w:b w:val="0"/>
          <w:sz w:val="21"/>
        </w:rPr>
        <w:t>本合同未尽事宜，双方应另行协商并签订补充协议。补充协议与本合同具有同等法律效力。</w:t>
      </w:r>
    </w:p>
    <w:p w14:paraId="021881A7">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17.3 </w:t>
      </w:r>
      <w:r>
        <w:rPr>
          <w:rFonts w:ascii="宋体" w:hAnsi="宋体" w:eastAsia="宋体"/>
          <w:b w:val="0"/>
          <w:sz w:val="21"/>
        </w:rPr>
        <w:t>本合同包含如下附件：承揽方案确认书上述附件是本合同的一部分，具有与本合同同等的法律效力。</w:t>
      </w:r>
    </w:p>
    <w:p w14:paraId="429C3B5E">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4"/>
        </w:rPr>
        <w:t xml:space="preserve">17.4 </w:t>
      </w:r>
      <w:r>
        <w:rPr>
          <w:rFonts w:ascii="宋体" w:hAnsi="宋体" w:eastAsia="宋体"/>
          <w:b w:val="0"/>
          <w:sz w:val="21"/>
        </w:rPr>
        <w:t>本合同经各方法定代表人或授权代表签字并加盖公章后生效。</w:t>
      </w:r>
    </w:p>
    <w:p w14:paraId="3D39B131">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宋体" w:hAnsi="宋体" w:eastAsia="宋体"/>
          <w:b w:val="0"/>
          <w:sz w:val="21"/>
        </w:rPr>
        <w:t>（以下无合同正文）</w:t>
      </w:r>
    </w:p>
    <w:p w14:paraId="65F8945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签署时间： 年 月 日</w:t>
      </w:r>
    </w:p>
    <w:tbl>
      <w:tblPr>
        <w:tblStyle w:val="32"/>
        <w:tblW w:w="0" w:type="auto"/>
        <w:jc w:val="center"/>
        <w:tblLayout w:type="autofit"/>
        <w:tblCellMar>
          <w:top w:w="0" w:type="dxa"/>
          <w:left w:w="108" w:type="dxa"/>
          <w:bottom w:w="0" w:type="dxa"/>
          <w:right w:w="108" w:type="dxa"/>
        </w:tblCellMar>
      </w:tblPr>
      <w:tblGrid>
        <w:gridCol w:w="4703"/>
        <w:gridCol w:w="4703"/>
      </w:tblGrid>
      <w:tr w14:paraId="5B096D40">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6742318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sz w:val="21"/>
              </w:rPr>
              <w:t>甲方（盖章）：</w:t>
            </w:r>
          </w:p>
        </w:tc>
        <w:tc>
          <w:tcPr>
            <w:tcW w:w="4703" w:type="dxa"/>
            <w:tcBorders>
              <w:top w:val="nil"/>
              <w:left w:val="nil"/>
              <w:bottom w:val="nil"/>
              <w:right w:val="nil"/>
            </w:tcBorders>
          </w:tcPr>
          <w:p w14:paraId="787DCF18">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sz w:val="21"/>
              </w:rPr>
              <w:t>乙方（盖章）：</w:t>
            </w:r>
          </w:p>
        </w:tc>
      </w:tr>
      <w:tr w14:paraId="43D03E22">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5F881C42">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c>
          <w:tcPr>
            <w:tcW w:w="4703" w:type="dxa"/>
            <w:tcBorders>
              <w:top w:val="nil"/>
              <w:left w:val="nil"/>
              <w:bottom w:val="nil"/>
              <w:right w:val="nil"/>
            </w:tcBorders>
          </w:tcPr>
          <w:p w14:paraId="0529D5F6">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r>
      <w:tr w14:paraId="6BE3A40E">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2E94C01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sz w:val="21"/>
              </w:rPr>
              <w:t>法定代表人或授权代表：</w:t>
            </w:r>
          </w:p>
        </w:tc>
        <w:tc>
          <w:tcPr>
            <w:tcW w:w="4703" w:type="dxa"/>
            <w:tcBorders>
              <w:top w:val="nil"/>
              <w:left w:val="nil"/>
              <w:bottom w:val="nil"/>
              <w:right w:val="nil"/>
            </w:tcBorders>
          </w:tcPr>
          <w:p w14:paraId="43CECC7A">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sz w:val="21"/>
              </w:rPr>
              <w:t>法定代表人或授权代表：</w:t>
            </w:r>
          </w:p>
        </w:tc>
      </w:tr>
      <w:tr w14:paraId="4B0ED342">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1FB46F76">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c>
          <w:tcPr>
            <w:tcW w:w="4703" w:type="dxa"/>
            <w:tcBorders>
              <w:top w:val="nil"/>
              <w:left w:val="nil"/>
              <w:bottom w:val="nil"/>
              <w:right w:val="nil"/>
            </w:tcBorders>
          </w:tcPr>
          <w:p w14:paraId="6A1597AA">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r>
      <w:tr w14:paraId="7453484B">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47BE0326">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c>
          <w:tcPr>
            <w:tcW w:w="4703" w:type="dxa"/>
            <w:tcBorders>
              <w:top w:val="nil"/>
              <w:left w:val="nil"/>
              <w:bottom w:val="nil"/>
              <w:right w:val="nil"/>
            </w:tcBorders>
          </w:tcPr>
          <w:p w14:paraId="46EBA363">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r>
      <w:tr w14:paraId="32723DB0">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0E28E15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sz w:val="21"/>
              </w:rPr>
              <w:t>签字：</w:t>
            </w:r>
          </w:p>
        </w:tc>
        <w:tc>
          <w:tcPr>
            <w:tcW w:w="4703" w:type="dxa"/>
            <w:tcBorders>
              <w:top w:val="nil"/>
              <w:left w:val="nil"/>
              <w:bottom w:val="nil"/>
              <w:right w:val="nil"/>
            </w:tcBorders>
          </w:tcPr>
          <w:p w14:paraId="3BB4C43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sz w:val="21"/>
              </w:rPr>
              <w:t>签字：</w:t>
            </w:r>
          </w:p>
        </w:tc>
      </w:tr>
    </w:tbl>
    <w:p w14:paraId="5892FC7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br w:type="page"/>
      </w:r>
    </w:p>
    <w:p w14:paraId="724FB8DB">
      <w:pPr>
        <w:keepNext w:val="0"/>
        <w:keepLines w:val="0"/>
        <w:pageBreakBefore w:val="0"/>
        <w:widowControl/>
        <w:kinsoku/>
        <w:wordWrap/>
        <w:overflowPunct/>
        <w:topLinePunct w:val="0"/>
        <w:autoSpaceDE/>
        <w:autoSpaceDN/>
        <w:bidi w:val="0"/>
        <w:adjustRightInd w:val="0"/>
        <w:snapToGrid w:val="0"/>
        <w:spacing w:after="0" w:line="360" w:lineRule="auto"/>
        <w:jc w:val="center"/>
        <w:textAlignment w:val="auto"/>
      </w:pPr>
      <w:r>
        <w:rPr>
          <w:rFonts w:ascii="黑体" w:hAnsi="黑体" w:eastAsia="黑体"/>
          <w:b/>
          <w:sz w:val="44"/>
        </w:rPr>
        <w:t>附件：定作方案确认书</w:t>
      </w:r>
    </w:p>
    <w:p w14:paraId="5B35D0EC">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47A165B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项目名称： </w:t>
      </w:r>
    </w:p>
    <w:p w14:paraId="7F1ADB58">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44FADF1C">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一、定作加工要求</w:t>
      </w:r>
    </w:p>
    <w:p w14:paraId="79EEB031">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107DB1A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二、技术要求</w:t>
      </w:r>
    </w:p>
    <w:p w14:paraId="0B97F901">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 </w:t>
      </w:r>
    </w:p>
    <w:p w14:paraId="75F8382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三、期限要求</w:t>
      </w:r>
    </w:p>
    <w:p w14:paraId="57C35DB5">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1. 加工方案确认： </w:t>
      </w:r>
    </w:p>
    <w:p w14:paraId="326A786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 xml:space="preserve">2. 交付： </w:t>
      </w:r>
    </w:p>
    <w:p w14:paraId="5D1CF539">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四、质保期</w:t>
      </w:r>
    </w:p>
    <w:p w14:paraId="6D40F75F">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货物交付</w:t>
      </w:r>
      <w:r>
        <w:rPr>
          <w:rFonts w:hint="eastAsia"/>
          <w:b w:val="0"/>
          <w:sz w:val="21"/>
          <w:lang w:val="en-US" w:eastAsia="zh-CN"/>
        </w:rPr>
        <w:t>并经甲方验收合格</w:t>
      </w:r>
      <w:r>
        <w:rPr>
          <w:rFonts w:ascii="宋体" w:hAnsi="宋体" w:eastAsia="宋体"/>
          <w:b w:val="0"/>
          <w:sz w:val="21"/>
        </w:rPr>
        <w:t>后</w:t>
      </w:r>
      <w:r>
        <w:rPr>
          <w:rFonts w:hint="eastAsia"/>
          <w:b w:val="0"/>
          <w:sz w:val="21"/>
          <w:lang w:val="en-US" w:eastAsia="zh-CN"/>
        </w:rPr>
        <w:t>12</w:t>
      </w:r>
      <w:r>
        <w:rPr>
          <w:rFonts w:ascii="宋体" w:hAnsi="宋体" w:eastAsia="宋体"/>
          <w:b w:val="0"/>
          <w:sz w:val="21"/>
        </w:rPr>
        <w:t>个月。</w:t>
      </w:r>
    </w:p>
    <w:p w14:paraId="0F5A3083">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黑体" w:hAnsi="黑体" w:eastAsia="黑体"/>
          <w:b/>
          <w:sz w:val="28"/>
        </w:rPr>
        <w:t>五、其他需求</w:t>
      </w:r>
    </w:p>
    <w:p w14:paraId="056E7B50">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p w14:paraId="2B79B6C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双方同意按上述方案提供服务。</w:t>
      </w:r>
    </w:p>
    <w:p w14:paraId="1F25BDC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val="0"/>
          <w:sz w:val="21"/>
        </w:rPr>
        <w:t>时间： 年 月 日</w:t>
      </w:r>
    </w:p>
    <w:tbl>
      <w:tblPr>
        <w:tblStyle w:val="32"/>
        <w:tblW w:w="0" w:type="auto"/>
        <w:jc w:val="center"/>
        <w:tblLayout w:type="autofit"/>
        <w:tblCellMar>
          <w:top w:w="0" w:type="dxa"/>
          <w:left w:w="108" w:type="dxa"/>
          <w:bottom w:w="0" w:type="dxa"/>
          <w:right w:w="108" w:type="dxa"/>
        </w:tblCellMar>
      </w:tblPr>
      <w:tblGrid>
        <w:gridCol w:w="4703"/>
        <w:gridCol w:w="4703"/>
      </w:tblGrid>
      <w:tr w14:paraId="64768A60">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26FEC9F6">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sz w:val="21"/>
              </w:rPr>
              <w:t>甲方（委托方）确认：</w:t>
            </w:r>
          </w:p>
        </w:tc>
        <w:tc>
          <w:tcPr>
            <w:tcW w:w="4703" w:type="dxa"/>
            <w:tcBorders>
              <w:top w:val="nil"/>
              <w:left w:val="nil"/>
              <w:bottom w:val="nil"/>
              <w:right w:val="nil"/>
            </w:tcBorders>
          </w:tcPr>
          <w:p w14:paraId="05B7B4AB">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b/>
                <w:sz w:val="21"/>
              </w:rPr>
              <w:t>乙方（承揽方）确认：</w:t>
            </w:r>
          </w:p>
        </w:tc>
      </w:tr>
      <w:tr w14:paraId="533558BC">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69CA34B5">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c>
          <w:tcPr>
            <w:tcW w:w="4703" w:type="dxa"/>
            <w:tcBorders>
              <w:top w:val="nil"/>
              <w:left w:val="nil"/>
              <w:bottom w:val="nil"/>
              <w:right w:val="nil"/>
            </w:tcBorders>
          </w:tcPr>
          <w:p w14:paraId="6E3A3FB5">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r>
      <w:tr w14:paraId="51D8410C">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4E0C761B">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c>
          <w:tcPr>
            <w:tcW w:w="4703" w:type="dxa"/>
            <w:tcBorders>
              <w:top w:val="nil"/>
              <w:left w:val="nil"/>
              <w:bottom w:val="nil"/>
              <w:right w:val="nil"/>
            </w:tcBorders>
          </w:tcPr>
          <w:p w14:paraId="12B9F6B9">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tc>
      </w:tr>
      <w:tr w14:paraId="06D3D3EC">
        <w:tblPrEx>
          <w:tblCellMar>
            <w:top w:w="0" w:type="dxa"/>
            <w:left w:w="108" w:type="dxa"/>
            <w:bottom w:w="0" w:type="dxa"/>
            <w:right w:w="108" w:type="dxa"/>
          </w:tblCellMar>
        </w:tblPrEx>
        <w:trPr>
          <w:jc w:val="center"/>
        </w:trPr>
        <w:tc>
          <w:tcPr>
            <w:tcW w:w="4703" w:type="dxa"/>
            <w:tcBorders>
              <w:top w:val="nil"/>
              <w:left w:val="nil"/>
              <w:bottom w:val="nil"/>
              <w:right w:val="nil"/>
            </w:tcBorders>
          </w:tcPr>
          <w:p w14:paraId="0C901142">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sz w:val="21"/>
              </w:rPr>
              <w:t>签字（盖章）：</w:t>
            </w:r>
          </w:p>
        </w:tc>
        <w:tc>
          <w:tcPr>
            <w:tcW w:w="4703" w:type="dxa"/>
            <w:tcBorders>
              <w:top w:val="nil"/>
              <w:left w:val="nil"/>
              <w:bottom w:val="nil"/>
              <w:right w:val="nil"/>
            </w:tcBorders>
          </w:tcPr>
          <w:p w14:paraId="4A1CB37E">
            <w:pPr>
              <w:keepNext w:val="0"/>
              <w:keepLines w:val="0"/>
              <w:pageBreakBefore w:val="0"/>
              <w:widowControl/>
              <w:kinsoku/>
              <w:wordWrap/>
              <w:overflowPunct/>
              <w:topLinePunct w:val="0"/>
              <w:autoSpaceDE/>
              <w:autoSpaceDN/>
              <w:bidi w:val="0"/>
              <w:adjustRightInd w:val="0"/>
              <w:snapToGrid w:val="0"/>
              <w:spacing w:after="0" w:line="360" w:lineRule="auto"/>
              <w:textAlignment w:val="auto"/>
            </w:pPr>
            <w:r>
              <w:rPr>
                <w:rFonts w:ascii="宋体" w:hAnsi="宋体" w:eastAsia="宋体"/>
                <w:sz w:val="21"/>
              </w:rPr>
              <w:t>签字（盖章）：</w:t>
            </w:r>
          </w:p>
        </w:tc>
      </w:tr>
    </w:tbl>
    <w:p w14:paraId="363B9C79">
      <w:pPr>
        <w:keepNext w:val="0"/>
        <w:keepLines w:val="0"/>
        <w:pageBreakBefore w:val="0"/>
        <w:widowControl/>
        <w:kinsoku/>
        <w:wordWrap/>
        <w:overflowPunct/>
        <w:topLinePunct w:val="0"/>
        <w:autoSpaceDE/>
        <w:autoSpaceDN/>
        <w:bidi w:val="0"/>
        <w:adjustRightInd w:val="0"/>
        <w:snapToGrid w:val="0"/>
        <w:spacing w:after="0" w:line="360" w:lineRule="auto"/>
        <w:textAlignment w:val="auto"/>
      </w:pPr>
    </w:p>
    <w:bookmarkEnd w:id="0"/>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B55E49"/>
    <w:rsid w:val="453E45F9"/>
    <w:rsid w:val="4E352F40"/>
    <w:rsid w:val="595A7B33"/>
    <w:rsid w:val="768A23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8233</Words>
  <Characters>8387</Characters>
  <Lines>0</Lines>
  <Paragraphs>0</Paragraphs>
  <TotalTime>20</TotalTime>
  <ScaleCrop>false</ScaleCrop>
  <LinksUpToDate>false</LinksUpToDate>
  <CharactersWithSpaces>8576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敖律师</cp:lastModifiedBy>
  <cp:lastPrinted>2026-07-03T03:24:00Z</cp:lastPrinted>
  <dcterms:modified xsi:type="dcterms:W3CDTF">2026-07-03T06:23:28Z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45AD364C7925405D8604BC4A24887BA8_12</vt:lpwstr>
  </property>
</Properties>
</file>