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FB500">
      <w:pPr>
        <w:jc w:val="center"/>
      </w:pPr>
      <w:r>
        <w:rPr>
          <w:rFonts w:ascii="黑体" w:hAnsi="黑体" w:eastAsia="黑体"/>
          <w:b/>
          <w:sz w:val="44"/>
        </w:rPr>
        <w:t>保管合同</w:t>
      </w:r>
    </w:p>
    <w:p w14:paraId="09A85831">
      <w:pPr>
        <w:jc w:val="left"/>
      </w:pPr>
      <w:r>
        <w:rPr>
          <w:rFonts w:ascii="宋体" w:hAnsi="宋体" w:eastAsia="宋体"/>
          <w:sz w:val="24"/>
        </w:rPr>
        <w:t>合同编号：________________</w:t>
      </w:r>
    </w:p>
    <w:p w14:paraId="75DB99D1">
      <w:pPr>
        <w:spacing w:line="360" w:lineRule="auto"/>
      </w:pPr>
      <w:r>
        <w:rPr>
          <w:rFonts w:ascii="宋体" w:hAnsi="宋体" w:eastAsia="宋体"/>
          <w:sz w:val="24"/>
        </w:rPr>
        <w:t>甲方（保管人）：___________________________________</w:t>
      </w:r>
    </w:p>
    <w:p w14:paraId="772AF67E">
      <w:pPr>
        <w:spacing w:line="360" w:lineRule="auto"/>
        <w:rPr>
          <w:rFonts w:ascii="宋体" w:hAnsi="宋体" w:eastAsia="宋体"/>
          <w:sz w:val="24"/>
        </w:rPr>
      </w:pPr>
      <w:r>
        <w:rPr>
          <w:rFonts w:ascii="宋体" w:hAnsi="宋体" w:eastAsia="宋体"/>
          <w:sz w:val="24"/>
        </w:rPr>
        <w:t>统一社会信用代码：_________________________________</w:t>
      </w:r>
    </w:p>
    <w:p w14:paraId="2F3BE429">
      <w:pPr>
        <w:spacing w:line="360" w:lineRule="auto"/>
      </w:pPr>
      <w:r>
        <w:rPr>
          <w:rFonts w:ascii="宋体" w:hAnsi="宋体" w:eastAsia="宋体"/>
          <w:sz w:val="24"/>
        </w:rPr>
        <w:t>联系人：________________</w:t>
      </w:r>
    </w:p>
    <w:p w14:paraId="0DD5EB61">
      <w:pPr>
        <w:spacing w:line="360" w:lineRule="auto"/>
        <w:rPr>
          <w:rFonts w:ascii="宋体" w:hAnsi="宋体" w:eastAsia="宋体"/>
          <w:sz w:val="24"/>
        </w:rPr>
      </w:pPr>
      <w:r>
        <w:rPr>
          <w:rFonts w:ascii="宋体" w:hAnsi="宋体" w:eastAsia="宋体"/>
          <w:sz w:val="24"/>
        </w:rPr>
        <w:t>联系地址：_________________________________________</w:t>
      </w:r>
    </w:p>
    <w:p w14:paraId="47033228">
      <w:pPr>
        <w:spacing w:line="360" w:lineRule="auto"/>
      </w:pPr>
      <w:r>
        <w:rPr>
          <w:rFonts w:ascii="宋体" w:hAnsi="宋体" w:eastAsia="宋体"/>
          <w:sz w:val="24"/>
        </w:rPr>
        <w:t>联系电话：________________</w:t>
      </w:r>
    </w:p>
    <w:p w14:paraId="1B63A349">
      <w:pPr>
        <w:spacing w:line="360" w:lineRule="auto"/>
      </w:pPr>
      <w:r>
        <w:rPr>
          <w:rFonts w:ascii="宋体" w:hAnsi="宋体" w:eastAsia="宋体"/>
          <w:sz w:val="24"/>
        </w:rPr>
        <w:t>乙方（寄存人）：___________________________________</w:t>
      </w:r>
    </w:p>
    <w:p w14:paraId="432A6532">
      <w:pPr>
        <w:spacing w:line="360" w:lineRule="auto"/>
        <w:rPr>
          <w:rFonts w:ascii="宋体" w:hAnsi="宋体" w:eastAsia="宋体"/>
          <w:sz w:val="24"/>
        </w:rPr>
      </w:pPr>
      <w:r>
        <w:rPr>
          <w:rFonts w:ascii="宋体" w:hAnsi="宋体" w:eastAsia="宋体"/>
          <w:sz w:val="24"/>
        </w:rPr>
        <w:t>统一社会信用代码：_________________________________</w:t>
      </w:r>
    </w:p>
    <w:p w14:paraId="7802764D">
      <w:pPr>
        <w:spacing w:line="360" w:lineRule="auto"/>
      </w:pPr>
      <w:r>
        <w:rPr>
          <w:rFonts w:ascii="宋体" w:hAnsi="宋体" w:eastAsia="宋体"/>
          <w:sz w:val="24"/>
        </w:rPr>
        <w:t>联系人：________________</w:t>
      </w:r>
    </w:p>
    <w:p w14:paraId="0E467FF8">
      <w:pPr>
        <w:spacing w:line="360" w:lineRule="auto"/>
        <w:rPr>
          <w:rFonts w:ascii="宋体" w:hAnsi="宋体" w:eastAsia="宋体"/>
          <w:sz w:val="24"/>
        </w:rPr>
      </w:pPr>
      <w:r>
        <w:rPr>
          <w:rFonts w:ascii="宋体" w:hAnsi="宋体" w:eastAsia="宋体"/>
          <w:sz w:val="24"/>
        </w:rPr>
        <w:t>联系地址：_________________________________________</w:t>
      </w:r>
    </w:p>
    <w:p w14:paraId="3F5F0FAF">
      <w:pPr>
        <w:spacing w:line="360" w:lineRule="auto"/>
      </w:pPr>
      <w:r>
        <w:rPr>
          <w:rFonts w:ascii="宋体" w:hAnsi="宋体" w:eastAsia="宋体"/>
          <w:sz w:val="24"/>
        </w:rPr>
        <w:t>联系电话：________________</w:t>
      </w:r>
    </w:p>
    <w:p w14:paraId="19918024">
      <w:pPr>
        <w:spacing w:line="360" w:lineRule="auto"/>
        <w:ind w:firstLine="420"/>
      </w:pPr>
      <w:r>
        <w:rPr>
          <w:rFonts w:ascii="宋体" w:hAnsi="宋体" w:eastAsia="宋体"/>
          <w:b w:val="0"/>
          <w:sz w:val="24"/>
        </w:rPr>
        <w:t>依据《中华人民共和国民法典》</w:t>
      </w:r>
      <w:r>
        <w:rPr>
          <w:rFonts w:hint="eastAsia"/>
          <w:b w:val="0"/>
          <w:sz w:val="24"/>
          <w:lang w:val="en-US" w:eastAsia="zh-CN"/>
        </w:rPr>
        <w:t>及</w:t>
      </w:r>
      <w:r>
        <w:rPr>
          <w:rFonts w:ascii="宋体" w:hAnsi="宋体" w:eastAsia="宋体"/>
          <w:b w:val="0"/>
          <w:sz w:val="24"/>
        </w:rPr>
        <w:t>相关规定，甲乙双方本着平等自愿、公平诚信、等价有偿原则，经充分协商，就乙方委托甲方保管物品事宜订立本合同，双方共同恪守履行。</w:t>
      </w:r>
    </w:p>
    <w:p w14:paraId="36C2AEDD">
      <w:r>
        <w:rPr>
          <w:rFonts w:ascii="宋体" w:hAnsi="宋体" w:eastAsia="宋体"/>
          <w:b/>
          <w:sz w:val="28"/>
        </w:rPr>
        <w:t>第一条  保管物明细</w:t>
      </w:r>
    </w:p>
    <w:tbl>
      <w:tblPr>
        <w:tblStyle w:val="33"/>
        <w:tblW w:w="0" w:type="auto"/>
        <w:jc w:val="center"/>
        <w:tblLayout w:type="autofit"/>
        <w:tblCellMar>
          <w:top w:w="0" w:type="dxa"/>
          <w:left w:w="108" w:type="dxa"/>
          <w:bottom w:w="0" w:type="dxa"/>
          <w:right w:w="108" w:type="dxa"/>
        </w:tblCellMar>
      </w:tblPr>
      <w:tblGrid>
        <w:gridCol w:w="1701"/>
        <w:gridCol w:w="1417"/>
        <w:gridCol w:w="1134"/>
        <w:gridCol w:w="1701"/>
        <w:gridCol w:w="2268"/>
      </w:tblGrid>
      <w:tr w14:paraId="601CE992">
        <w:tblPrEx>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F2F2F2"/>
          </w:tcPr>
          <w:p w14:paraId="5377137B">
            <w:pPr>
              <w:jc w:val="center"/>
            </w:pPr>
            <w:r>
              <w:rPr>
                <w:rFonts w:ascii="宋体" w:hAnsi="宋体" w:eastAsia="宋体"/>
                <w:b/>
                <w:sz w:val="22"/>
              </w:rPr>
              <w:t>保管物名称</w:t>
            </w:r>
          </w:p>
        </w:tc>
        <w:tc>
          <w:tcPr>
            <w:tcW w:w="1417" w:type="dxa"/>
            <w:tcBorders>
              <w:top w:val="single" w:color="000000" w:sz="4" w:space="0"/>
              <w:left w:val="single" w:color="000000" w:sz="4" w:space="0"/>
              <w:bottom w:val="single" w:color="000000" w:sz="4" w:space="0"/>
              <w:right w:val="single" w:color="000000" w:sz="4" w:space="0"/>
            </w:tcBorders>
            <w:shd w:val="clear" w:color="auto" w:fill="F2F2F2"/>
          </w:tcPr>
          <w:p w14:paraId="5D92228A">
            <w:pPr>
              <w:jc w:val="center"/>
            </w:pPr>
            <w:r>
              <w:rPr>
                <w:rFonts w:ascii="宋体" w:hAnsi="宋体" w:eastAsia="宋体"/>
                <w:b/>
                <w:sz w:val="22"/>
              </w:rPr>
              <w:t>物理性质</w:t>
            </w:r>
          </w:p>
        </w:tc>
        <w:tc>
          <w:tcPr>
            <w:tcW w:w="1134" w:type="dxa"/>
            <w:tcBorders>
              <w:top w:val="single" w:color="000000" w:sz="4" w:space="0"/>
              <w:left w:val="single" w:color="000000" w:sz="4" w:space="0"/>
              <w:bottom w:val="single" w:color="000000" w:sz="4" w:space="0"/>
              <w:right w:val="single" w:color="000000" w:sz="4" w:space="0"/>
            </w:tcBorders>
            <w:shd w:val="clear" w:color="auto" w:fill="F2F2F2"/>
          </w:tcPr>
          <w:p w14:paraId="33B3A167">
            <w:pPr>
              <w:jc w:val="center"/>
            </w:pPr>
            <w:r>
              <w:rPr>
                <w:rFonts w:ascii="宋体" w:hAnsi="宋体" w:eastAsia="宋体"/>
                <w:b/>
                <w:sz w:val="22"/>
              </w:rPr>
              <w:t>数量</w:t>
            </w:r>
          </w:p>
        </w:tc>
        <w:tc>
          <w:tcPr>
            <w:tcW w:w="1701" w:type="dxa"/>
            <w:tcBorders>
              <w:top w:val="single" w:color="000000" w:sz="4" w:space="0"/>
              <w:left w:val="single" w:color="000000" w:sz="4" w:space="0"/>
              <w:bottom w:val="single" w:color="000000" w:sz="4" w:space="0"/>
              <w:right w:val="single" w:color="000000" w:sz="4" w:space="0"/>
            </w:tcBorders>
            <w:shd w:val="clear" w:color="auto" w:fill="F2F2F2"/>
          </w:tcPr>
          <w:p w14:paraId="6A08EC31">
            <w:pPr>
              <w:jc w:val="center"/>
            </w:pPr>
            <w:r>
              <w:rPr>
                <w:rFonts w:ascii="宋体" w:hAnsi="宋体" w:eastAsia="宋体"/>
                <w:b/>
                <w:sz w:val="22"/>
              </w:rPr>
              <w:t>市场价值（元）</w:t>
            </w:r>
          </w:p>
        </w:tc>
        <w:tc>
          <w:tcPr>
            <w:tcW w:w="2268" w:type="dxa"/>
            <w:tcBorders>
              <w:top w:val="single" w:color="000000" w:sz="4" w:space="0"/>
              <w:left w:val="single" w:color="000000" w:sz="4" w:space="0"/>
              <w:bottom w:val="single" w:color="000000" w:sz="4" w:space="0"/>
              <w:right w:val="single" w:color="000000" w:sz="4" w:space="0"/>
            </w:tcBorders>
            <w:shd w:val="clear" w:color="auto" w:fill="F2F2F2"/>
          </w:tcPr>
          <w:p w14:paraId="36D4F1DD">
            <w:pPr>
              <w:jc w:val="center"/>
            </w:pPr>
            <w:r>
              <w:rPr>
                <w:rFonts w:ascii="宋体" w:hAnsi="宋体" w:eastAsia="宋体"/>
                <w:b/>
                <w:sz w:val="22"/>
              </w:rPr>
              <w:t>备注（规格/编号/成色）</w:t>
            </w:r>
          </w:p>
        </w:tc>
      </w:tr>
      <w:tr w14:paraId="0A60692A">
        <w:tblPrEx>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tcPr>
          <w:p w14:paraId="34C6C87F"/>
        </w:tc>
        <w:tc>
          <w:tcPr>
            <w:tcW w:w="1417" w:type="dxa"/>
            <w:tcBorders>
              <w:top w:val="single" w:color="000000" w:sz="4" w:space="0"/>
              <w:left w:val="single" w:color="000000" w:sz="4" w:space="0"/>
              <w:bottom w:val="single" w:color="000000" w:sz="4" w:space="0"/>
              <w:right w:val="single" w:color="000000" w:sz="4" w:space="0"/>
            </w:tcBorders>
          </w:tcPr>
          <w:p w14:paraId="494942B7"/>
        </w:tc>
        <w:tc>
          <w:tcPr>
            <w:tcW w:w="1134" w:type="dxa"/>
            <w:tcBorders>
              <w:top w:val="single" w:color="000000" w:sz="4" w:space="0"/>
              <w:left w:val="single" w:color="000000" w:sz="4" w:space="0"/>
              <w:bottom w:val="single" w:color="000000" w:sz="4" w:space="0"/>
              <w:right w:val="single" w:color="000000" w:sz="4" w:space="0"/>
            </w:tcBorders>
          </w:tcPr>
          <w:p w14:paraId="6AD4072E"/>
        </w:tc>
        <w:tc>
          <w:tcPr>
            <w:tcW w:w="1701" w:type="dxa"/>
            <w:tcBorders>
              <w:top w:val="single" w:color="000000" w:sz="4" w:space="0"/>
              <w:left w:val="single" w:color="000000" w:sz="4" w:space="0"/>
              <w:bottom w:val="single" w:color="000000" w:sz="4" w:space="0"/>
              <w:right w:val="single" w:color="000000" w:sz="4" w:space="0"/>
            </w:tcBorders>
          </w:tcPr>
          <w:p w14:paraId="518F1583"/>
        </w:tc>
        <w:tc>
          <w:tcPr>
            <w:tcW w:w="2268" w:type="dxa"/>
            <w:tcBorders>
              <w:top w:val="single" w:color="000000" w:sz="4" w:space="0"/>
              <w:left w:val="single" w:color="000000" w:sz="4" w:space="0"/>
              <w:bottom w:val="single" w:color="000000" w:sz="4" w:space="0"/>
              <w:right w:val="single" w:color="000000" w:sz="4" w:space="0"/>
            </w:tcBorders>
          </w:tcPr>
          <w:p w14:paraId="3BF310A1"/>
        </w:tc>
      </w:tr>
      <w:tr w14:paraId="4774002C">
        <w:tblPrEx>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tcPr>
          <w:p w14:paraId="76C735B1"/>
        </w:tc>
        <w:tc>
          <w:tcPr>
            <w:tcW w:w="1417" w:type="dxa"/>
            <w:tcBorders>
              <w:top w:val="single" w:color="000000" w:sz="4" w:space="0"/>
              <w:left w:val="single" w:color="000000" w:sz="4" w:space="0"/>
              <w:bottom w:val="single" w:color="000000" w:sz="4" w:space="0"/>
              <w:right w:val="single" w:color="000000" w:sz="4" w:space="0"/>
            </w:tcBorders>
          </w:tcPr>
          <w:p w14:paraId="6658F0A9"/>
        </w:tc>
        <w:tc>
          <w:tcPr>
            <w:tcW w:w="1134" w:type="dxa"/>
            <w:tcBorders>
              <w:top w:val="single" w:color="000000" w:sz="4" w:space="0"/>
              <w:left w:val="single" w:color="000000" w:sz="4" w:space="0"/>
              <w:bottom w:val="single" w:color="000000" w:sz="4" w:space="0"/>
              <w:right w:val="single" w:color="000000" w:sz="4" w:space="0"/>
            </w:tcBorders>
          </w:tcPr>
          <w:p w14:paraId="4EDC7F18"/>
        </w:tc>
        <w:tc>
          <w:tcPr>
            <w:tcW w:w="1701" w:type="dxa"/>
            <w:tcBorders>
              <w:top w:val="single" w:color="000000" w:sz="4" w:space="0"/>
              <w:left w:val="single" w:color="000000" w:sz="4" w:space="0"/>
              <w:bottom w:val="single" w:color="000000" w:sz="4" w:space="0"/>
              <w:right w:val="single" w:color="000000" w:sz="4" w:space="0"/>
            </w:tcBorders>
          </w:tcPr>
          <w:p w14:paraId="74007702"/>
        </w:tc>
        <w:tc>
          <w:tcPr>
            <w:tcW w:w="2268" w:type="dxa"/>
            <w:tcBorders>
              <w:top w:val="single" w:color="000000" w:sz="4" w:space="0"/>
              <w:left w:val="single" w:color="000000" w:sz="4" w:space="0"/>
              <w:bottom w:val="single" w:color="000000" w:sz="4" w:space="0"/>
              <w:right w:val="single" w:color="000000" w:sz="4" w:space="0"/>
            </w:tcBorders>
          </w:tcPr>
          <w:p w14:paraId="58EC432D"/>
        </w:tc>
      </w:tr>
      <w:tr w14:paraId="5659681E">
        <w:tblPrEx>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tcPr>
          <w:p w14:paraId="5801A18E"/>
        </w:tc>
        <w:tc>
          <w:tcPr>
            <w:tcW w:w="1417" w:type="dxa"/>
            <w:tcBorders>
              <w:top w:val="single" w:color="000000" w:sz="4" w:space="0"/>
              <w:left w:val="single" w:color="000000" w:sz="4" w:space="0"/>
              <w:bottom w:val="single" w:color="000000" w:sz="4" w:space="0"/>
              <w:right w:val="single" w:color="000000" w:sz="4" w:space="0"/>
            </w:tcBorders>
          </w:tcPr>
          <w:p w14:paraId="49505D46"/>
        </w:tc>
        <w:tc>
          <w:tcPr>
            <w:tcW w:w="1134" w:type="dxa"/>
            <w:tcBorders>
              <w:top w:val="single" w:color="000000" w:sz="4" w:space="0"/>
              <w:left w:val="single" w:color="000000" w:sz="4" w:space="0"/>
              <w:bottom w:val="single" w:color="000000" w:sz="4" w:space="0"/>
              <w:right w:val="single" w:color="000000" w:sz="4" w:space="0"/>
            </w:tcBorders>
          </w:tcPr>
          <w:p w14:paraId="12FD0C93"/>
        </w:tc>
        <w:tc>
          <w:tcPr>
            <w:tcW w:w="1701" w:type="dxa"/>
            <w:tcBorders>
              <w:top w:val="single" w:color="000000" w:sz="4" w:space="0"/>
              <w:left w:val="single" w:color="000000" w:sz="4" w:space="0"/>
              <w:bottom w:val="single" w:color="000000" w:sz="4" w:space="0"/>
              <w:right w:val="single" w:color="000000" w:sz="4" w:space="0"/>
            </w:tcBorders>
          </w:tcPr>
          <w:p w14:paraId="4B61F092"/>
        </w:tc>
        <w:tc>
          <w:tcPr>
            <w:tcW w:w="2268" w:type="dxa"/>
            <w:tcBorders>
              <w:top w:val="single" w:color="000000" w:sz="4" w:space="0"/>
              <w:left w:val="single" w:color="000000" w:sz="4" w:space="0"/>
              <w:bottom w:val="single" w:color="000000" w:sz="4" w:space="0"/>
              <w:right w:val="single" w:color="000000" w:sz="4" w:space="0"/>
            </w:tcBorders>
          </w:tcPr>
          <w:p w14:paraId="559D5828"/>
        </w:tc>
      </w:tr>
    </w:tbl>
    <w:p w14:paraId="11FF63CE"/>
    <w:p w14:paraId="7480A9E7">
      <w:pPr>
        <w:spacing w:line="360" w:lineRule="auto"/>
      </w:pPr>
      <w:r>
        <w:rPr>
          <w:rFonts w:ascii="宋体" w:hAnsi="宋体" w:eastAsia="宋体"/>
          <w:sz w:val="24"/>
        </w:rPr>
        <w:t>保管物总价值合计：人民币大写______________元整（￥________________元）。</w:t>
      </w:r>
    </w:p>
    <w:p w14:paraId="5768FD4C">
      <w:r>
        <w:rPr>
          <w:rFonts w:ascii="宋体" w:hAnsi="宋体" w:eastAsia="宋体"/>
          <w:b/>
          <w:sz w:val="28"/>
        </w:rPr>
        <w:t>第二条  保管场所</w:t>
      </w:r>
    </w:p>
    <w:p w14:paraId="7ED5BC71">
      <w:pPr>
        <w:spacing w:line="360" w:lineRule="auto"/>
      </w:pPr>
      <w:r>
        <w:rPr>
          <w:rFonts w:ascii="宋体" w:hAnsi="宋体" w:eastAsia="宋体"/>
          <w:sz w:val="24"/>
        </w:rPr>
        <w:t>双方约定保管地点：_______________________________________。</w:t>
      </w:r>
    </w:p>
    <w:p w14:paraId="7D307DA5">
      <w:pPr>
        <w:spacing w:line="360" w:lineRule="auto"/>
      </w:pPr>
      <w:r>
        <w:rPr>
          <w:rFonts w:ascii="宋体" w:hAnsi="宋体" w:eastAsia="宋体"/>
          <w:sz w:val="24"/>
        </w:rPr>
        <w:t>未经乙方书面同意，甲方不得擅自变更保管场所；遇紧急避险、安全隐患等特殊情形需迁移的，甲方应第一时间通知乙方并留存凭证。</w:t>
      </w:r>
    </w:p>
    <w:p w14:paraId="640842AD">
      <w:r>
        <w:rPr>
          <w:rFonts w:ascii="宋体" w:hAnsi="宋体" w:eastAsia="宋体"/>
          <w:b/>
          <w:sz w:val="28"/>
        </w:rPr>
        <w:t>第三条  保管方式与特殊保管措施</w:t>
      </w:r>
    </w:p>
    <w:p w14:paraId="6FA3C30E">
      <w:pPr>
        <w:spacing w:line="360" w:lineRule="auto"/>
      </w:pPr>
      <w:r>
        <w:rPr>
          <w:rFonts w:ascii="宋体" w:hAnsi="宋体" w:eastAsia="宋体"/>
          <w:sz w:val="24"/>
        </w:rPr>
        <w:t>1. 标准保管方式：_______________________________________________。</w:t>
      </w:r>
    </w:p>
    <w:p w14:paraId="2D021377">
      <w:pPr>
        <w:spacing w:line="360" w:lineRule="auto"/>
      </w:pPr>
      <w:r>
        <w:rPr>
          <w:rFonts w:ascii="宋体" w:hAnsi="宋体" w:eastAsia="宋体"/>
          <w:sz w:val="24"/>
        </w:rPr>
        <w:t>2. 保管物□是  □否  需要采取特殊保管措施。</w:t>
      </w:r>
    </w:p>
    <w:p w14:paraId="3AE93666">
      <w:pPr>
        <w:spacing w:line="360" w:lineRule="auto"/>
      </w:pPr>
      <w:r>
        <w:rPr>
          <w:rFonts w:ascii="宋体" w:hAnsi="宋体" w:eastAsia="宋体"/>
          <w:sz w:val="24"/>
        </w:rPr>
        <w:t>如需特殊保管，具体措施约定：__________________________________________，由此产生的额外合理费用由□甲方  □乙方承担。</w:t>
      </w:r>
    </w:p>
    <w:p w14:paraId="50F80DAC">
      <w:r>
        <w:rPr>
          <w:rFonts w:ascii="宋体" w:hAnsi="宋体" w:eastAsia="宋体"/>
          <w:b/>
          <w:sz w:val="28"/>
        </w:rPr>
        <w:t>第四条  保管物瑕疵告知义务</w:t>
      </w:r>
    </w:p>
    <w:p w14:paraId="62134DFA">
      <w:pPr>
        <w:spacing w:line="360" w:lineRule="auto"/>
      </w:pPr>
      <w:r>
        <w:rPr>
          <w:rFonts w:ascii="宋体" w:hAnsi="宋体" w:eastAsia="宋体"/>
          <w:sz w:val="24"/>
        </w:rPr>
        <w:t>1. 保管物□是  □否  存在固有瑕疵、易腐、易爆、易碎、有毒、放射性等特殊风险。</w:t>
      </w:r>
    </w:p>
    <w:p w14:paraId="69610237">
      <w:pPr>
        <w:spacing w:line="360" w:lineRule="auto"/>
      </w:pPr>
      <w:r>
        <w:rPr>
          <w:rFonts w:ascii="宋体" w:hAnsi="宋体" w:eastAsia="宋体"/>
          <w:sz w:val="24"/>
        </w:rPr>
        <w:t>瑕疵/风险说明：____________________________________________。</w:t>
      </w:r>
    </w:p>
    <w:p w14:paraId="79E07D73">
      <w:pPr>
        <w:spacing w:line="360" w:lineRule="auto"/>
      </w:pPr>
      <w:r>
        <w:rPr>
          <w:rFonts w:ascii="宋体" w:hAnsi="宋体" w:eastAsia="宋体"/>
          <w:sz w:val="24"/>
        </w:rPr>
        <w:t>2. 乙方未如实告知保管物瑕疵、特殊危险属性，造成保管物自身损毁或甲方财产、人身损害的，全部损失由乙方自行承担、向甲方全额赔偿；甲方明知瑕疵未采取合理防护措施导致扩大损失的，按双方过错比例分担责任。</w:t>
      </w:r>
    </w:p>
    <w:p w14:paraId="6ADC3D0F">
      <w:r>
        <w:rPr>
          <w:rFonts w:ascii="宋体" w:hAnsi="宋体" w:eastAsia="宋体"/>
          <w:b/>
          <w:sz w:val="28"/>
        </w:rPr>
        <w:t>第五条  保管费用及支付规则</w:t>
      </w:r>
    </w:p>
    <w:p w14:paraId="60D23690">
      <w:pPr>
        <w:spacing w:line="360" w:lineRule="auto"/>
      </w:pPr>
      <w:r>
        <w:rPr>
          <w:rFonts w:ascii="宋体" w:hAnsi="宋体" w:eastAsia="宋体"/>
          <w:sz w:val="24"/>
        </w:rPr>
        <w:t>本保管服务□有偿  □无偿。若为无偿保管，本条5.1-5.6款不适用。</w:t>
      </w:r>
    </w:p>
    <w:p w14:paraId="670B64DD">
      <w:pPr>
        <w:spacing w:line="360" w:lineRule="auto"/>
      </w:pPr>
      <w:r>
        <w:rPr>
          <w:rFonts w:ascii="宋体" w:hAnsi="宋体" w:eastAsia="宋体"/>
          <w:sz w:val="24"/>
        </w:rPr>
        <w:t>5.1  保管总费用：人民币大写______________元整（￥________________元）。</w:t>
      </w:r>
    </w:p>
    <w:p w14:paraId="4500DED0">
      <w:pPr>
        <w:spacing w:line="360" w:lineRule="auto"/>
      </w:pPr>
      <w:r>
        <w:rPr>
          <w:rFonts w:ascii="宋体" w:hAnsi="宋体" w:eastAsia="宋体"/>
          <w:sz w:val="24"/>
        </w:rPr>
        <w:t>5.2  支付方式：□一次性付清  □分期支付，具体：_____________________。</w:t>
      </w:r>
    </w:p>
    <w:p w14:paraId="592D9684">
      <w:pPr>
        <w:spacing w:line="360" w:lineRule="auto"/>
      </w:pPr>
      <w:r>
        <w:rPr>
          <w:rFonts w:ascii="宋体" w:hAnsi="宋体" w:eastAsia="宋体"/>
          <w:sz w:val="24"/>
        </w:rPr>
        <w:t>5.3  付款截止时间：________年____月____日。</w:t>
      </w:r>
    </w:p>
    <w:p w14:paraId="40B0F380">
      <w:pPr>
        <w:spacing w:line="360" w:lineRule="auto"/>
      </w:pPr>
      <w:r>
        <w:rPr>
          <w:rFonts w:ascii="宋体" w:hAnsi="宋体" w:eastAsia="宋体"/>
          <w:sz w:val="24"/>
        </w:rPr>
        <w:t>5.4  乙方付款账户信息：</w:t>
      </w:r>
    </w:p>
    <w:p w14:paraId="6AA124BC">
      <w:pPr>
        <w:spacing w:line="360" w:lineRule="auto"/>
      </w:pPr>
      <w:r>
        <w:rPr>
          <w:rFonts w:ascii="宋体" w:hAnsi="宋体" w:eastAsia="宋体"/>
          <w:sz w:val="24"/>
        </w:rPr>
        <w:t xml:space="preserve">    户名：________________________________</w:t>
      </w:r>
    </w:p>
    <w:p w14:paraId="1AD32C8B">
      <w:pPr>
        <w:spacing w:line="360" w:lineRule="auto"/>
      </w:pPr>
      <w:r>
        <w:rPr>
          <w:rFonts w:ascii="宋体" w:hAnsi="宋体" w:eastAsia="宋体"/>
          <w:sz w:val="24"/>
        </w:rPr>
        <w:t xml:space="preserve">    开户行：______________________________</w:t>
      </w:r>
    </w:p>
    <w:p w14:paraId="0F41B5A3">
      <w:pPr>
        <w:spacing w:line="360" w:lineRule="auto"/>
      </w:pPr>
      <w:r>
        <w:rPr>
          <w:rFonts w:ascii="宋体" w:hAnsi="宋体" w:eastAsia="宋体"/>
          <w:sz w:val="24"/>
        </w:rPr>
        <w:t xml:space="preserve">    银行账号：____________________________</w:t>
      </w:r>
    </w:p>
    <w:p w14:paraId="09A74E88">
      <w:pPr>
        <w:spacing w:line="360" w:lineRule="auto"/>
      </w:pPr>
      <w:r>
        <w:rPr>
          <w:rFonts w:ascii="宋体" w:hAnsi="宋体" w:eastAsia="宋体"/>
          <w:sz w:val="24"/>
        </w:rPr>
        <w:t>5.5  保管期内因不可抗力、第三方侵权等不可归责于甲方事由导致保管物灭失的，甲方有权按实际保管天数计收对应保管费，乙方不得拒付、抵扣。</w:t>
      </w:r>
    </w:p>
    <w:p w14:paraId="6495A442">
      <w:pPr>
        <w:spacing w:line="360" w:lineRule="auto"/>
      </w:pPr>
      <w:r>
        <w:rPr>
          <w:rFonts w:ascii="宋体" w:hAnsi="宋体" w:eastAsia="宋体"/>
          <w:sz w:val="24"/>
        </w:rPr>
        <w:t>5.6  乙方逾期、足额未支付保管费的，甲方□有权  □无权  留置全部保管物。留置期限、处置规则按照民法典留置权相关规定执行。</w:t>
      </w:r>
    </w:p>
    <w:p w14:paraId="16B5958E">
      <w:pPr>
        <w:spacing w:line="360" w:lineRule="auto"/>
      </w:pPr>
      <w:r>
        <w:rPr>
          <w:rFonts w:ascii="宋体" w:hAnsi="宋体" w:eastAsia="宋体"/>
          <w:sz w:val="24"/>
        </w:rPr>
        <w:t>5.7  甲方为保障保管物安全支出的紧急、必要管护费用，可凭票据向乙方全额追偿。</w:t>
      </w:r>
    </w:p>
    <w:p w14:paraId="36FC864E">
      <w:r>
        <w:rPr>
          <w:rFonts w:ascii="宋体" w:hAnsi="宋体" w:eastAsia="宋体"/>
          <w:b/>
          <w:sz w:val="28"/>
        </w:rPr>
        <w:t>第六条  保管期限、物品交付与提取验收</w:t>
      </w:r>
    </w:p>
    <w:p w14:paraId="4D183C91">
      <w:pPr>
        <w:spacing w:line="360" w:lineRule="auto"/>
      </w:pPr>
      <w:r>
        <w:rPr>
          <w:rFonts w:ascii="宋体" w:hAnsi="宋体" w:eastAsia="宋体"/>
          <w:sz w:val="24"/>
        </w:rPr>
        <w:t>6.1  保管期限：自________年____月____日起至________年____月____日止。</w:t>
      </w:r>
    </w:p>
    <w:p w14:paraId="33DF4D89">
      <w:pPr>
        <w:spacing w:line="360" w:lineRule="auto"/>
      </w:pPr>
      <w:r>
        <w:rPr>
          <w:rFonts w:ascii="宋体" w:hAnsi="宋体" w:eastAsia="宋体"/>
          <w:sz w:val="24"/>
        </w:rPr>
        <w:t>6.2  交付与现场验收：</w:t>
      </w:r>
    </w:p>
    <w:p w14:paraId="038C6672">
      <w:pPr>
        <w:spacing w:line="360" w:lineRule="auto"/>
        <w:rPr>
          <w:rFonts w:hint="eastAsia" w:ascii="宋体" w:hAnsi="宋体" w:eastAsia="宋体"/>
          <w:sz w:val="24"/>
        </w:rPr>
      </w:pPr>
      <w:r>
        <w:rPr>
          <w:rFonts w:hint="eastAsia" w:ascii="宋体" w:hAnsi="宋体" w:eastAsia="宋体"/>
          <w:sz w:val="24"/>
        </w:rPr>
        <w:t>6.1 保管物入库和出库时确认合同双方一致确认，保管物入库和出库时，双方授权代表均应在场，对保管物检验后，由双方授权代表在仓单、入库单等保管凭证上签名确认，该凭证作为保管物实际交付的证明，合同双方各保存一份。</w:t>
      </w:r>
    </w:p>
    <w:p w14:paraId="7DB46CFA">
      <w:pPr>
        <w:spacing w:line="360" w:lineRule="auto"/>
        <w:rPr>
          <w:rFonts w:hint="eastAsia" w:ascii="宋体" w:hAnsi="宋体" w:eastAsia="宋体"/>
          <w:sz w:val="24"/>
        </w:rPr>
      </w:pPr>
      <w:r>
        <w:rPr>
          <w:rFonts w:hint="eastAsia" w:ascii="宋体" w:hAnsi="宋体" w:eastAsia="宋体"/>
          <w:sz w:val="24"/>
        </w:rPr>
        <w:t>6.2 保管物入库</w:t>
      </w:r>
    </w:p>
    <w:p w14:paraId="39E30BEE">
      <w:pPr>
        <w:spacing w:line="360" w:lineRule="auto"/>
        <w:rPr>
          <w:rFonts w:hint="eastAsia" w:ascii="宋体" w:hAnsi="宋体" w:eastAsia="宋体"/>
          <w:sz w:val="24"/>
        </w:rPr>
      </w:pPr>
      <w:r>
        <w:rPr>
          <w:rFonts w:hint="eastAsia" w:ascii="宋体" w:hAnsi="宋体" w:eastAsia="宋体"/>
          <w:sz w:val="24"/>
        </w:rPr>
        <w:t>（1）寄存人在向保管人交付保管物时，应当同时向保管人提供与保管物相关的各种说明文件和资料（下称“说明资料”），包括保管物外观包装、品种、数量、质量以及其他在保管时的特别注意事项等。如因寄存人提供的说明资料不齐全、不及时，造成交付延误或保管物品种、数量不符合合同约定时，保管人不承担赔偿责任。</w:t>
      </w:r>
    </w:p>
    <w:p w14:paraId="11A42BC8">
      <w:pPr>
        <w:spacing w:line="360" w:lineRule="auto"/>
        <w:rPr>
          <w:rFonts w:hint="eastAsia" w:ascii="宋体" w:hAnsi="宋体" w:eastAsia="宋体"/>
          <w:sz w:val="24"/>
        </w:rPr>
      </w:pPr>
      <w:r>
        <w:rPr>
          <w:rFonts w:hint="eastAsia" w:ascii="宋体" w:hAnsi="宋体" w:eastAsia="宋体"/>
          <w:sz w:val="24"/>
        </w:rPr>
        <w:t>（2）保管人应按照合同约定的包装外观、保管物品种和数量，对保管物进行清点。如果发现保管物与合同约定或说明资料不符的，应及时通知寄存人。保管人未按约定清点保管物，或清点不准确而造成的实际经济损失，由保管人负责。</w:t>
      </w:r>
    </w:p>
    <w:p w14:paraId="27BE53ED">
      <w:pPr>
        <w:spacing w:line="360" w:lineRule="auto"/>
        <w:rPr>
          <w:rFonts w:hint="eastAsia" w:ascii="宋体" w:hAnsi="宋体" w:eastAsia="宋体"/>
          <w:sz w:val="24"/>
        </w:rPr>
      </w:pPr>
      <w:r>
        <w:rPr>
          <w:rFonts w:hint="eastAsia" w:ascii="宋体" w:hAnsi="宋体" w:eastAsia="宋体"/>
          <w:sz w:val="24"/>
        </w:rPr>
        <w:t>（3）保管物的清点期限为_____天（国内保管物不超过_____天，国外到货不超过____天）超过清点期限视为清点完成，所造成的损失由保管人负责。上述保管物的清点期限是指保管物和说明资料全部送达至保管人之日起，至保管人签发保管凭证之日止。</w:t>
      </w:r>
    </w:p>
    <w:p w14:paraId="13C82D99">
      <w:pPr>
        <w:spacing w:line="360" w:lineRule="auto"/>
      </w:pPr>
      <w:r>
        <w:rPr>
          <w:rFonts w:ascii="宋体" w:hAnsi="宋体" w:eastAsia="宋体"/>
          <w:sz w:val="24"/>
        </w:rPr>
        <w:t>6.3 甲方收到保管物后，应当向乙方出具纸质/电子保管凭证；乙方提取物品必须出示完整保管凭证，凭证遗失的，乙方需提供身份、权属证明并书面申请挂失后方可取物。</w:t>
      </w:r>
    </w:p>
    <w:p w14:paraId="71984073">
      <w:pPr>
        <w:spacing w:line="360" w:lineRule="auto"/>
      </w:pPr>
      <w:r>
        <w:rPr>
          <w:rFonts w:ascii="宋体" w:hAnsi="宋体" w:eastAsia="宋体"/>
          <w:sz w:val="24"/>
        </w:rPr>
        <w:t>6.4  保管期限届满乙方未提取、且未结清保管费用的，甲方有权留置保管物。</w:t>
      </w:r>
    </w:p>
    <w:p w14:paraId="3DA65281">
      <w:pPr>
        <w:spacing w:line="360" w:lineRule="auto"/>
      </w:pPr>
      <w:r>
        <w:rPr>
          <w:rFonts w:ascii="宋体" w:hAnsi="宋体" w:eastAsia="宋体"/>
          <w:sz w:val="24"/>
        </w:rPr>
        <w:t>6.5  保管期满乙方逾期不取货的，甲方可书面催告乙方在15日内提取；催告期满仍未提取的，甲方有权依法向公证机关申请提存保管物，提存、仓储、处置费用全部由乙方承担。</w:t>
      </w:r>
    </w:p>
    <w:p w14:paraId="6D923A30">
      <w:r>
        <w:rPr>
          <w:rFonts w:ascii="宋体" w:hAnsi="宋体" w:eastAsia="宋体"/>
          <w:b/>
          <w:sz w:val="28"/>
        </w:rPr>
        <w:t>第七条  双方保管权利义务</w:t>
      </w:r>
    </w:p>
    <w:p w14:paraId="00694F8B">
      <w:r>
        <w:rPr>
          <w:rFonts w:ascii="宋体" w:hAnsi="宋体" w:eastAsia="宋体"/>
          <w:b/>
          <w:sz w:val="24"/>
        </w:rPr>
        <w:t>7.1  甲方（保管人）义务</w:t>
      </w:r>
    </w:p>
    <w:p w14:paraId="1DE455F2">
      <w:pPr>
        <w:spacing w:line="360" w:lineRule="auto"/>
      </w:pPr>
      <w:r>
        <w:rPr>
          <w:rFonts w:ascii="宋体" w:hAnsi="宋体" w:eastAsia="宋体"/>
          <w:sz w:val="24"/>
        </w:rPr>
        <w:t>（1）严格按照约定场所、保管方法妥善管护保管物，尽到善良管理人注意义务；因甲方保管疏漏、操作不当造成保管物毁损灭失的，甲方承担赔偿责任；无偿保管且甲方无重大过失的，免除赔偿责任。</w:t>
      </w:r>
    </w:p>
    <w:p w14:paraId="33BC726B">
      <w:pPr>
        <w:spacing w:line="360" w:lineRule="auto"/>
      </w:pPr>
      <w:r>
        <w:rPr>
          <w:rFonts w:ascii="宋体" w:hAnsi="宋体" w:eastAsia="宋体"/>
          <w:sz w:val="24"/>
        </w:rPr>
        <w:t>（2）无乙方书面许可，不得将保管物转交第三方保管；擅自转保管造成损失的，由甲方全额赔付。</w:t>
      </w:r>
    </w:p>
    <w:p w14:paraId="253483C5">
      <w:pPr>
        <w:spacing w:line="360" w:lineRule="auto"/>
      </w:pPr>
      <w:r>
        <w:rPr>
          <w:rFonts w:ascii="宋体" w:hAnsi="宋体" w:eastAsia="宋体"/>
          <w:sz w:val="24"/>
        </w:rPr>
        <w:t>（3）未经乙方书面同意，不得使用、出租、出借保管物，紧急避险除外。</w:t>
      </w:r>
    </w:p>
    <w:p w14:paraId="78373CE9">
      <w:pPr>
        <w:spacing w:line="360" w:lineRule="auto"/>
      </w:pPr>
      <w:r>
        <w:rPr>
          <w:rFonts w:ascii="宋体" w:hAnsi="宋体" w:eastAsia="宋体"/>
          <w:sz w:val="24"/>
        </w:rPr>
        <w:t>（4）第三人就保管物主张所有权、申请查封扣押的，甲方应当立即书面通知乙方，并配合乙方维权；司法机关依法保全、执行保管物的除外。</w:t>
      </w:r>
    </w:p>
    <w:p w14:paraId="5CBDF925">
      <w:pPr>
        <w:spacing w:line="360" w:lineRule="auto"/>
      </w:pPr>
      <w:r>
        <w:rPr>
          <w:rFonts w:ascii="宋体" w:hAnsi="宋体" w:eastAsia="宋体"/>
          <w:sz w:val="24"/>
        </w:rPr>
        <w:t>（5）保管到期、乙方提前提取、合同无法继续履行时，甲方返还保管物及保管期间天然/法定孳息。</w:t>
      </w:r>
    </w:p>
    <w:p w14:paraId="54FDAA01">
      <w:pPr>
        <w:spacing w:line="360" w:lineRule="auto"/>
      </w:pPr>
      <w:r>
        <w:rPr>
          <w:rFonts w:ascii="宋体" w:hAnsi="宋体" w:eastAsia="宋体"/>
          <w:sz w:val="24"/>
        </w:rPr>
        <w:t>（6）建立保管台账，完整留存交付、查验、巡查记录，配合乙方定期核查。</w:t>
      </w:r>
    </w:p>
    <w:p w14:paraId="60CD42F9">
      <w:r>
        <w:rPr>
          <w:rFonts w:ascii="宋体" w:hAnsi="宋体" w:eastAsia="宋体"/>
          <w:b/>
          <w:sz w:val="24"/>
        </w:rPr>
        <w:t>7.2  乙方（寄存人）义务</w:t>
      </w:r>
    </w:p>
    <w:p w14:paraId="148DFFD1">
      <w:pPr>
        <w:spacing w:line="360" w:lineRule="auto"/>
      </w:pPr>
      <w:r>
        <w:rPr>
          <w:rFonts w:ascii="宋体" w:hAnsi="宋体" w:eastAsia="宋体"/>
          <w:sz w:val="24"/>
        </w:rPr>
        <w:t>（1）寄存贵重物品、高价值财物，必须提前向甲方书面声明价值，双方共同封存标记；未声明贵重属性，物品毁损灭失后，甲方仅按普通同类物品标准赔偿。</w:t>
      </w:r>
    </w:p>
    <w:p w14:paraId="5F5FB1FB">
      <w:pPr>
        <w:spacing w:line="360" w:lineRule="auto"/>
      </w:pPr>
      <w:r>
        <w:rPr>
          <w:rFonts w:ascii="宋体" w:hAnsi="宋体" w:eastAsia="宋体"/>
          <w:sz w:val="24"/>
        </w:rPr>
        <w:t>（2）按期支付保管费、按期提取保管物；逾期提货产生额外仓储占用费、人工看管费由乙方承担。</w:t>
      </w:r>
    </w:p>
    <w:p w14:paraId="3EE7DEE0">
      <w:pPr>
        <w:spacing w:line="360" w:lineRule="auto"/>
      </w:pPr>
      <w:r>
        <w:rPr>
          <w:rFonts w:ascii="宋体" w:hAnsi="宋体" w:eastAsia="宋体"/>
          <w:sz w:val="24"/>
        </w:rPr>
        <w:t>（3）完整告知保管物缺陷、易燃易爆、易变质等特殊风险，如实提供物品权属相关信息。</w:t>
      </w:r>
    </w:p>
    <w:p w14:paraId="568A5446">
      <w:r>
        <w:rPr>
          <w:rFonts w:ascii="宋体" w:hAnsi="宋体" w:eastAsia="宋体"/>
          <w:b/>
          <w:sz w:val="24"/>
        </w:rPr>
        <w:t>7.3  保密义务</w:t>
      </w:r>
    </w:p>
    <w:p w14:paraId="0F0E302C">
      <w:pPr>
        <w:spacing w:line="360" w:lineRule="auto"/>
      </w:pPr>
      <w:r>
        <w:rPr>
          <w:rFonts w:ascii="宋体" w:hAnsi="宋体" w:eastAsia="宋体"/>
          <w:sz w:val="24"/>
        </w:rPr>
        <w:t>甲乙双方对合作过程中获取的对方经营数据、物品信息、客户资料等商业秘密永久保密，合同终止后保密义务持续有效；未经对方书面许可不得向第三方泄露，违约方赔偿全部实际损失与维权成本。</w:t>
      </w:r>
    </w:p>
    <w:p w14:paraId="0C8B4BEC">
      <w:r>
        <w:rPr>
          <w:rFonts w:ascii="宋体" w:hAnsi="宋体" w:eastAsia="宋体"/>
          <w:b/>
          <w:sz w:val="28"/>
        </w:rPr>
        <w:t>第八条  违约责任</w:t>
      </w:r>
    </w:p>
    <w:p w14:paraId="7950EC4D">
      <w:pPr>
        <w:spacing w:line="360" w:lineRule="auto"/>
      </w:pPr>
      <w:r>
        <w:rPr>
          <w:rFonts w:ascii="宋体" w:hAnsi="宋体" w:eastAsia="宋体"/>
          <w:sz w:val="24"/>
        </w:rPr>
        <w:t>1. 甲方违约：甲方擅自转保管、擅自使用保管物、未尽保管义务造成财物损失的，按保管物实际市场评估价赔偿；逾期返还保管物的，每日按保管总费用0.5%支付违约金。</w:t>
      </w:r>
    </w:p>
    <w:p w14:paraId="4C28E812">
      <w:pPr>
        <w:spacing w:line="360" w:lineRule="auto"/>
      </w:pPr>
      <w:r>
        <w:rPr>
          <w:rFonts w:ascii="宋体" w:hAnsi="宋体" w:eastAsia="宋体"/>
          <w:sz w:val="24"/>
        </w:rPr>
        <w:t>补充约定：______________________________________________。</w:t>
      </w:r>
    </w:p>
    <w:p w14:paraId="485AD9B6">
      <w:pPr>
        <w:spacing w:line="360" w:lineRule="auto"/>
      </w:pPr>
      <w:r>
        <w:rPr>
          <w:rFonts w:ascii="宋体" w:hAnsi="宋体" w:eastAsia="宋体"/>
          <w:sz w:val="24"/>
        </w:rPr>
        <w:t>2. 乙方违约：乙方隐瞒物品风险、逾期付费、逾期提货，给甲方造成场地占用、财产损失的，乙方全额赔偿；逾期支付保管费，每日按应付未付金额0.5%支付违约金。</w:t>
      </w:r>
    </w:p>
    <w:p w14:paraId="5FABD912">
      <w:pPr>
        <w:spacing w:line="360" w:lineRule="auto"/>
      </w:pPr>
      <w:r>
        <w:rPr>
          <w:rFonts w:ascii="宋体" w:hAnsi="宋体" w:eastAsia="宋体"/>
          <w:sz w:val="24"/>
        </w:rPr>
        <w:t>补充约定：___________________________________________________。</w:t>
      </w:r>
    </w:p>
    <w:p w14:paraId="7CD2D394">
      <w:pPr>
        <w:spacing w:line="360" w:lineRule="auto"/>
      </w:pPr>
      <w:r>
        <w:rPr>
          <w:rFonts w:ascii="宋体" w:hAnsi="宋体" w:eastAsia="宋体"/>
          <w:sz w:val="24"/>
        </w:rPr>
        <w:t>3. 任何一方违约金不足以弥补守约方实际损失的，违约方应当补足差额，包含律师费、诉讼费、保全费、鉴定费等维权合理开支。</w:t>
      </w:r>
    </w:p>
    <w:p w14:paraId="3A4AF44D">
      <w:r>
        <w:rPr>
          <w:rFonts w:ascii="宋体" w:hAnsi="宋体" w:eastAsia="宋体"/>
          <w:b/>
          <w:sz w:val="28"/>
        </w:rPr>
        <w:t>第九条  争议解决</w:t>
      </w:r>
    </w:p>
    <w:p w14:paraId="357F2007">
      <w:pPr>
        <w:spacing w:line="360" w:lineRule="auto"/>
      </w:pPr>
      <w:r>
        <w:rPr>
          <w:rFonts w:ascii="宋体" w:hAnsi="宋体" w:eastAsia="宋体"/>
          <w:sz w:val="24"/>
        </w:rPr>
        <w:t>因本合同订立、履行、解除、赔偿产生一切纠纷，双方先行友好协商；协商、调解不成的，依法向</w:t>
      </w:r>
      <w:r>
        <w:rPr>
          <w:rFonts w:hint="eastAsia"/>
          <w:sz w:val="24"/>
          <w:u w:val="single"/>
          <w:lang w:val="en-US" w:eastAsia="zh-CN"/>
        </w:rPr>
        <w:t>乙方住所地</w:t>
      </w:r>
      <w:r>
        <w:rPr>
          <w:rFonts w:ascii="宋体" w:hAnsi="宋体" w:eastAsia="宋体"/>
          <w:sz w:val="24"/>
          <w:u w:val="single"/>
        </w:rPr>
        <w:t>人民法院</w:t>
      </w:r>
      <w:r>
        <w:rPr>
          <w:rFonts w:ascii="宋体" w:hAnsi="宋体" w:eastAsia="宋体"/>
          <w:sz w:val="24"/>
        </w:rPr>
        <w:t>提起诉讼。</w:t>
      </w:r>
    </w:p>
    <w:p w14:paraId="330AE6F4">
      <w:r>
        <w:rPr>
          <w:rFonts w:ascii="宋体" w:hAnsi="宋体" w:eastAsia="宋体"/>
          <w:b/>
          <w:sz w:val="28"/>
        </w:rPr>
        <w:t>第十条  送达与通讯地址</w:t>
      </w:r>
    </w:p>
    <w:p w14:paraId="62ABFA69">
      <w:pPr>
        <w:spacing w:line="360" w:lineRule="auto"/>
        <w:rPr>
          <w:rFonts w:hint="default" w:eastAsia="宋体"/>
          <w:lang w:val="en-US" w:eastAsia="zh-CN"/>
        </w:rPr>
      </w:pPr>
      <w:r>
        <w:rPr>
          <w:rFonts w:ascii="宋体" w:hAnsi="宋体" w:eastAsia="宋体"/>
          <w:sz w:val="24"/>
        </w:rPr>
        <w:t>10.1  双方固定联络信息：</w:t>
      </w:r>
      <w:r>
        <w:rPr>
          <w:rFonts w:hint="eastAsia"/>
          <w:sz w:val="24"/>
          <w:lang w:val="en-US" w:eastAsia="zh-CN"/>
        </w:rPr>
        <w:t>与合同首部地址一致。</w:t>
      </w:r>
    </w:p>
    <w:p w14:paraId="38883F55">
      <w:pPr>
        <w:spacing w:line="360" w:lineRule="auto"/>
      </w:pPr>
      <w:r>
        <w:rPr>
          <w:rFonts w:ascii="宋体" w:hAnsi="宋体" w:eastAsia="宋体"/>
          <w:sz w:val="24"/>
        </w:rPr>
        <w:t>10.2  所有通知、催告、法律文书以邮箱、书面快递送达；电子送达发送当日视为送达；快递送达拒收、退回，均视为有效签收。</w:t>
      </w:r>
    </w:p>
    <w:p w14:paraId="7503ED1B">
      <w:pPr>
        <w:spacing w:line="360" w:lineRule="auto"/>
      </w:pPr>
      <w:r>
        <w:rPr>
          <w:rFonts w:ascii="宋体" w:hAnsi="宋体" w:eastAsia="宋体"/>
          <w:sz w:val="24"/>
        </w:rPr>
        <w:t>10.3  本条通讯地址同时作为司法送达地址；一方变更联系方式、地址，必须提前3日书面告知对方，未告知产生送达不能、败诉风险由其自行承担。</w:t>
      </w:r>
    </w:p>
    <w:p w14:paraId="4DE8494D">
      <w:pPr>
        <w:spacing w:line="360" w:lineRule="auto"/>
      </w:pPr>
      <w:r>
        <w:rPr>
          <w:rFonts w:ascii="宋体" w:hAnsi="宋体" w:eastAsia="宋体"/>
          <w:sz w:val="24"/>
        </w:rPr>
        <w:t>10.4  本联系方式条款为独立条款，不受合同整体或其他条款的效力影响，始终有效。</w:t>
      </w:r>
    </w:p>
    <w:p w14:paraId="6B7FB1DE">
      <w:r>
        <w:rPr>
          <w:rFonts w:ascii="宋体" w:hAnsi="宋体" w:eastAsia="宋体"/>
          <w:b/>
          <w:sz w:val="28"/>
        </w:rPr>
        <w:t>第十一条  其他约定</w:t>
      </w:r>
    </w:p>
    <w:p w14:paraId="13F53054">
      <w:pPr>
        <w:spacing w:line="360" w:lineRule="auto"/>
      </w:pPr>
      <w:r>
        <w:rPr>
          <w:rFonts w:ascii="宋体" w:hAnsi="宋体" w:eastAsia="宋体"/>
          <w:sz w:val="24"/>
        </w:rPr>
        <w:t>11.1  声明：甲乙双方均有权签署并有能力履行本合同，签署人已获得充分授权。</w:t>
      </w:r>
    </w:p>
    <w:p w14:paraId="5424184C">
      <w:pPr>
        <w:spacing w:line="360" w:lineRule="auto"/>
      </w:pPr>
      <w:r>
        <w:rPr>
          <w:rFonts w:ascii="宋体" w:hAnsi="宋体" w:eastAsia="宋体"/>
          <w:sz w:val="24"/>
        </w:rPr>
        <w:t>11.2  本合同□自保管物交付时成立  □自双方签字盖章之日起成立。</w:t>
      </w:r>
    </w:p>
    <w:p w14:paraId="56E3DDB2">
      <w:pPr>
        <w:spacing w:line="360" w:lineRule="auto"/>
      </w:pPr>
      <w:r>
        <w:rPr>
          <w:rFonts w:ascii="宋体" w:hAnsi="宋体" w:eastAsia="宋体"/>
          <w:sz w:val="24"/>
        </w:rPr>
        <w:t>11.3  本合同正本一式</w:t>
      </w:r>
      <w:r>
        <w:rPr>
          <w:rFonts w:hint="eastAsia"/>
          <w:sz w:val="24"/>
          <w:lang w:val="en-US" w:eastAsia="zh-CN"/>
        </w:rPr>
        <w:t>两</w:t>
      </w:r>
      <w:r>
        <w:rPr>
          <w:rFonts w:ascii="宋体" w:hAnsi="宋体" w:eastAsia="宋体"/>
          <w:sz w:val="24"/>
        </w:rPr>
        <w:t>份，甲</w:t>
      </w:r>
      <w:bookmarkStart w:id="0" w:name="_GoBack"/>
      <w:bookmarkEnd w:id="0"/>
      <w:r>
        <w:rPr>
          <w:rFonts w:ascii="宋体" w:hAnsi="宋体" w:eastAsia="宋体"/>
          <w:sz w:val="24"/>
        </w:rPr>
        <w:t>乙双方各执</w:t>
      </w:r>
      <w:r>
        <w:rPr>
          <w:rFonts w:hint="eastAsia"/>
          <w:sz w:val="24"/>
          <w:lang w:val="en-US" w:eastAsia="zh-CN"/>
        </w:rPr>
        <w:t>一</w:t>
      </w:r>
      <w:r>
        <w:rPr>
          <w:rFonts w:ascii="宋体" w:hAnsi="宋体" w:eastAsia="宋体"/>
          <w:sz w:val="24"/>
        </w:rPr>
        <w:t>份，具有同等法律效力。</w:t>
      </w:r>
    </w:p>
    <w:p w14:paraId="384E3E76">
      <w:pPr>
        <w:spacing w:line="360" w:lineRule="auto"/>
      </w:pPr>
      <w:r>
        <w:rPr>
          <w:rFonts w:ascii="宋体" w:hAnsi="宋体" w:eastAsia="宋体"/>
          <w:sz w:val="24"/>
        </w:rPr>
        <w:t>11.4  本合同未尽事宜，双方可另行签订补充协议，补充协议与本合同具有同等法律效力。</w:t>
      </w:r>
    </w:p>
    <w:p w14:paraId="0561D8AE">
      <w:pPr>
        <w:jc w:val="left"/>
        <w:rPr>
          <w:rFonts w:hint="eastAsia" w:eastAsia="宋体"/>
          <w:lang w:eastAsia="zh-CN"/>
        </w:rPr>
      </w:pPr>
      <w:r>
        <w:rPr>
          <w:rFonts w:hint="eastAsia"/>
          <w:sz w:val="24"/>
          <w:lang w:eastAsia="zh-CN"/>
        </w:rPr>
        <w:t>（</w:t>
      </w:r>
      <w:r>
        <w:rPr>
          <w:rFonts w:hint="eastAsia"/>
          <w:sz w:val="24"/>
          <w:lang w:val="en-US" w:eastAsia="zh-CN"/>
        </w:rPr>
        <w:t>以下无正文，为合同签署页</w:t>
      </w:r>
      <w:r>
        <w:rPr>
          <w:rFonts w:hint="eastAsia"/>
          <w:sz w:val="24"/>
          <w:lang w:eastAsia="zh-CN"/>
        </w:rPr>
        <w:t>）</w:t>
      </w:r>
    </w:p>
    <w:tbl>
      <w:tblPr>
        <w:tblStyle w:val="33"/>
        <w:tblW w:w="0" w:type="auto"/>
        <w:jc w:val="center"/>
        <w:tblLayout w:type="autofit"/>
        <w:tblCellMar>
          <w:top w:w="0" w:type="dxa"/>
          <w:left w:w="108" w:type="dxa"/>
          <w:bottom w:w="0" w:type="dxa"/>
          <w:right w:w="108" w:type="dxa"/>
        </w:tblCellMar>
      </w:tblPr>
      <w:tblGrid>
        <w:gridCol w:w="4252"/>
        <w:gridCol w:w="4252"/>
      </w:tblGrid>
      <w:tr w14:paraId="4EDD9BE5">
        <w:tblPrEx>
          <w:tblCellMar>
            <w:top w:w="0" w:type="dxa"/>
            <w:left w:w="108" w:type="dxa"/>
            <w:bottom w:w="0" w:type="dxa"/>
            <w:right w:w="108" w:type="dxa"/>
          </w:tblCellMar>
        </w:tblPrEx>
        <w:trPr>
          <w:trHeight w:val="680" w:hRule="atLeast"/>
          <w:jc w:val="center"/>
        </w:trPr>
        <w:tc>
          <w:tcPr>
            <w:tcW w:w="4252" w:type="dxa"/>
            <w:tcBorders>
              <w:top w:val="nil"/>
              <w:left w:val="nil"/>
              <w:bottom w:val="nil"/>
              <w:right w:val="nil"/>
            </w:tcBorders>
          </w:tcPr>
          <w:p w14:paraId="6C01D39F">
            <w:pPr>
              <w:jc w:val="center"/>
            </w:pPr>
            <w:r>
              <w:rPr>
                <w:rFonts w:ascii="宋体" w:hAnsi="宋体" w:eastAsia="宋体"/>
                <w:b/>
                <w:sz w:val="24"/>
              </w:rPr>
              <w:t>甲方（盖章）：</w:t>
            </w:r>
          </w:p>
        </w:tc>
        <w:tc>
          <w:tcPr>
            <w:tcW w:w="4252" w:type="dxa"/>
            <w:tcBorders>
              <w:top w:val="nil"/>
              <w:left w:val="nil"/>
              <w:bottom w:val="nil"/>
              <w:right w:val="nil"/>
            </w:tcBorders>
          </w:tcPr>
          <w:p w14:paraId="25551C2B">
            <w:pPr>
              <w:jc w:val="center"/>
            </w:pPr>
            <w:r>
              <w:rPr>
                <w:rFonts w:ascii="宋体" w:hAnsi="宋体" w:eastAsia="宋体"/>
                <w:b/>
                <w:sz w:val="24"/>
              </w:rPr>
              <w:t>乙方（盖章）：</w:t>
            </w:r>
          </w:p>
        </w:tc>
      </w:tr>
      <w:tr w14:paraId="5F1366E8">
        <w:tblPrEx>
          <w:tblCellMar>
            <w:top w:w="0" w:type="dxa"/>
            <w:left w:w="108" w:type="dxa"/>
            <w:bottom w:w="0" w:type="dxa"/>
            <w:right w:w="108" w:type="dxa"/>
          </w:tblCellMar>
        </w:tblPrEx>
        <w:trPr>
          <w:trHeight w:val="680" w:hRule="atLeast"/>
          <w:jc w:val="center"/>
        </w:trPr>
        <w:tc>
          <w:tcPr>
            <w:tcW w:w="4252" w:type="dxa"/>
            <w:tcBorders>
              <w:top w:val="nil"/>
              <w:left w:val="nil"/>
              <w:bottom w:val="nil"/>
              <w:right w:val="nil"/>
            </w:tcBorders>
          </w:tcPr>
          <w:p w14:paraId="2171C712">
            <w:r>
              <w:rPr>
                <w:rFonts w:ascii="宋体" w:hAnsi="宋体" w:eastAsia="宋体"/>
                <w:sz w:val="24"/>
              </w:rPr>
              <w:t>法定代表人/授权代表（签字）：</w:t>
            </w:r>
          </w:p>
        </w:tc>
        <w:tc>
          <w:tcPr>
            <w:tcW w:w="4252" w:type="dxa"/>
            <w:tcBorders>
              <w:top w:val="nil"/>
              <w:left w:val="nil"/>
              <w:bottom w:val="nil"/>
              <w:right w:val="nil"/>
            </w:tcBorders>
          </w:tcPr>
          <w:p w14:paraId="0689E469">
            <w:r>
              <w:rPr>
                <w:rFonts w:ascii="宋体" w:hAnsi="宋体" w:eastAsia="宋体"/>
                <w:sz w:val="24"/>
              </w:rPr>
              <w:t>法定代表人/授权代表（签字）：</w:t>
            </w:r>
          </w:p>
        </w:tc>
      </w:tr>
      <w:tr w14:paraId="37E13D33">
        <w:tblPrEx>
          <w:tblCellMar>
            <w:top w:w="0" w:type="dxa"/>
            <w:left w:w="108" w:type="dxa"/>
            <w:bottom w:w="0" w:type="dxa"/>
            <w:right w:w="108" w:type="dxa"/>
          </w:tblCellMar>
        </w:tblPrEx>
        <w:trPr>
          <w:trHeight w:val="680" w:hRule="atLeast"/>
          <w:jc w:val="center"/>
        </w:trPr>
        <w:tc>
          <w:tcPr>
            <w:tcW w:w="4252" w:type="dxa"/>
            <w:tcBorders>
              <w:top w:val="nil"/>
              <w:left w:val="nil"/>
              <w:bottom w:val="nil"/>
              <w:right w:val="nil"/>
            </w:tcBorders>
          </w:tcPr>
          <w:p w14:paraId="45097FA8">
            <w:r>
              <w:rPr>
                <w:rFonts w:ascii="宋体" w:hAnsi="宋体" w:eastAsia="宋体"/>
                <w:sz w:val="24"/>
              </w:rPr>
              <w:t>日期：    年  月  日</w:t>
            </w:r>
          </w:p>
        </w:tc>
        <w:tc>
          <w:tcPr>
            <w:tcW w:w="4252" w:type="dxa"/>
            <w:tcBorders>
              <w:top w:val="nil"/>
              <w:left w:val="nil"/>
              <w:bottom w:val="nil"/>
              <w:right w:val="nil"/>
            </w:tcBorders>
          </w:tcPr>
          <w:p w14:paraId="3B88A678">
            <w:r>
              <w:rPr>
                <w:rFonts w:ascii="宋体" w:hAnsi="宋体" w:eastAsia="宋体"/>
                <w:sz w:val="24"/>
              </w:rPr>
              <w:t>日期：    年  月  日</w:t>
            </w:r>
          </w:p>
        </w:tc>
      </w:tr>
    </w:tbl>
    <w:p w14:paraId="26659E90"/>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panose1 w:val="02060409020205020404"/>
    <w:charset w:val="00"/>
    <w:family w:val="auto"/>
    <w:pitch w:val="default"/>
    <w:sig w:usb0="00000007" w:usb1="00000000" w:usb2="00000000" w:usb3="00000000" w:csb0="00000093" w:csb1="00000000"/>
  </w:font>
  <w:font w:name="ＭＳ 明朝">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Helvetica">
    <w:panose1 w:val="020B0504020202030204"/>
    <w:charset w:val="00"/>
    <w:family w:val="auto"/>
    <w:pitch w:val="default"/>
    <w:sig w:usb0="00000007" w:usb1="00000000" w:usb2="00000000" w:usb3="00000000" w:csb0="0000009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965124"/>
    <w:rsid w:val="209576EE"/>
    <w:rsid w:val="41AD1A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2452</Words>
  <Characters>3484</Characters>
  <Lines>0</Lines>
  <Paragraphs>0</Paragraphs>
  <TotalTime>13</TotalTime>
  <ScaleCrop>false</ScaleCrop>
  <LinksUpToDate>false</LinksUpToDate>
  <CharactersWithSpaces>3615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敖律师</cp:lastModifiedBy>
  <dcterms:modified xsi:type="dcterms:W3CDTF">2026-07-05T12:24:46Z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eyJoZGlkIjoiZGVhYTRkYWVkOGIwMTgyZjFiODM4YzQ4OTdhNjI0YTAiLCJ1c2VySWQiOiIxMDI2NDI2MDI2In0=</vt:lpwstr>
  </property>
  <property fmtid="{D5CDD505-2E9C-101B-9397-08002B2CF9AE}" pid="3" name="KSOProductBuildVer">
    <vt:lpwstr>2052-12.1.0.26375</vt:lpwstr>
  </property>
  <property fmtid="{D5CDD505-2E9C-101B-9397-08002B2CF9AE}" pid="4" name="ICV">
    <vt:lpwstr>A16D102C855644C9802BC3FCB6959AF0_12</vt:lpwstr>
  </property>
</Properties>
</file>