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815B92">
      <w:pPr>
        <w:spacing w:before="480" w:after="480" w:line="288" w:lineRule="auto"/>
        <w:ind w:left="0"/>
        <w:jc w:val="center"/>
        <w:rPr>
          <w:rFonts w:hint="eastAsia" w:asciiTheme="minorEastAsia" w:hAnsiTheme="minorEastAsia" w:eastAsiaTheme="minorEastAsia" w:cstheme="minorEastAsia"/>
          <w:b/>
          <w:sz w:val="52"/>
        </w:rPr>
      </w:pPr>
      <w:r>
        <w:rPr>
          <w:rFonts w:hint="eastAsia" w:asciiTheme="minorEastAsia" w:hAnsiTheme="minorEastAsia" w:eastAsiaTheme="minorEastAsia" w:cstheme="minorEastAsia"/>
          <w:b/>
          <w:sz w:val="52"/>
        </w:rPr>
        <w:t>仓储合同</w:t>
      </w:r>
    </w:p>
    <w:p w14:paraId="2666E9C2">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b/>
          <w:sz w:val="22"/>
        </w:rPr>
        <w:t>甲方（存货方）：</w:t>
      </w:r>
      <w:r>
        <w:rPr>
          <w:rFonts w:hint="eastAsia" w:asciiTheme="minorEastAsia" w:hAnsiTheme="minorEastAsia" w:eastAsiaTheme="minorEastAsia" w:cstheme="minorEastAsia"/>
          <w:sz w:val="22"/>
        </w:rPr>
        <w:t>________________________</w:t>
      </w:r>
    </w:p>
    <w:p w14:paraId="6B96DECE">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统一社会信用代码：________________________</w:t>
      </w:r>
    </w:p>
    <w:p w14:paraId="63569AB9">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地址：________________________</w:t>
      </w:r>
    </w:p>
    <w:p w14:paraId="531E26DE">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联系人及电话：________________________</w:t>
      </w:r>
    </w:p>
    <w:p w14:paraId="3620F977">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b/>
          <w:sz w:val="22"/>
        </w:rPr>
        <w:t>乙方（保管方）：</w:t>
      </w:r>
      <w:r>
        <w:rPr>
          <w:rFonts w:hint="eastAsia" w:asciiTheme="minorEastAsia" w:hAnsiTheme="minorEastAsia" w:eastAsiaTheme="minorEastAsia" w:cstheme="minorEastAsia"/>
          <w:sz w:val="22"/>
        </w:rPr>
        <w:t>________________________</w:t>
      </w:r>
    </w:p>
    <w:p w14:paraId="4D8046B0">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统一社会信用代码：________________________</w:t>
      </w:r>
    </w:p>
    <w:p w14:paraId="71FB4353">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地址：________________________</w:t>
      </w:r>
    </w:p>
    <w:p w14:paraId="6854279F">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联系人及电话：________________________</w:t>
      </w:r>
    </w:p>
    <w:p w14:paraId="76B68ECD">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依据《中华人民共和国民法典》及相关法律法规，甲乙双方本着平等自愿、公平诚信、权责统一的原则，就甲方货物委托乙方仓储保管事宜，经友好协商，达成一致，订立本合同，双方共同严格恪守履行。</w:t>
      </w:r>
    </w:p>
    <w:p w14:paraId="72C8F737">
      <w:pPr>
        <w:spacing w:before="320" w:after="120" w:line="288" w:lineRule="auto"/>
        <w:ind w:left="0"/>
        <w:jc w:val="left"/>
        <w:outlineLvl w:val="1"/>
        <w:rPr>
          <w:rFonts w:hint="eastAsia" w:asciiTheme="minorEastAsia" w:hAnsiTheme="minorEastAsia" w:eastAsiaTheme="minorEastAsia" w:cstheme="minorEastAsia"/>
        </w:rPr>
      </w:pPr>
      <w:bookmarkStart w:id="0" w:name="heading_0"/>
      <w:r>
        <w:rPr>
          <w:rFonts w:hint="eastAsia" w:asciiTheme="minorEastAsia" w:hAnsiTheme="minorEastAsia" w:eastAsiaTheme="minorEastAsia" w:cstheme="minorEastAsia"/>
          <w:b/>
          <w:sz w:val="32"/>
        </w:rPr>
        <w:t>第一条 仓储服务内容</w:t>
      </w:r>
      <w:bookmarkEnd w:id="0"/>
    </w:p>
    <w:p w14:paraId="1EA15D41">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1.1 合作模式：乙方为甲方提供专属货物仓储保管服务，有偿收取仓储保管相关费用。乙方负责提供合规仓库场地、配套仓储设备、专业仓储管理人员，全程负责甲方货物的储存、保管、养护、出入库管理。根据甲方需求，乙方可提供仓储、保管、运输相关技术资料与配套服务。</w:t>
      </w:r>
    </w:p>
    <w:p w14:paraId="42D07A1F">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1.2 仓储物信息：甲方委托乙方保管的货物明细如下：</w:t>
      </w:r>
    </w:p>
    <w:tbl>
      <w:tblPr>
        <w:tblStyle w:val="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035"/>
        <w:gridCol w:w="1035"/>
        <w:gridCol w:w="1035"/>
        <w:gridCol w:w="1035"/>
        <w:gridCol w:w="1035"/>
        <w:gridCol w:w="1035"/>
        <w:gridCol w:w="1035"/>
        <w:gridCol w:w="1035"/>
      </w:tblGrid>
      <w:tr w14:paraId="778B5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35" w:type="dxa"/>
            <w:tcMar>
              <w:top w:w="60" w:type="dxa"/>
              <w:left w:w="120" w:type="dxa"/>
              <w:bottom w:w="30" w:type="dxa"/>
              <w:right w:w="120" w:type="dxa"/>
            </w:tcMar>
          </w:tcPr>
          <w:p w14:paraId="5B8F76B9">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品名</w:t>
            </w:r>
          </w:p>
        </w:tc>
        <w:tc>
          <w:tcPr>
            <w:tcW w:w="1035" w:type="dxa"/>
            <w:tcMar>
              <w:top w:w="60" w:type="dxa"/>
              <w:left w:w="120" w:type="dxa"/>
              <w:bottom w:w="30" w:type="dxa"/>
              <w:right w:w="120" w:type="dxa"/>
            </w:tcMar>
          </w:tcPr>
          <w:p w14:paraId="37A80DB8">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品种规格</w:t>
            </w:r>
          </w:p>
        </w:tc>
        <w:tc>
          <w:tcPr>
            <w:tcW w:w="1035" w:type="dxa"/>
            <w:tcMar>
              <w:top w:w="60" w:type="dxa"/>
              <w:left w:w="120" w:type="dxa"/>
              <w:bottom w:w="30" w:type="dxa"/>
              <w:right w:w="120" w:type="dxa"/>
            </w:tcMar>
          </w:tcPr>
          <w:p w14:paraId="5A10AD5D">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性质</w:t>
            </w:r>
          </w:p>
        </w:tc>
        <w:tc>
          <w:tcPr>
            <w:tcW w:w="1035" w:type="dxa"/>
            <w:tcMar>
              <w:top w:w="60" w:type="dxa"/>
              <w:left w:w="120" w:type="dxa"/>
              <w:bottom w:w="30" w:type="dxa"/>
              <w:right w:w="120" w:type="dxa"/>
            </w:tcMar>
          </w:tcPr>
          <w:p w14:paraId="7CBFF692">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数量</w:t>
            </w:r>
          </w:p>
        </w:tc>
        <w:tc>
          <w:tcPr>
            <w:tcW w:w="1035" w:type="dxa"/>
            <w:tcMar>
              <w:top w:w="60" w:type="dxa"/>
              <w:left w:w="120" w:type="dxa"/>
              <w:bottom w:w="30" w:type="dxa"/>
              <w:right w:w="120" w:type="dxa"/>
            </w:tcMar>
          </w:tcPr>
          <w:p w14:paraId="4251D634">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质量</w:t>
            </w:r>
          </w:p>
        </w:tc>
        <w:tc>
          <w:tcPr>
            <w:tcW w:w="1035" w:type="dxa"/>
            <w:tcMar>
              <w:top w:w="60" w:type="dxa"/>
              <w:left w:w="120" w:type="dxa"/>
              <w:bottom w:w="30" w:type="dxa"/>
              <w:right w:w="120" w:type="dxa"/>
            </w:tcMar>
          </w:tcPr>
          <w:p w14:paraId="12CF2443">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包装</w:t>
            </w:r>
          </w:p>
        </w:tc>
        <w:tc>
          <w:tcPr>
            <w:tcW w:w="1035" w:type="dxa"/>
            <w:tcMar>
              <w:top w:w="60" w:type="dxa"/>
              <w:left w:w="120" w:type="dxa"/>
              <w:bottom w:w="30" w:type="dxa"/>
              <w:right w:w="120" w:type="dxa"/>
            </w:tcMar>
          </w:tcPr>
          <w:p w14:paraId="76A2D248">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件数</w:t>
            </w:r>
          </w:p>
        </w:tc>
        <w:tc>
          <w:tcPr>
            <w:tcW w:w="1035" w:type="dxa"/>
            <w:tcMar>
              <w:top w:w="60" w:type="dxa"/>
              <w:left w:w="120" w:type="dxa"/>
              <w:bottom w:w="30" w:type="dxa"/>
              <w:right w:w="120" w:type="dxa"/>
            </w:tcMar>
          </w:tcPr>
          <w:p w14:paraId="0C5389FB">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标记</w:t>
            </w:r>
          </w:p>
        </w:tc>
      </w:tr>
      <w:tr w14:paraId="4954D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35" w:type="dxa"/>
            <w:tcMar>
              <w:top w:w="60" w:type="dxa"/>
              <w:left w:w="120" w:type="dxa"/>
              <w:bottom w:w="30" w:type="dxa"/>
              <w:right w:w="120" w:type="dxa"/>
            </w:tcMar>
          </w:tcPr>
          <w:p w14:paraId="2A429088">
            <w:pPr>
              <w:spacing w:before="120" w:after="120" w:line="288" w:lineRule="auto"/>
              <w:ind w:left="0"/>
              <w:jc w:val="left"/>
              <w:rPr>
                <w:rFonts w:hint="eastAsia" w:asciiTheme="minorEastAsia" w:hAnsiTheme="minorEastAsia" w:eastAsiaTheme="minorEastAsia" w:cstheme="minorEastAsia"/>
              </w:rPr>
            </w:pPr>
          </w:p>
        </w:tc>
        <w:tc>
          <w:tcPr>
            <w:tcW w:w="1035" w:type="dxa"/>
            <w:tcMar>
              <w:top w:w="60" w:type="dxa"/>
              <w:left w:w="120" w:type="dxa"/>
              <w:bottom w:w="30" w:type="dxa"/>
              <w:right w:w="120" w:type="dxa"/>
            </w:tcMar>
          </w:tcPr>
          <w:p w14:paraId="743B1D4F">
            <w:pPr>
              <w:spacing w:before="120" w:after="120" w:line="288" w:lineRule="auto"/>
              <w:ind w:left="0"/>
              <w:jc w:val="left"/>
              <w:rPr>
                <w:rFonts w:hint="eastAsia" w:asciiTheme="minorEastAsia" w:hAnsiTheme="minorEastAsia" w:eastAsiaTheme="minorEastAsia" w:cstheme="minorEastAsia"/>
              </w:rPr>
            </w:pPr>
          </w:p>
        </w:tc>
        <w:tc>
          <w:tcPr>
            <w:tcW w:w="1035" w:type="dxa"/>
            <w:tcMar>
              <w:top w:w="60" w:type="dxa"/>
              <w:left w:w="120" w:type="dxa"/>
              <w:bottom w:w="30" w:type="dxa"/>
              <w:right w:w="120" w:type="dxa"/>
            </w:tcMar>
          </w:tcPr>
          <w:p w14:paraId="3B9524B6">
            <w:pPr>
              <w:spacing w:before="120" w:after="120" w:line="288" w:lineRule="auto"/>
              <w:ind w:left="0"/>
              <w:jc w:val="left"/>
              <w:rPr>
                <w:rFonts w:hint="eastAsia" w:asciiTheme="minorEastAsia" w:hAnsiTheme="minorEastAsia" w:eastAsiaTheme="minorEastAsia" w:cstheme="minorEastAsia"/>
              </w:rPr>
            </w:pPr>
          </w:p>
        </w:tc>
        <w:tc>
          <w:tcPr>
            <w:tcW w:w="1035" w:type="dxa"/>
            <w:tcMar>
              <w:top w:w="60" w:type="dxa"/>
              <w:left w:w="120" w:type="dxa"/>
              <w:bottom w:w="30" w:type="dxa"/>
              <w:right w:w="120" w:type="dxa"/>
            </w:tcMar>
          </w:tcPr>
          <w:p w14:paraId="7DE7231B">
            <w:pPr>
              <w:spacing w:before="120" w:after="120" w:line="288" w:lineRule="auto"/>
              <w:ind w:left="0"/>
              <w:jc w:val="left"/>
              <w:rPr>
                <w:rFonts w:hint="eastAsia" w:asciiTheme="minorEastAsia" w:hAnsiTheme="minorEastAsia" w:eastAsiaTheme="minorEastAsia" w:cstheme="minorEastAsia"/>
              </w:rPr>
            </w:pPr>
          </w:p>
        </w:tc>
        <w:tc>
          <w:tcPr>
            <w:tcW w:w="1035" w:type="dxa"/>
            <w:tcMar>
              <w:top w:w="60" w:type="dxa"/>
              <w:left w:w="120" w:type="dxa"/>
              <w:bottom w:w="30" w:type="dxa"/>
              <w:right w:w="120" w:type="dxa"/>
            </w:tcMar>
          </w:tcPr>
          <w:p w14:paraId="79A2B924">
            <w:pPr>
              <w:spacing w:before="120" w:after="120" w:line="288" w:lineRule="auto"/>
              <w:ind w:left="0"/>
              <w:jc w:val="left"/>
              <w:rPr>
                <w:rFonts w:hint="eastAsia" w:asciiTheme="minorEastAsia" w:hAnsiTheme="minorEastAsia" w:eastAsiaTheme="minorEastAsia" w:cstheme="minorEastAsia"/>
              </w:rPr>
            </w:pPr>
          </w:p>
        </w:tc>
        <w:tc>
          <w:tcPr>
            <w:tcW w:w="1035" w:type="dxa"/>
            <w:tcMar>
              <w:top w:w="60" w:type="dxa"/>
              <w:left w:w="120" w:type="dxa"/>
              <w:bottom w:w="30" w:type="dxa"/>
              <w:right w:w="120" w:type="dxa"/>
            </w:tcMar>
          </w:tcPr>
          <w:p w14:paraId="46891605">
            <w:pPr>
              <w:spacing w:before="120" w:after="120" w:line="288" w:lineRule="auto"/>
              <w:ind w:left="0"/>
              <w:jc w:val="left"/>
              <w:rPr>
                <w:rFonts w:hint="eastAsia" w:asciiTheme="minorEastAsia" w:hAnsiTheme="minorEastAsia" w:eastAsiaTheme="minorEastAsia" w:cstheme="minorEastAsia"/>
              </w:rPr>
            </w:pPr>
          </w:p>
        </w:tc>
        <w:tc>
          <w:tcPr>
            <w:tcW w:w="1035" w:type="dxa"/>
            <w:tcMar>
              <w:top w:w="60" w:type="dxa"/>
              <w:left w:w="120" w:type="dxa"/>
              <w:bottom w:w="30" w:type="dxa"/>
              <w:right w:w="120" w:type="dxa"/>
            </w:tcMar>
          </w:tcPr>
          <w:p w14:paraId="3AB06494">
            <w:pPr>
              <w:spacing w:before="120" w:after="120" w:line="288" w:lineRule="auto"/>
              <w:ind w:left="0"/>
              <w:jc w:val="left"/>
              <w:rPr>
                <w:rFonts w:hint="eastAsia" w:asciiTheme="minorEastAsia" w:hAnsiTheme="minorEastAsia" w:eastAsiaTheme="minorEastAsia" w:cstheme="minorEastAsia"/>
              </w:rPr>
            </w:pPr>
          </w:p>
        </w:tc>
        <w:tc>
          <w:tcPr>
            <w:tcW w:w="1035" w:type="dxa"/>
            <w:tcMar>
              <w:top w:w="60" w:type="dxa"/>
              <w:left w:w="120" w:type="dxa"/>
              <w:bottom w:w="30" w:type="dxa"/>
              <w:right w:w="120" w:type="dxa"/>
            </w:tcMar>
          </w:tcPr>
          <w:p w14:paraId="5A79D37B">
            <w:pPr>
              <w:spacing w:before="120" w:after="120" w:line="288" w:lineRule="auto"/>
              <w:ind w:left="0"/>
              <w:jc w:val="left"/>
              <w:rPr>
                <w:rFonts w:hint="eastAsia" w:asciiTheme="minorEastAsia" w:hAnsiTheme="minorEastAsia" w:eastAsiaTheme="minorEastAsia" w:cstheme="minorEastAsia"/>
              </w:rPr>
            </w:pPr>
          </w:p>
        </w:tc>
      </w:tr>
      <w:tr w14:paraId="7AE73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35" w:type="dxa"/>
            <w:tcMar>
              <w:top w:w="60" w:type="dxa"/>
              <w:left w:w="120" w:type="dxa"/>
              <w:bottom w:w="30" w:type="dxa"/>
              <w:right w:w="120" w:type="dxa"/>
            </w:tcMar>
          </w:tcPr>
          <w:p w14:paraId="592FD8C5">
            <w:pPr>
              <w:spacing w:before="120" w:after="120" w:line="288" w:lineRule="auto"/>
              <w:ind w:left="0"/>
              <w:jc w:val="left"/>
              <w:rPr>
                <w:rFonts w:hint="eastAsia" w:asciiTheme="minorEastAsia" w:hAnsiTheme="minorEastAsia" w:eastAsiaTheme="minorEastAsia" w:cstheme="minorEastAsia"/>
              </w:rPr>
            </w:pPr>
          </w:p>
        </w:tc>
        <w:tc>
          <w:tcPr>
            <w:tcW w:w="1035" w:type="dxa"/>
            <w:tcMar>
              <w:top w:w="60" w:type="dxa"/>
              <w:left w:w="120" w:type="dxa"/>
              <w:bottom w:w="30" w:type="dxa"/>
              <w:right w:w="120" w:type="dxa"/>
            </w:tcMar>
          </w:tcPr>
          <w:p w14:paraId="47197DFC">
            <w:pPr>
              <w:spacing w:before="120" w:after="120" w:line="288" w:lineRule="auto"/>
              <w:ind w:left="0"/>
              <w:jc w:val="left"/>
              <w:rPr>
                <w:rFonts w:hint="eastAsia" w:asciiTheme="minorEastAsia" w:hAnsiTheme="minorEastAsia" w:eastAsiaTheme="minorEastAsia" w:cstheme="minorEastAsia"/>
              </w:rPr>
            </w:pPr>
          </w:p>
        </w:tc>
        <w:tc>
          <w:tcPr>
            <w:tcW w:w="1035" w:type="dxa"/>
            <w:tcMar>
              <w:top w:w="60" w:type="dxa"/>
              <w:left w:w="120" w:type="dxa"/>
              <w:bottom w:w="30" w:type="dxa"/>
              <w:right w:w="120" w:type="dxa"/>
            </w:tcMar>
          </w:tcPr>
          <w:p w14:paraId="73086D26">
            <w:pPr>
              <w:spacing w:before="120" w:after="120" w:line="288" w:lineRule="auto"/>
              <w:ind w:left="0"/>
              <w:jc w:val="left"/>
              <w:rPr>
                <w:rFonts w:hint="eastAsia" w:asciiTheme="minorEastAsia" w:hAnsiTheme="minorEastAsia" w:eastAsiaTheme="minorEastAsia" w:cstheme="minorEastAsia"/>
              </w:rPr>
            </w:pPr>
          </w:p>
        </w:tc>
        <w:tc>
          <w:tcPr>
            <w:tcW w:w="1035" w:type="dxa"/>
            <w:tcMar>
              <w:top w:w="60" w:type="dxa"/>
              <w:left w:w="120" w:type="dxa"/>
              <w:bottom w:w="30" w:type="dxa"/>
              <w:right w:w="120" w:type="dxa"/>
            </w:tcMar>
          </w:tcPr>
          <w:p w14:paraId="7C644BD0">
            <w:pPr>
              <w:spacing w:before="120" w:after="120" w:line="288" w:lineRule="auto"/>
              <w:ind w:left="0"/>
              <w:jc w:val="left"/>
              <w:rPr>
                <w:rFonts w:hint="eastAsia" w:asciiTheme="minorEastAsia" w:hAnsiTheme="minorEastAsia" w:eastAsiaTheme="minorEastAsia" w:cstheme="minorEastAsia"/>
              </w:rPr>
            </w:pPr>
          </w:p>
        </w:tc>
        <w:tc>
          <w:tcPr>
            <w:tcW w:w="1035" w:type="dxa"/>
            <w:tcMar>
              <w:top w:w="60" w:type="dxa"/>
              <w:left w:w="120" w:type="dxa"/>
              <w:bottom w:w="30" w:type="dxa"/>
              <w:right w:w="120" w:type="dxa"/>
            </w:tcMar>
          </w:tcPr>
          <w:p w14:paraId="55FCA865">
            <w:pPr>
              <w:spacing w:before="120" w:after="120" w:line="288" w:lineRule="auto"/>
              <w:ind w:left="0"/>
              <w:jc w:val="left"/>
              <w:rPr>
                <w:rFonts w:hint="eastAsia" w:asciiTheme="minorEastAsia" w:hAnsiTheme="minorEastAsia" w:eastAsiaTheme="minorEastAsia" w:cstheme="minorEastAsia"/>
              </w:rPr>
            </w:pPr>
          </w:p>
        </w:tc>
        <w:tc>
          <w:tcPr>
            <w:tcW w:w="1035" w:type="dxa"/>
            <w:tcMar>
              <w:top w:w="60" w:type="dxa"/>
              <w:left w:w="120" w:type="dxa"/>
              <w:bottom w:w="30" w:type="dxa"/>
              <w:right w:w="120" w:type="dxa"/>
            </w:tcMar>
          </w:tcPr>
          <w:p w14:paraId="154FA909">
            <w:pPr>
              <w:spacing w:before="120" w:after="120" w:line="288" w:lineRule="auto"/>
              <w:ind w:left="0"/>
              <w:jc w:val="left"/>
              <w:rPr>
                <w:rFonts w:hint="eastAsia" w:asciiTheme="minorEastAsia" w:hAnsiTheme="minorEastAsia" w:eastAsiaTheme="minorEastAsia" w:cstheme="minorEastAsia"/>
              </w:rPr>
            </w:pPr>
          </w:p>
        </w:tc>
        <w:tc>
          <w:tcPr>
            <w:tcW w:w="1035" w:type="dxa"/>
            <w:tcMar>
              <w:top w:w="60" w:type="dxa"/>
              <w:left w:w="120" w:type="dxa"/>
              <w:bottom w:w="30" w:type="dxa"/>
              <w:right w:w="120" w:type="dxa"/>
            </w:tcMar>
          </w:tcPr>
          <w:p w14:paraId="374E3D7F">
            <w:pPr>
              <w:spacing w:before="120" w:after="120" w:line="288" w:lineRule="auto"/>
              <w:ind w:left="0"/>
              <w:jc w:val="left"/>
              <w:rPr>
                <w:rFonts w:hint="eastAsia" w:asciiTheme="minorEastAsia" w:hAnsiTheme="minorEastAsia" w:eastAsiaTheme="minorEastAsia" w:cstheme="minorEastAsia"/>
              </w:rPr>
            </w:pPr>
          </w:p>
        </w:tc>
        <w:tc>
          <w:tcPr>
            <w:tcW w:w="1035" w:type="dxa"/>
            <w:tcMar>
              <w:top w:w="60" w:type="dxa"/>
              <w:left w:w="120" w:type="dxa"/>
              <w:bottom w:w="30" w:type="dxa"/>
              <w:right w:w="120" w:type="dxa"/>
            </w:tcMar>
          </w:tcPr>
          <w:p w14:paraId="195E7931">
            <w:pPr>
              <w:spacing w:before="120" w:after="120" w:line="288" w:lineRule="auto"/>
              <w:ind w:left="0"/>
              <w:jc w:val="left"/>
              <w:rPr>
                <w:rFonts w:hint="eastAsia" w:asciiTheme="minorEastAsia" w:hAnsiTheme="minorEastAsia" w:eastAsiaTheme="minorEastAsia" w:cstheme="minorEastAsia"/>
              </w:rPr>
            </w:pPr>
          </w:p>
        </w:tc>
      </w:tr>
      <w:tr w14:paraId="0702B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35" w:type="dxa"/>
            <w:tcMar>
              <w:top w:w="60" w:type="dxa"/>
              <w:left w:w="120" w:type="dxa"/>
              <w:bottom w:w="30" w:type="dxa"/>
              <w:right w:w="120" w:type="dxa"/>
            </w:tcMar>
          </w:tcPr>
          <w:p w14:paraId="715BC668">
            <w:pPr>
              <w:spacing w:before="120" w:after="120" w:line="288" w:lineRule="auto"/>
              <w:ind w:left="0"/>
              <w:jc w:val="left"/>
              <w:rPr>
                <w:rFonts w:hint="eastAsia" w:asciiTheme="minorEastAsia" w:hAnsiTheme="minorEastAsia" w:eastAsiaTheme="minorEastAsia" w:cstheme="minorEastAsia"/>
              </w:rPr>
            </w:pPr>
          </w:p>
        </w:tc>
        <w:tc>
          <w:tcPr>
            <w:tcW w:w="1035" w:type="dxa"/>
            <w:tcMar>
              <w:top w:w="60" w:type="dxa"/>
              <w:left w:w="120" w:type="dxa"/>
              <w:bottom w:w="30" w:type="dxa"/>
              <w:right w:w="120" w:type="dxa"/>
            </w:tcMar>
          </w:tcPr>
          <w:p w14:paraId="3F797E62">
            <w:pPr>
              <w:spacing w:before="120" w:after="120" w:line="288" w:lineRule="auto"/>
              <w:ind w:left="0"/>
              <w:jc w:val="left"/>
              <w:rPr>
                <w:rFonts w:hint="eastAsia" w:asciiTheme="minorEastAsia" w:hAnsiTheme="minorEastAsia" w:eastAsiaTheme="minorEastAsia" w:cstheme="minorEastAsia"/>
              </w:rPr>
            </w:pPr>
          </w:p>
        </w:tc>
        <w:tc>
          <w:tcPr>
            <w:tcW w:w="1035" w:type="dxa"/>
            <w:tcMar>
              <w:top w:w="60" w:type="dxa"/>
              <w:left w:w="120" w:type="dxa"/>
              <w:bottom w:w="30" w:type="dxa"/>
              <w:right w:w="120" w:type="dxa"/>
            </w:tcMar>
          </w:tcPr>
          <w:p w14:paraId="5827F333">
            <w:pPr>
              <w:spacing w:before="120" w:after="120" w:line="288" w:lineRule="auto"/>
              <w:ind w:left="0"/>
              <w:jc w:val="left"/>
              <w:rPr>
                <w:rFonts w:hint="eastAsia" w:asciiTheme="minorEastAsia" w:hAnsiTheme="minorEastAsia" w:eastAsiaTheme="minorEastAsia" w:cstheme="minorEastAsia"/>
              </w:rPr>
            </w:pPr>
          </w:p>
        </w:tc>
        <w:tc>
          <w:tcPr>
            <w:tcW w:w="1035" w:type="dxa"/>
            <w:tcMar>
              <w:top w:w="60" w:type="dxa"/>
              <w:left w:w="120" w:type="dxa"/>
              <w:bottom w:w="30" w:type="dxa"/>
              <w:right w:w="120" w:type="dxa"/>
            </w:tcMar>
          </w:tcPr>
          <w:p w14:paraId="5341FA0C">
            <w:pPr>
              <w:spacing w:before="120" w:after="120" w:line="288" w:lineRule="auto"/>
              <w:ind w:left="0"/>
              <w:jc w:val="left"/>
              <w:rPr>
                <w:rFonts w:hint="eastAsia" w:asciiTheme="minorEastAsia" w:hAnsiTheme="minorEastAsia" w:eastAsiaTheme="minorEastAsia" w:cstheme="minorEastAsia"/>
              </w:rPr>
            </w:pPr>
          </w:p>
        </w:tc>
        <w:tc>
          <w:tcPr>
            <w:tcW w:w="1035" w:type="dxa"/>
            <w:tcMar>
              <w:top w:w="60" w:type="dxa"/>
              <w:left w:w="120" w:type="dxa"/>
              <w:bottom w:w="30" w:type="dxa"/>
              <w:right w:w="120" w:type="dxa"/>
            </w:tcMar>
          </w:tcPr>
          <w:p w14:paraId="1E5F69E2">
            <w:pPr>
              <w:spacing w:before="120" w:after="120" w:line="288" w:lineRule="auto"/>
              <w:ind w:left="0"/>
              <w:jc w:val="left"/>
              <w:rPr>
                <w:rFonts w:hint="eastAsia" w:asciiTheme="minorEastAsia" w:hAnsiTheme="minorEastAsia" w:eastAsiaTheme="minorEastAsia" w:cstheme="minorEastAsia"/>
              </w:rPr>
            </w:pPr>
          </w:p>
        </w:tc>
        <w:tc>
          <w:tcPr>
            <w:tcW w:w="1035" w:type="dxa"/>
            <w:tcMar>
              <w:top w:w="60" w:type="dxa"/>
              <w:left w:w="120" w:type="dxa"/>
              <w:bottom w:w="30" w:type="dxa"/>
              <w:right w:w="120" w:type="dxa"/>
            </w:tcMar>
          </w:tcPr>
          <w:p w14:paraId="0E4B895B">
            <w:pPr>
              <w:spacing w:before="120" w:after="120" w:line="288" w:lineRule="auto"/>
              <w:ind w:left="0"/>
              <w:jc w:val="left"/>
              <w:rPr>
                <w:rFonts w:hint="eastAsia" w:asciiTheme="minorEastAsia" w:hAnsiTheme="minorEastAsia" w:eastAsiaTheme="minorEastAsia" w:cstheme="minorEastAsia"/>
              </w:rPr>
            </w:pPr>
          </w:p>
        </w:tc>
        <w:tc>
          <w:tcPr>
            <w:tcW w:w="1035" w:type="dxa"/>
            <w:tcMar>
              <w:top w:w="60" w:type="dxa"/>
              <w:left w:w="120" w:type="dxa"/>
              <w:bottom w:w="30" w:type="dxa"/>
              <w:right w:w="120" w:type="dxa"/>
            </w:tcMar>
          </w:tcPr>
          <w:p w14:paraId="06214CEC">
            <w:pPr>
              <w:spacing w:before="120" w:after="120" w:line="288" w:lineRule="auto"/>
              <w:ind w:left="0"/>
              <w:jc w:val="left"/>
              <w:rPr>
                <w:rFonts w:hint="eastAsia" w:asciiTheme="minorEastAsia" w:hAnsiTheme="minorEastAsia" w:eastAsiaTheme="minorEastAsia" w:cstheme="minorEastAsia"/>
              </w:rPr>
            </w:pPr>
          </w:p>
        </w:tc>
        <w:tc>
          <w:tcPr>
            <w:tcW w:w="1035" w:type="dxa"/>
            <w:tcMar>
              <w:top w:w="60" w:type="dxa"/>
              <w:left w:w="120" w:type="dxa"/>
              <w:bottom w:w="30" w:type="dxa"/>
              <w:right w:w="120" w:type="dxa"/>
            </w:tcMar>
          </w:tcPr>
          <w:p w14:paraId="3DCE1322">
            <w:pPr>
              <w:spacing w:before="120" w:after="120" w:line="288" w:lineRule="auto"/>
              <w:ind w:left="0"/>
              <w:jc w:val="left"/>
              <w:rPr>
                <w:rFonts w:hint="eastAsia" w:asciiTheme="minorEastAsia" w:hAnsiTheme="minorEastAsia" w:eastAsiaTheme="minorEastAsia" w:cstheme="minorEastAsia"/>
              </w:rPr>
            </w:pPr>
          </w:p>
        </w:tc>
      </w:tr>
      <w:tr w14:paraId="67241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35" w:type="dxa"/>
            <w:tcMar>
              <w:top w:w="60" w:type="dxa"/>
              <w:left w:w="120" w:type="dxa"/>
              <w:bottom w:w="30" w:type="dxa"/>
              <w:right w:w="120" w:type="dxa"/>
            </w:tcMar>
          </w:tcPr>
          <w:p w14:paraId="3027AC17">
            <w:pPr>
              <w:spacing w:before="120" w:after="120" w:line="288" w:lineRule="auto"/>
              <w:ind w:left="0"/>
              <w:jc w:val="left"/>
              <w:rPr>
                <w:rFonts w:hint="eastAsia" w:asciiTheme="minorEastAsia" w:hAnsiTheme="minorEastAsia" w:eastAsiaTheme="minorEastAsia" w:cstheme="minorEastAsia"/>
              </w:rPr>
            </w:pPr>
          </w:p>
        </w:tc>
        <w:tc>
          <w:tcPr>
            <w:tcW w:w="1035" w:type="dxa"/>
            <w:tcMar>
              <w:top w:w="60" w:type="dxa"/>
              <w:left w:w="120" w:type="dxa"/>
              <w:bottom w:w="30" w:type="dxa"/>
              <w:right w:w="120" w:type="dxa"/>
            </w:tcMar>
          </w:tcPr>
          <w:p w14:paraId="5B190A25">
            <w:pPr>
              <w:spacing w:before="120" w:after="120" w:line="288" w:lineRule="auto"/>
              <w:ind w:left="0"/>
              <w:jc w:val="left"/>
              <w:rPr>
                <w:rFonts w:hint="eastAsia" w:asciiTheme="minorEastAsia" w:hAnsiTheme="minorEastAsia" w:eastAsiaTheme="minorEastAsia" w:cstheme="minorEastAsia"/>
              </w:rPr>
            </w:pPr>
          </w:p>
        </w:tc>
        <w:tc>
          <w:tcPr>
            <w:tcW w:w="1035" w:type="dxa"/>
            <w:tcMar>
              <w:top w:w="60" w:type="dxa"/>
              <w:left w:w="120" w:type="dxa"/>
              <w:bottom w:w="30" w:type="dxa"/>
              <w:right w:w="120" w:type="dxa"/>
            </w:tcMar>
          </w:tcPr>
          <w:p w14:paraId="3CD42B23">
            <w:pPr>
              <w:spacing w:before="120" w:after="120" w:line="288" w:lineRule="auto"/>
              <w:ind w:left="0"/>
              <w:jc w:val="left"/>
              <w:rPr>
                <w:rFonts w:hint="eastAsia" w:asciiTheme="minorEastAsia" w:hAnsiTheme="minorEastAsia" w:eastAsiaTheme="minorEastAsia" w:cstheme="minorEastAsia"/>
              </w:rPr>
            </w:pPr>
          </w:p>
        </w:tc>
        <w:tc>
          <w:tcPr>
            <w:tcW w:w="1035" w:type="dxa"/>
            <w:tcMar>
              <w:top w:w="60" w:type="dxa"/>
              <w:left w:w="120" w:type="dxa"/>
              <w:bottom w:w="30" w:type="dxa"/>
              <w:right w:w="120" w:type="dxa"/>
            </w:tcMar>
          </w:tcPr>
          <w:p w14:paraId="14DFA413">
            <w:pPr>
              <w:spacing w:before="120" w:after="120" w:line="288" w:lineRule="auto"/>
              <w:ind w:left="0"/>
              <w:jc w:val="left"/>
              <w:rPr>
                <w:rFonts w:hint="eastAsia" w:asciiTheme="minorEastAsia" w:hAnsiTheme="minorEastAsia" w:eastAsiaTheme="minorEastAsia" w:cstheme="minorEastAsia"/>
              </w:rPr>
            </w:pPr>
          </w:p>
        </w:tc>
        <w:tc>
          <w:tcPr>
            <w:tcW w:w="1035" w:type="dxa"/>
            <w:tcMar>
              <w:top w:w="60" w:type="dxa"/>
              <w:left w:w="120" w:type="dxa"/>
              <w:bottom w:w="30" w:type="dxa"/>
              <w:right w:w="120" w:type="dxa"/>
            </w:tcMar>
          </w:tcPr>
          <w:p w14:paraId="209853B3">
            <w:pPr>
              <w:spacing w:before="120" w:after="120" w:line="288" w:lineRule="auto"/>
              <w:ind w:left="0"/>
              <w:jc w:val="left"/>
              <w:rPr>
                <w:rFonts w:hint="eastAsia" w:asciiTheme="minorEastAsia" w:hAnsiTheme="minorEastAsia" w:eastAsiaTheme="minorEastAsia" w:cstheme="minorEastAsia"/>
              </w:rPr>
            </w:pPr>
          </w:p>
        </w:tc>
        <w:tc>
          <w:tcPr>
            <w:tcW w:w="1035" w:type="dxa"/>
            <w:tcMar>
              <w:top w:w="60" w:type="dxa"/>
              <w:left w:w="120" w:type="dxa"/>
              <w:bottom w:w="30" w:type="dxa"/>
              <w:right w:w="120" w:type="dxa"/>
            </w:tcMar>
          </w:tcPr>
          <w:p w14:paraId="7EF71596">
            <w:pPr>
              <w:spacing w:before="120" w:after="120" w:line="288" w:lineRule="auto"/>
              <w:ind w:left="0"/>
              <w:jc w:val="left"/>
              <w:rPr>
                <w:rFonts w:hint="eastAsia" w:asciiTheme="minorEastAsia" w:hAnsiTheme="minorEastAsia" w:eastAsiaTheme="minorEastAsia" w:cstheme="minorEastAsia"/>
              </w:rPr>
            </w:pPr>
          </w:p>
        </w:tc>
        <w:tc>
          <w:tcPr>
            <w:tcW w:w="1035" w:type="dxa"/>
            <w:tcMar>
              <w:top w:w="60" w:type="dxa"/>
              <w:left w:w="120" w:type="dxa"/>
              <w:bottom w:w="30" w:type="dxa"/>
              <w:right w:w="120" w:type="dxa"/>
            </w:tcMar>
          </w:tcPr>
          <w:p w14:paraId="217B0675">
            <w:pPr>
              <w:spacing w:before="120" w:after="120" w:line="288" w:lineRule="auto"/>
              <w:ind w:left="0"/>
              <w:jc w:val="left"/>
              <w:rPr>
                <w:rFonts w:hint="eastAsia" w:asciiTheme="minorEastAsia" w:hAnsiTheme="minorEastAsia" w:eastAsiaTheme="minorEastAsia" w:cstheme="minorEastAsia"/>
              </w:rPr>
            </w:pPr>
          </w:p>
        </w:tc>
        <w:tc>
          <w:tcPr>
            <w:tcW w:w="1035" w:type="dxa"/>
            <w:tcMar>
              <w:top w:w="60" w:type="dxa"/>
              <w:left w:w="120" w:type="dxa"/>
              <w:bottom w:w="30" w:type="dxa"/>
              <w:right w:w="120" w:type="dxa"/>
            </w:tcMar>
          </w:tcPr>
          <w:p w14:paraId="5C7CECF8">
            <w:pPr>
              <w:spacing w:before="120" w:after="120" w:line="288" w:lineRule="auto"/>
              <w:ind w:left="0"/>
              <w:jc w:val="left"/>
              <w:rPr>
                <w:rFonts w:hint="eastAsia" w:asciiTheme="minorEastAsia" w:hAnsiTheme="minorEastAsia" w:eastAsiaTheme="minorEastAsia" w:cstheme="minorEastAsia"/>
              </w:rPr>
            </w:pPr>
          </w:p>
        </w:tc>
      </w:tr>
    </w:tbl>
    <w:p w14:paraId="1FDB5361">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1.3 仓库信息：乙方为甲方提供专属仓储场地，具体信息如下：</w:t>
      </w:r>
    </w:p>
    <w:p w14:paraId="6E69D010">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仓库地址：______省______市______区______街道______号</w:t>
      </w:r>
    </w:p>
    <w:p w14:paraId="65429367">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划拨仓储区位：________________________</w:t>
      </w:r>
    </w:p>
    <w:p w14:paraId="52C67E3D">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仓库温度条件：________________________</w:t>
      </w:r>
    </w:p>
    <w:p w14:paraId="1FE66E18">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可用仓储面积：________________________</w:t>
      </w:r>
    </w:p>
    <w:p w14:paraId="643E9D84">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1.4 货物装卸及运输：合同履行期间，乙方负责甲方货物的入库卸车、仓储保管、出库装车及场内短途运输等全部配套作业。</w:t>
      </w:r>
    </w:p>
    <w:p w14:paraId="67845ADD">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1.5 保管期限：自______年____月____日（含当日）起至______年____月____日（含当日）止。合同期满前，双方可协商续约并签订补充协议。</w:t>
      </w:r>
    </w:p>
    <w:p w14:paraId="2263014C">
      <w:pPr>
        <w:spacing w:before="320" w:after="120" w:line="288" w:lineRule="auto"/>
        <w:ind w:left="0"/>
        <w:jc w:val="left"/>
        <w:outlineLvl w:val="1"/>
        <w:rPr>
          <w:rFonts w:hint="eastAsia" w:asciiTheme="minorEastAsia" w:hAnsiTheme="minorEastAsia" w:eastAsiaTheme="minorEastAsia" w:cstheme="minorEastAsia"/>
        </w:rPr>
      </w:pPr>
      <w:bookmarkStart w:id="1" w:name="heading_1"/>
      <w:r>
        <w:rPr>
          <w:rFonts w:hint="eastAsia" w:asciiTheme="minorEastAsia" w:hAnsiTheme="minorEastAsia" w:eastAsiaTheme="minorEastAsia" w:cstheme="minorEastAsia"/>
          <w:b/>
          <w:sz w:val="32"/>
        </w:rPr>
        <w:t>第二条 仓储费用、保险及结算方式</w:t>
      </w:r>
      <w:bookmarkEnd w:id="1"/>
    </w:p>
    <w:p w14:paraId="30EC6E8F">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2.1 仓储租金标准：本合同采用按月包库模式，仓储单价为人民币______元/平方米/天（大写：________________________元整）。本合同期限内，仓储租金合计总价为人民币__________元（大写：________________________元整）。</w:t>
      </w:r>
    </w:p>
    <w:p w14:paraId="134BB6A1">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2.2 除仓库租金外，货物产生的专业保管费、装卸费、出入库操作费等全部配套费用，均由甲方承担，收费标准按双方书面约定执行。</w:t>
      </w:r>
    </w:p>
    <w:p w14:paraId="45DA1536">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2.3 货物保险：甲方按货物总价值的千分之一（1‰）向乙方缴纳保险费用，由乙方统一办理货物仓储保险。仓储期间如发生货损、灭失等保险理赔情形，由乙方全权负责对接保险公司，办理全部索赔手续，理赔所得款项全额归甲方所有。</w:t>
      </w:r>
    </w:p>
    <w:p w14:paraId="37D25BC3">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2.4 月度结算流程：</w:t>
      </w:r>
    </w:p>
    <w:p w14:paraId="2CF36585">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（1）乙方于次月</w:t>
      </w:r>
      <w:r>
        <w:rPr>
          <w:rFonts w:hint="eastAsia" w:asciiTheme="minorEastAsia" w:hAnsiTheme="minorEastAsia" w:cstheme="minorEastAsia"/>
          <w:sz w:val="22"/>
          <w:lang w:val="en-US" w:eastAsia="zh-CN"/>
        </w:rPr>
        <w:t>5</w:t>
      </w:r>
      <w:r>
        <w:rPr>
          <w:rFonts w:hint="eastAsia" w:asciiTheme="minorEastAsia" w:hAnsiTheme="minorEastAsia" w:eastAsiaTheme="minorEastAsia" w:cstheme="minorEastAsia"/>
          <w:sz w:val="22"/>
        </w:rPr>
        <w:t>日前，向甲方出具上月完整仓储费用对账单；</w:t>
      </w:r>
    </w:p>
    <w:p w14:paraId="387DC907">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（2）甲方收到账单后</w:t>
      </w:r>
      <w:r>
        <w:rPr>
          <w:rFonts w:hint="eastAsia" w:asciiTheme="minorEastAsia" w:hAnsiTheme="minorEastAsia" w:cstheme="minorEastAsia"/>
          <w:sz w:val="22"/>
          <w:lang w:val="en-US" w:eastAsia="zh-CN"/>
        </w:rPr>
        <w:t>5</w:t>
      </w:r>
      <w:r>
        <w:rPr>
          <w:rFonts w:hint="eastAsia" w:asciiTheme="minorEastAsia" w:hAnsiTheme="minorEastAsia" w:eastAsiaTheme="minorEastAsia" w:cstheme="minorEastAsia"/>
          <w:sz w:val="22"/>
        </w:rPr>
        <w:t>个工作日内完成核对确认，逾期未书面提出异议视为认可账单金额；</w:t>
      </w:r>
    </w:p>
    <w:p w14:paraId="74BBA741">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（3）乙方收到甲方确认单据后</w:t>
      </w:r>
      <w:r>
        <w:rPr>
          <w:rFonts w:hint="eastAsia" w:asciiTheme="minorEastAsia" w:hAnsiTheme="minorEastAsia" w:cstheme="minorEastAsia"/>
          <w:sz w:val="22"/>
          <w:lang w:val="en-US" w:eastAsia="zh-CN"/>
        </w:rPr>
        <w:t>3</w:t>
      </w:r>
      <w:bookmarkStart w:id="8" w:name="_GoBack"/>
      <w:bookmarkEnd w:id="8"/>
      <w:r>
        <w:rPr>
          <w:rFonts w:hint="eastAsia" w:asciiTheme="minorEastAsia" w:hAnsiTheme="minorEastAsia" w:eastAsiaTheme="minorEastAsia" w:cstheme="minorEastAsia"/>
          <w:sz w:val="22"/>
        </w:rPr>
        <w:t>个工作日内，向甲方开具合规增值税专用发票；</w:t>
      </w:r>
    </w:p>
    <w:p w14:paraId="372C9DE6">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（4）甲方收到合规发票后5个工作日内，结清上月全部仓储费用。</w:t>
      </w:r>
    </w:p>
    <w:p w14:paraId="367CE7D5">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2.5 乙方开票信息：</w:t>
      </w:r>
    </w:p>
    <w:p w14:paraId="397383BB">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名称：________________________</w:t>
      </w:r>
    </w:p>
    <w:p w14:paraId="1CC68FDE">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纳税人识别号：________________________</w:t>
      </w:r>
    </w:p>
    <w:p w14:paraId="2B7E9444">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地址、电话：________________________</w:t>
      </w:r>
    </w:p>
    <w:p w14:paraId="3754F38D">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开户行及账号：________________________</w:t>
      </w:r>
    </w:p>
    <w:p w14:paraId="2DC0D9C3">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开票项目：物流辅助服务，增值税税率：6%</w:t>
      </w:r>
    </w:p>
    <w:p w14:paraId="6A096486">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2.6 乙方唯一指定收款账户：</w:t>
      </w:r>
    </w:p>
    <w:p w14:paraId="1AE02AB8">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户名：________________________</w:t>
      </w:r>
    </w:p>
    <w:p w14:paraId="6940FC8B">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账号：________________________</w:t>
      </w:r>
    </w:p>
    <w:p w14:paraId="46AE8872">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开户行：________________________</w:t>
      </w:r>
    </w:p>
    <w:p w14:paraId="479D1210">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乙方未授权任何个人、第三方代收款项，甲方未按指定账户付款产生的一切风险与损失，由甲方自行承担。</w:t>
      </w:r>
    </w:p>
    <w:p w14:paraId="5E5E1077">
      <w:pPr>
        <w:spacing w:before="320" w:after="120" w:line="288" w:lineRule="auto"/>
        <w:ind w:left="0"/>
        <w:jc w:val="left"/>
        <w:outlineLvl w:val="1"/>
        <w:rPr>
          <w:rFonts w:hint="eastAsia" w:asciiTheme="minorEastAsia" w:hAnsiTheme="minorEastAsia" w:eastAsiaTheme="minorEastAsia" w:cstheme="minorEastAsia"/>
        </w:rPr>
      </w:pPr>
      <w:bookmarkStart w:id="2" w:name="heading_2"/>
      <w:r>
        <w:rPr>
          <w:rFonts w:hint="eastAsia" w:asciiTheme="minorEastAsia" w:hAnsiTheme="minorEastAsia" w:eastAsiaTheme="minorEastAsia" w:cstheme="minorEastAsia"/>
          <w:b/>
          <w:sz w:val="32"/>
        </w:rPr>
        <w:t>第三条 货物出入库管理与验收</w:t>
      </w:r>
      <w:bookmarkEnd w:id="2"/>
    </w:p>
    <w:p w14:paraId="053865DD">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3.1 甲乙双方严格按照本合同约定及行业规范办理货物入库、出库手续，无明确行业规范的，以本合同约定为准。</w:t>
      </w:r>
    </w:p>
    <w:p w14:paraId="5AA24909">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3.2 货物出入库时，甲乙双方经办人员必须同时到场，现场完成货物核验、清点，核对无误后双方签字确认。出入库核验记录为本合同有效组成部分，甲乙双方各留存一份，作为费用结算、责任认定的有效依据。</w:t>
      </w:r>
    </w:p>
    <w:p w14:paraId="1538C4F9">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3.3 甲方货物入库时，由乙方负责卸车、清点、核验、接收，严格按照合同约定的品名、规格、数量、质量、包装标准逐项验收。</w:t>
      </w:r>
    </w:p>
    <w:p w14:paraId="03B0412A">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3.4 货物验收标准：</w:t>
      </w:r>
    </w:p>
    <w:p w14:paraId="7683F314">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（1）核查货物品名、规格、数量、外包装完整性，以及直观可辨的外观质量状态；</w:t>
      </w:r>
    </w:p>
    <w:p w14:paraId="0FE2F67C">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（2）包装内货物信息以外包装、货物标识或甲方提供的验收资料为准；</w:t>
      </w:r>
    </w:p>
    <w:p w14:paraId="75596B70">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（3）散装货物按照国家现行标准及双方约定标准验收。</w:t>
      </w:r>
    </w:p>
    <w:p w14:paraId="717376D1">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3.5 甲方需及时、完整向乙方提供货物验收所需资料。因甲方资料缺失、资料错误、未及时提供资料导致验收差错、延误索赔、货物信息不符的，全部损失及责任由甲方承担。</w:t>
      </w:r>
    </w:p>
    <w:p w14:paraId="1E458C16">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3.6 乙方需严格按合同标准完成入库验收。因乙方未按规范验收、验收疏漏、验收错误导致的货物短缺、损坏、数量不符等经济损失，由乙方全额承担。</w:t>
      </w:r>
    </w:p>
    <w:p w14:paraId="18B57D70">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3.7 因甲方包装不规范、包装破损、未按货物属性进行合规包装，导致仓储期间货物损坏、变质、损耗的，全部损失由甲方自行承担。</w:t>
      </w:r>
    </w:p>
    <w:p w14:paraId="2F363F05">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3.8 乙方对入库货物验收无误、手续办结后，向甲方出具正式有效仓单，仓单为货物出库、确权的唯一合法凭证。</w:t>
      </w:r>
    </w:p>
    <w:p w14:paraId="7CFD44B0">
      <w:pPr>
        <w:spacing w:before="320" w:after="120" w:line="288" w:lineRule="auto"/>
        <w:ind w:left="0"/>
        <w:jc w:val="left"/>
        <w:outlineLvl w:val="1"/>
        <w:rPr>
          <w:rFonts w:hint="eastAsia" w:asciiTheme="minorEastAsia" w:hAnsiTheme="minorEastAsia" w:eastAsiaTheme="minorEastAsia" w:cstheme="minorEastAsia"/>
        </w:rPr>
      </w:pPr>
      <w:bookmarkStart w:id="3" w:name="heading_3"/>
      <w:r>
        <w:rPr>
          <w:rFonts w:hint="eastAsia" w:asciiTheme="minorEastAsia" w:hAnsiTheme="minorEastAsia" w:eastAsiaTheme="minorEastAsia" w:cstheme="minorEastAsia"/>
          <w:b/>
          <w:sz w:val="32"/>
        </w:rPr>
        <w:t>第四条 甲方权利与义务</w:t>
      </w:r>
      <w:bookmarkEnd w:id="3"/>
    </w:p>
    <w:p w14:paraId="41711D6C">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4.1 甲方有权在不影响乙方正常仓储作业的前提下，随时进入仓储场地查验货物、核对库存、检查仓储状态，乙方需无条件配合。</w:t>
      </w:r>
    </w:p>
    <w:p w14:paraId="397DFEFD">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4.2 甲方需按合同约定的品名、数量、质量、包装标准交付货物入库，并完整、及时提供货物验收、保管所需全部资料。</w:t>
      </w:r>
    </w:p>
    <w:p w14:paraId="6D1649BC">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4.3 仓储期限届满，甲方需凭合法有效仓单及时提取仓储物。甲方逾期提货的，需按合同标准额外支付逾期仓储费用；甲方提前提货的，乙方按实际仓储天数据实结算，减免剩余期限仓储费用。</w:t>
      </w:r>
    </w:p>
    <w:p w14:paraId="535444EC">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4.4 甲方需按时足额支付本合同约定的仓储费、保险费、装卸费等全部应付费用。</w:t>
      </w:r>
    </w:p>
    <w:p w14:paraId="39C34DF8">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4.5 甲方严禁私自存放易燃、易爆、有毒、腐蚀性、放射性等危险物品，如需存放特殊货物，必须提前书面告知乙方并取得乙方同意，双方另行约定专项保管方案。</w:t>
      </w:r>
    </w:p>
    <w:p w14:paraId="0E38A104">
      <w:pPr>
        <w:spacing w:before="320" w:after="120" w:line="288" w:lineRule="auto"/>
        <w:ind w:left="0"/>
        <w:jc w:val="left"/>
        <w:outlineLvl w:val="1"/>
        <w:rPr>
          <w:rFonts w:hint="eastAsia" w:asciiTheme="minorEastAsia" w:hAnsiTheme="minorEastAsia" w:eastAsiaTheme="minorEastAsia" w:cstheme="minorEastAsia"/>
        </w:rPr>
      </w:pPr>
      <w:bookmarkStart w:id="4" w:name="heading_4"/>
      <w:r>
        <w:rPr>
          <w:rFonts w:hint="eastAsia" w:asciiTheme="minorEastAsia" w:hAnsiTheme="minorEastAsia" w:eastAsiaTheme="minorEastAsia" w:cstheme="minorEastAsia"/>
          <w:b/>
          <w:sz w:val="32"/>
        </w:rPr>
        <w:t>第五条 乙方权利与义务</w:t>
      </w:r>
      <w:bookmarkEnd w:id="4"/>
    </w:p>
    <w:p w14:paraId="2DF09E9B">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5.1 乙方需严格按照本合同约定及行业标准，为甲方提供合规仓储条件，规范开展货物储存、养护、管理作业。</w:t>
      </w:r>
    </w:p>
    <w:p w14:paraId="358C4726">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5.2 保管期间，乙方需严格遵守约定的储存条件，定期巡检货物，保证货物完好、无短缺、无损坏、无污染、无灭失。发现货物存在变质、损坏、异常状态的，需第一时间书面通知甲方并及时采取止损措施。未经甲方书面同意，乙方不得将仓储物转委托第三方保管。</w:t>
      </w:r>
    </w:p>
    <w:p w14:paraId="7012DD5A">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5.3 乙方发现仓储物存在变质、损坏，且可能危及其他货物安全的，应当及时催告甲方处置；情况紧急、为避免扩大损失的，乙方可先行采取合理处置措施，事后及时向甲方报备详情。</w:t>
      </w:r>
    </w:p>
    <w:p w14:paraId="31D12A59">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5.4 仓储期满甲方未及时提货的，乙方有权书面催告甲方限期提货；甲方逾期仍不提货的，乙方可依法提存仓储物，产生的费用及损失由甲方承担。</w:t>
      </w:r>
    </w:p>
    <w:p w14:paraId="3C1E94CD">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5.5 出现第三人主张货物权利、司法查封扣押、货物变质损坏等情形时，乙方必须立即通知甲方，保障甲方货物权益。</w:t>
      </w:r>
    </w:p>
    <w:p w14:paraId="119D1AAB">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5.6 乙方保证本次提供的仓储场地产权清晰、无权属争议、无抵押查封、无使用限制，可正常用于货物仓储使用，不会对甲方仓储行为造成任何阻碍，不侵害第三方合法权益。</w:t>
      </w:r>
    </w:p>
    <w:p w14:paraId="0C75C27F">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5.7 乙方不得侵占、挪用、质押、处分甲方仓储货物。若乙方存在上述违约行为，需全额赔偿甲方实际损失，退还甲方已支付全部仓储费用，并按本合同仓储总费用的15%向甲方支付违约金，同时甲方有权单方解除本合同。</w:t>
      </w:r>
    </w:p>
    <w:p w14:paraId="30CB2003">
      <w:pPr>
        <w:spacing w:before="320" w:after="120" w:line="288" w:lineRule="auto"/>
        <w:ind w:left="0"/>
        <w:jc w:val="left"/>
        <w:outlineLvl w:val="1"/>
        <w:rPr>
          <w:rFonts w:hint="eastAsia" w:asciiTheme="minorEastAsia" w:hAnsiTheme="minorEastAsia" w:eastAsiaTheme="minorEastAsia" w:cstheme="minorEastAsia"/>
        </w:rPr>
      </w:pPr>
      <w:bookmarkStart w:id="5" w:name="heading_5"/>
      <w:r>
        <w:rPr>
          <w:rFonts w:hint="eastAsia" w:asciiTheme="minorEastAsia" w:hAnsiTheme="minorEastAsia" w:eastAsiaTheme="minorEastAsia" w:cstheme="minorEastAsia"/>
          <w:b/>
          <w:sz w:val="32"/>
        </w:rPr>
        <w:t>第六条 违约责任</w:t>
      </w:r>
      <w:bookmarkEnd w:id="5"/>
    </w:p>
    <w:p w14:paraId="1924158A">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6.1 甲方无正当理由未按约定入库、中途无故终止入库的，构成违约，需赔偿乙方实际空置损失及合理预期损失。</w:t>
      </w:r>
    </w:p>
    <w:p w14:paraId="4072A56D">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6.2 甲方私自存放危险物品、隐瞒货物属性，造成货物损毁、仓库损坏、人员伤亡、财产损失的，由甲方承担全部赔偿责任，情节严重的承担相应法律责任。</w:t>
      </w:r>
    </w:p>
    <w:p w14:paraId="18507DCC">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6.3 乙方代为运输货物的，因甲方未及时提供包装材料、擅自变更运输信息导致延期、增费的，全部责任及额外费用由甲方承担。</w:t>
      </w:r>
    </w:p>
    <w:p w14:paraId="41DB7BF9">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6.4 仓储期间，因乙方保管不当、养护失误、管理疏漏、仓储条件不达标，造成货物灭失、短少、变质、污染、损坏的，由乙方承担全额赔偿责任，按货物对应批发价格足额赔付甲方损失。</w:t>
      </w:r>
    </w:p>
    <w:p w14:paraId="2940B752">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6.5 因乙方场地、设备、人员原因导致甲方货物无法正常入库、退仓的，乙方需全额赔偿甲方货物往返运输费、滞留损失等全部实际损失。</w:t>
      </w:r>
    </w:p>
    <w:p w14:paraId="55E6596C">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6.6 乙方负责发运的货物，逾期发货、错发地址的，需无偿更正运输送达地点，并全额赔偿甲方因此产生的逾期损失、运费损失、经营损失等全部实际损失。</w:t>
      </w:r>
    </w:p>
    <w:p w14:paraId="461DE7B4">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6.7 甲方已下达出库通知或合同期限届满，因乙方原因导致货物无法正常出库的，由乙方承担全部损害赔偿责任。</w:t>
      </w:r>
    </w:p>
    <w:p w14:paraId="156F64FE">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6.8 任意一方存在其他违约行为的，均需赔偿守约方全部损失。本合同所指损失包含但不限于：直接经济损失、可得利益损失、第三方赔付费用、诉讼费、仲裁费、保全费、律师费、鉴定费、公证费、维权差旅费等全部合理支出。</w:t>
      </w:r>
    </w:p>
    <w:p w14:paraId="279972A9">
      <w:pPr>
        <w:spacing w:before="320" w:after="120" w:line="288" w:lineRule="auto"/>
        <w:ind w:left="0"/>
        <w:jc w:val="left"/>
        <w:outlineLvl w:val="1"/>
        <w:rPr>
          <w:rFonts w:hint="eastAsia" w:asciiTheme="minorEastAsia" w:hAnsiTheme="minorEastAsia" w:eastAsiaTheme="minorEastAsia" w:cstheme="minorEastAsia"/>
        </w:rPr>
      </w:pPr>
      <w:bookmarkStart w:id="6" w:name="heading_6"/>
      <w:r>
        <w:rPr>
          <w:rFonts w:hint="eastAsia" w:asciiTheme="minorEastAsia" w:hAnsiTheme="minorEastAsia" w:eastAsiaTheme="minorEastAsia" w:cstheme="minorEastAsia"/>
          <w:b/>
          <w:sz w:val="32"/>
        </w:rPr>
        <w:t>第七条 争议解决</w:t>
      </w:r>
      <w:bookmarkEnd w:id="6"/>
    </w:p>
    <w:p w14:paraId="22E63EDF">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cstheme="minorEastAsia"/>
          <w:sz w:val="22"/>
          <w:lang w:val="en-US" w:eastAsia="zh-CN"/>
        </w:rPr>
        <w:t>7.1</w:t>
      </w:r>
      <w:r>
        <w:rPr>
          <w:rFonts w:hint="eastAsia" w:asciiTheme="minorEastAsia" w:hAnsiTheme="minorEastAsia" w:eastAsiaTheme="minorEastAsia" w:cstheme="minorEastAsia"/>
          <w:sz w:val="22"/>
        </w:rPr>
        <w:t>因本合同</w:t>
      </w:r>
      <w:r>
        <w:rPr>
          <w:rFonts w:hint="eastAsia" w:asciiTheme="minorEastAsia" w:hAnsiTheme="minorEastAsia" w:cstheme="minorEastAsia"/>
          <w:sz w:val="22"/>
          <w:lang w:val="en-US" w:eastAsia="zh-CN"/>
        </w:rPr>
        <w:t>引起的纠纷</w:t>
      </w:r>
      <w:r>
        <w:rPr>
          <w:rFonts w:hint="eastAsia" w:asciiTheme="minorEastAsia" w:hAnsiTheme="minorEastAsia" w:eastAsiaTheme="minorEastAsia" w:cstheme="minorEastAsia"/>
          <w:sz w:val="22"/>
        </w:rPr>
        <w:t>，双方优先友好协商；协商不成的</w:t>
      </w:r>
      <w:r>
        <w:rPr>
          <w:rFonts w:hint="eastAsia" w:asciiTheme="minorEastAsia" w:hAnsiTheme="minorEastAsia" w:cstheme="minorEastAsia"/>
          <w:sz w:val="22"/>
          <w:lang w:val="en-US" w:eastAsia="zh-CN"/>
        </w:rPr>
        <w:t>可</w:t>
      </w:r>
      <w:r>
        <w:rPr>
          <w:rFonts w:hint="eastAsia" w:asciiTheme="minorEastAsia" w:hAnsiTheme="minorEastAsia" w:eastAsiaTheme="minorEastAsia" w:cstheme="minorEastAsia"/>
          <w:sz w:val="22"/>
        </w:rPr>
        <w:t>向</w:t>
      </w:r>
      <w:r>
        <w:rPr>
          <w:rFonts w:hint="eastAsia" w:asciiTheme="minorEastAsia" w:hAnsiTheme="minorEastAsia" w:cstheme="minorEastAsia"/>
          <w:sz w:val="22"/>
          <w:lang w:val="en-US" w:eastAsia="zh-CN"/>
        </w:rPr>
        <w:t>甲方住所地</w:t>
      </w:r>
      <w:r>
        <w:rPr>
          <w:rFonts w:hint="eastAsia" w:asciiTheme="minorEastAsia" w:hAnsiTheme="minorEastAsia" w:eastAsiaTheme="minorEastAsia" w:cstheme="minorEastAsia"/>
          <w:sz w:val="22"/>
        </w:rPr>
        <w:t>人民法院提起诉讼。</w:t>
      </w:r>
    </w:p>
    <w:p w14:paraId="3B2ED02B">
      <w:pPr>
        <w:spacing w:before="320" w:after="120" w:line="288" w:lineRule="auto"/>
        <w:ind w:left="0"/>
        <w:jc w:val="left"/>
        <w:outlineLvl w:val="1"/>
        <w:rPr>
          <w:rFonts w:hint="eastAsia" w:asciiTheme="minorEastAsia" w:hAnsiTheme="minorEastAsia" w:eastAsiaTheme="minorEastAsia" w:cstheme="minorEastAsia"/>
        </w:rPr>
      </w:pPr>
      <w:bookmarkStart w:id="7" w:name="heading_7"/>
      <w:r>
        <w:rPr>
          <w:rFonts w:hint="eastAsia" w:asciiTheme="minorEastAsia" w:hAnsiTheme="minorEastAsia" w:eastAsiaTheme="minorEastAsia" w:cstheme="minorEastAsia"/>
          <w:b/>
          <w:sz w:val="32"/>
        </w:rPr>
        <w:t>第八条 附则</w:t>
      </w:r>
      <w:bookmarkEnd w:id="7"/>
    </w:p>
    <w:p w14:paraId="297BF160">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8.1 本合同一式两份，甲乙双方各执一份，两份合同具有同等法律效力。</w:t>
      </w:r>
    </w:p>
    <w:p w14:paraId="02C96899">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8.2 本合同未尽事宜，双方可另行协商并签订书面补充协议，补充协议与本合同具有同等法律效力。</w:t>
      </w:r>
    </w:p>
    <w:p w14:paraId="6539BE80">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8.3 本合同自甲乙双方法定代表人或授权代表签字并加盖公章之日起生效。</w:t>
      </w:r>
    </w:p>
    <w:p w14:paraId="4C8ABC52">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b/>
          <w:sz w:val="22"/>
        </w:rPr>
        <w:t>（以下无正文，为合同签署页）</w:t>
      </w:r>
    </w:p>
    <w:p w14:paraId="7C109C66">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b/>
          <w:sz w:val="22"/>
        </w:rPr>
        <w:t>签订时间：______年____月____日</w:t>
      </w:r>
    </w:p>
    <w:p w14:paraId="7454049D">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b/>
          <w:sz w:val="22"/>
        </w:rPr>
        <w:t>甲方（盖章）：</w:t>
      </w:r>
    </w:p>
    <w:p w14:paraId="12C54D6E">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法定代表人/授权代表签字：________________________</w:t>
      </w:r>
    </w:p>
    <w:p w14:paraId="42B902C4">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b/>
          <w:sz w:val="22"/>
        </w:rPr>
        <w:t>乙方（盖章）：</w:t>
      </w:r>
    </w:p>
    <w:p w14:paraId="1B647E7C">
      <w:pPr>
        <w:spacing w:before="120" w:after="120" w:line="288" w:lineRule="auto"/>
        <w:ind w:lef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法定代表人/授权代表签字：________________________</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27412A"/>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95EB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20042348"/>
    <w:rsid w:val="2B640BB5"/>
    <w:rsid w:val="68AC1AC9"/>
    <w:rsid w:val="6AD550B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3284</Words>
  <Characters>4015</Characters>
  <TotalTime>6</TotalTime>
  <ScaleCrop>false</ScaleCrop>
  <LinksUpToDate>false</LinksUpToDate>
  <CharactersWithSpaces>4065</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2026-06-23T06:10:00Z</dcterms:created>
  <dc:creator>Apache POI</dc:creator>
  <cp:lastModifiedBy>敖律师</cp:lastModifiedBy>
  <dcterms:modified xsi:type="dcterms:W3CDTF">2026-07-05T12:42:23Z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{"Label":"1","ContentProducer":"001191110102MACQD9K64010000","ProduceID":"7654469434124520638","ReservedCode1":"","ContentPropagator":"","PropagateID":"","ReservedCode2":""}</vt:lpwstr>
  </property>
  <property fmtid="{D5CDD505-2E9C-101B-9397-08002B2CF9AE}" pid="3" name="KSOTemplateDocerSaveRecord">
    <vt:lpwstr>eyJoZGlkIjoiZGVhYTRkYWVkOGIwMTgyZjFiODM4YzQ4OTdhNjI0YTAiLCJ1c2VySWQiOiIxMDI2NDI2MDI2In0=</vt:lpwstr>
  </property>
  <property fmtid="{D5CDD505-2E9C-101B-9397-08002B2CF9AE}" pid="4" name="KSOProductBuildVer">
    <vt:lpwstr>2052-12.1.0.26375</vt:lpwstr>
  </property>
  <property fmtid="{D5CDD505-2E9C-101B-9397-08002B2CF9AE}" pid="5" name="ICV">
    <vt:lpwstr>7BE83BDABE1F4DCBB8558FAD3CA8C7B3_12</vt:lpwstr>
  </property>
</Properties>
</file>