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 w:eastAsia="Hiragino Sans GB"/>
          <w:b/>
          <w:color w:val="667085"/>
          <w:sz w:val="20"/>
        </w:rPr>
        <w:t>Product Requirements Document</w:t>
      </w:r>
    </w:p>
    <w:p>
      <w:pPr>
        <w:spacing w:after="80"/>
      </w:pPr>
      <w:r>
        <w:rPr>
          <w:rFonts w:ascii="Calibri" w:hAnsi="Calibri" w:eastAsia="Hiragino Sans GB"/>
          <w:b/>
          <w:color w:val="000000"/>
          <w:sz w:val="48"/>
        </w:rPr>
        <w:t>法飞飞 AI 产品需求文档 PRD</w:t>
      </w:r>
    </w:p>
    <w:p>
      <w:pPr>
        <w:spacing w:after="280"/>
      </w:pPr>
      <w:r>
        <w:rPr>
          <w:rFonts w:ascii="Calibri" w:hAnsi="Calibri" w:eastAsia="Hiragino Sans GB"/>
          <w:color w:val="667085"/>
          <w:sz w:val="25"/>
        </w:rPr>
        <w:t>面向企业用工风险与商业合同智能处理的公开官网、邀请制工作台与 AI 法律任务平台</w:t>
      </w:r>
    </w:p>
    <w:p>
      <w:pPr>
        <w:pStyle w:val="DocMeta"/>
        <w:spacing w:after="40"/>
      </w:pPr>
      <w:r>
        <w:rPr>
          <w:rFonts w:ascii="Calibri" w:hAnsi="Calibri" w:eastAsia="Hiragino Sans GB"/>
          <w:b/>
          <w:color w:val="000000"/>
          <w:sz w:val="21"/>
        </w:rPr>
        <w:t xml:space="preserve">项目: </w:t>
      </w:r>
      <w:r>
        <w:rPr>
          <w:rFonts w:ascii="Calibri" w:hAnsi="Calibri" w:eastAsia="Hiragino Sans GB"/>
          <w:color w:val="000000"/>
          <w:sz w:val="21"/>
        </w:rPr>
        <w:t>讯飞法飞飞 AI / infimind-react</w:t>
      </w:r>
    </w:p>
    <w:p>
      <w:pPr>
        <w:pStyle w:val="DocMeta"/>
        <w:spacing w:after="40"/>
      </w:pPr>
      <w:r>
        <w:rPr>
          <w:rFonts w:ascii="Calibri" w:hAnsi="Calibri" w:eastAsia="Hiragino Sans GB"/>
          <w:b/>
          <w:color w:val="000000"/>
          <w:sz w:val="21"/>
        </w:rPr>
        <w:t xml:space="preserve">版本: </w:t>
      </w:r>
      <w:r>
        <w:rPr>
          <w:rFonts w:ascii="Calibri" w:hAnsi="Calibri" w:eastAsia="Hiragino Sans GB"/>
          <w:color w:val="000000"/>
          <w:sz w:val="21"/>
        </w:rPr>
        <w:t>v1.0 文档草案 | 2026-06-27</w:t>
      </w:r>
    </w:p>
    <w:p>
      <w:pPr>
        <w:pStyle w:val="DocMeta"/>
        <w:spacing w:after="40"/>
      </w:pPr>
      <w:r>
        <w:rPr>
          <w:rFonts w:ascii="Calibri" w:hAnsi="Calibri" w:eastAsia="Hiragino Sans GB"/>
          <w:b/>
          <w:color w:val="000000"/>
          <w:sz w:val="21"/>
        </w:rPr>
        <w:t xml:space="preserve">范围: </w:t>
      </w:r>
      <w:r>
        <w:rPr>
          <w:rFonts w:ascii="Calibri" w:hAnsi="Calibri" w:eastAsia="Hiragino Sans GB"/>
          <w:color w:val="000000"/>
          <w:sz w:val="21"/>
        </w:rPr>
        <w:t>公开官网、合同改写试用、本地多 Agent 引擎、目标自研 AI 高代码工作流平台</w:t>
      </w:r>
    </w:p>
    <w:p>
      <w:pPr>
        <w:pStyle w:val="DocMeta"/>
        <w:spacing w:after="40"/>
      </w:pPr>
      <w:r>
        <w:rPr>
          <w:rFonts w:ascii="Calibri" w:hAnsi="Calibri" w:eastAsia="Hiragino Sans GB"/>
          <w:b/>
          <w:color w:val="000000"/>
          <w:sz w:val="21"/>
        </w:rPr>
        <w:t xml:space="preserve">说明: </w:t>
      </w:r>
      <w:r>
        <w:rPr>
          <w:rFonts w:ascii="Calibri" w:hAnsi="Calibri" w:eastAsia="Hiragino Sans GB"/>
          <w:color w:val="000000"/>
          <w:sz w:val="21"/>
        </w:rPr>
        <w:t>基于当前仓库代码、README、现有 docs/prd.md 与用户补充要求整理</w:t>
      </w:r>
    </w:p>
    <w:p>
      <w:pPr>
        <w:spacing w:before="160" w:after="280"/>
        <w:pBdr>
          <w:bottom w:val="single" w:sz="10" w:space="4" w:color="2E74B5"/>
        </w:pBdr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 w:eastAsia="Hiragino Sans GB"/>
                <w:b/>
                <w:color w:val="1F4D78"/>
              </w:rPr>
              <w:t xml:space="preserve">产品定位: </w:t>
            </w:r>
            <w:r>
              <w:rPr>
                <w:rFonts w:ascii="Calibri" w:hAnsi="Calibri" w:eastAsia="Hiragino Sans GB"/>
              </w:rPr>
              <w:t>法飞飞 AI 面向企业经营者、HR、法务、律师及商务人员，提供用工风险管理、商业合同处理与法律文书辅助生成能力。产品应把“聊天式 AI”收束为可操作、可复核、可追踪的法律任务工具矩阵。</w:t>
            </w:r>
          </w:p>
        </w:tc>
      </w:tr>
    </w:tbl>
    <w:p>
      <w:pPr>
        <w:spacing w:after="40"/>
      </w:pPr>
    </w:p>
    <w:p>
      <w:pPr>
        <w:pStyle w:val="Heading1"/>
      </w:pPr>
      <w:r>
        <w:t>1. Problem Statement</w:t>
      </w:r>
    </w:p>
    <w:p>
      <w:pPr>
        <w:spacing w:after="120"/>
      </w:pPr>
      <w:r>
        <w:rPr>
          <w:rFonts w:ascii="Calibri" w:hAnsi="Calibri" w:eastAsia="Hiragino Sans GB"/>
        </w:rPr>
        <w:t>企业在用工合规、合同审查、劳动争议和社保测算等场景中，经常面临专业门槛高、响应慢、外部律师沟通成本高、材料版本混乱、结论不可复核的问题。当前项目已完成官网展示和商业合同改写试用，但大多数产品矩阵能力仍停留在展示入口或原型阶段，尚未形成登录后可持续使用、可审计、可扩展的 AI 法律工作台。</w:t>
      </w:r>
    </w:p>
    <w:p>
      <w:pPr>
        <w:spacing w:after="120"/>
      </w:pPr>
      <w:r>
        <w:rPr>
          <w:rFonts w:ascii="Calibri" w:hAnsi="Calibri" w:eastAsia="Hiragino Sans GB"/>
        </w:rPr>
        <w:t>用户需要一个清晰可信的产品：访客可以快速理解法飞飞 AI 的服务价值；被邀请的试点用户可以上传材料、创建 AI 法律任务、看到处理进度、获得结构化结果，并在后续任务中心中复查历史结果。平台方需要可控放量、可观测运行、可版本化迭代和可扩展产品矩阵。</w:t>
      </w:r>
    </w:p>
    <w:p>
      <w:pPr>
        <w:pStyle w:val="Heading1"/>
      </w:pPr>
      <w:r>
        <w:t>2. Solution Overview</w:t>
      </w:r>
    </w:p>
    <w:p>
      <w:pPr>
        <w:spacing w:after="120"/>
      </w:pPr>
      <w:r>
        <w:rPr>
          <w:rFonts w:ascii="Calibri" w:hAnsi="Calibri" w:eastAsia="Hiragino Sans GB"/>
        </w:rPr>
        <w:t>方案采用“公开官网 + 邀请码准入 + 登录后工作台 + 统一 AI 任务平台 + 自研高代码工作流引擎”的产品形态。公开官网继续承载品牌、产品矩阵、行业案例、客户背书与咨询转化；登录后工作台承载商业合同改写、劳动合同分析、劳动仲裁答辩、员工手册诊断、医疗期计算、养老保险测算与灵活就业保险测算等工具。</w:t>
      </w:r>
    </w:p>
    <w:p>
      <w:pPr>
        <w:spacing w:after="120"/>
      </w:pPr>
      <w:r>
        <w:t>商业合同改写作为 MVP 核心功能，需要从现有试用页升级为可登录、可限流、可排队、可保存结果的正式任务。旧第三方工作流代理已移除，生产目标统一转向自研 DeepSeek/模型网关 + 多 Agent 工作流 + 知识库检索。</w:t>
      </w:r>
    </w:p>
    <w:p>
      <w:pPr>
        <w:pStyle w:val="Heading1"/>
      </w:pPr>
      <w:r>
        <w:t>3. Product Goals and Metrics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00"/>
        <w:gridCol w:w="2600"/>
        <w:gridCol w:w="5860"/>
      </w:tblGrid>
      <w:tr>
        <w:trPr>
          <w:tblHeader w:val="true"/>
        </w:trPr>
        <w:tc>
          <w:tcPr>
            <w:tcW w:type="dxa" w:w="900"/>
            <w:vAlign w:val="center"/>
            <w:shd w:fill="F2F4F7"/>
          </w:tcPr>
          <w:p>
            <w:pPr>
              <w:pStyle w:val="TableHeader"/>
            </w:pPr>
            <w:r>
              <w:rPr>
                <w:rFonts w:ascii="Calibri" w:hAnsi="Calibri" w:eastAsia="Hiragino Sans GB"/>
                <w:b/>
                <w:color w:val="172033"/>
                <w:sz w:val="18"/>
              </w:rPr>
              <w:t>ID</w:t>
            </w:r>
          </w:p>
        </w:tc>
        <w:tc>
          <w:tcPr>
            <w:tcW w:type="dxa" w:w="2600"/>
            <w:vAlign w:val="center"/>
            <w:shd w:fill="F2F4F7"/>
          </w:tcPr>
          <w:p>
            <w:pPr>
              <w:pStyle w:val="TableHeader"/>
            </w:pPr>
            <w:r>
              <w:rPr>
                <w:rFonts w:ascii="Calibri" w:hAnsi="Calibri" w:eastAsia="Hiragino Sans GB"/>
                <w:b/>
                <w:color w:val="172033"/>
                <w:sz w:val="18"/>
              </w:rPr>
              <w:t>指标</w:t>
            </w:r>
          </w:p>
        </w:tc>
        <w:tc>
          <w:tcPr>
            <w:tcW w:type="dxa" w:w="5860"/>
            <w:vAlign w:val="center"/>
            <w:shd w:fill="F2F4F7"/>
          </w:tcPr>
          <w:p>
            <w:pPr>
              <w:pStyle w:val="TableHeader"/>
            </w:pPr>
            <w:r>
              <w:rPr>
                <w:rFonts w:ascii="Calibri" w:hAnsi="Calibri" w:eastAsia="Hiragino Sans GB"/>
                <w:b/>
                <w:color w:val="172033"/>
                <w:sz w:val="18"/>
              </w:rPr>
              <w:t>目标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G-01</w:t>
            </w:r>
          </w:p>
        </w:tc>
        <w:tc>
          <w:tcPr>
            <w:tcW w:type="dxa" w:w="26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邀请码注册完成率</w:t>
            </w:r>
          </w:p>
        </w:tc>
        <w:tc>
          <w:tcPr>
            <w:tcW w:type="dxa" w:w="58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获得有效邀请码的用户中，70% 在 5 分钟内完成注册和首次登录。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G-02</w:t>
            </w:r>
          </w:p>
        </w:tc>
        <w:tc>
          <w:tcPr>
            <w:tcW w:type="dxa" w:w="26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首次任务转化率</w:t>
            </w:r>
          </w:p>
        </w:tc>
        <w:tc>
          <w:tcPr>
            <w:tcW w:type="dxa" w:w="58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完成注册的用户中，60% 在 7 天内创建至少 1 个 AI 法律任务。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G-03</w:t>
            </w:r>
          </w:p>
        </w:tc>
        <w:tc>
          <w:tcPr>
            <w:tcW w:type="dxa" w:w="26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核心任务成功率</w:t>
            </w:r>
          </w:p>
        </w:tc>
        <w:tc>
          <w:tcPr>
            <w:tcW w:type="dxa" w:w="58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支持格式、大小和页数边界内的 AI 任务，95% 返回可读结果或明确错误原因。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G-04</w:t>
            </w:r>
          </w:p>
        </w:tc>
        <w:tc>
          <w:tcPr>
            <w:tcW w:type="dxa" w:w="26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商业合同改写满意度</w:t>
            </w:r>
          </w:p>
        </w:tc>
        <w:tc>
          <w:tcPr>
            <w:tcW w:type="dxa" w:w="58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试点用户对风险识别、修改建议和最终文本可用性的综合满意度达到 80% 以上。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G-05</w:t>
            </w:r>
          </w:p>
        </w:tc>
        <w:tc>
          <w:tcPr>
            <w:tcW w:type="dxa" w:w="26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AI 任务响应体验</w:t>
            </w:r>
          </w:p>
        </w:tc>
        <w:tc>
          <w:tcPr>
            <w:tcW w:type="dxa" w:w="58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任务提交后 p95 在 1 秒内返回任务 ID；p95 在 5 秒内展示首个进度事件。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G-06</w:t>
            </w:r>
          </w:p>
        </w:tc>
        <w:tc>
          <w:tcPr>
            <w:tcW w:type="dxa" w:w="26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MVP 承载能力</w:t>
            </w:r>
          </w:p>
        </w:tc>
        <w:tc>
          <w:tcPr>
            <w:tcW w:type="dxa" w:w="58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支持 200 个并发登录会话与 50 个并发 AI 长任务；超过阈值时排队或限流，不崩溃。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G-07</w:t>
            </w:r>
          </w:p>
        </w:tc>
        <w:tc>
          <w:tcPr>
            <w:tcW w:type="dxa" w:w="26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安全审计</w:t>
            </w:r>
          </w:p>
        </w:tc>
        <w:tc>
          <w:tcPr>
            <w:tcW w:type="dxa" w:w="58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注册、登录、邀请码、上传文件、任务创建、管理员操作均可查询审计记录。</w:t>
            </w:r>
          </w:p>
        </w:tc>
      </w:tr>
    </w:tbl>
    <w:p>
      <w:pPr>
        <w:spacing w:after="60"/>
      </w:pPr>
    </w:p>
    <w:p>
      <w:pPr>
        <w:pStyle w:val="Heading1"/>
      </w:pPr>
      <w:r>
        <w:t>4. Target Users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500"/>
        <w:gridCol w:w="3500"/>
        <w:gridCol w:w="4360"/>
      </w:tblGrid>
      <w:tr>
        <w:trPr>
          <w:tblHeader w:val="true"/>
        </w:trPr>
        <w:tc>
          <w:tcPr>
            <w:tcW w:type="dxa" w:w="1500"/>
            <w:vAlign w:val="center"/>
            <w:shd w:fill="F2F4F7"/>
          </w:tcPr>
          <w:p>
            <w:pPr>
              <w:pStyle w:val="TableHeader"/>
            </w:pPr>
            <w:r>
              <w:rPr>
                <w:rFonts w:ascii="Calibri" w:hAnsi="Calibri" w:eastAsia="Hiragino Sans GB"/>
                <w:b/>
                <w:color w:val="172033"/>
                <w:sz w:val="18"/>
              </w:rPr>
              <w:t>角色</w:t>
            </w:r>
          </w:p>
        </w:tc>
        <w:tc>
          <w:tcPr>
            <w:tcW w:type="dxa" w:w="3500"/>
            <w:vAlign w:val="center"/>
            <w:shd w:fill="F2F4F7"/>
          </w:tcPr>
          <w:p>
            <w:pPr>
              <w:pStyle w:val="TableHeader"/>
            </w:pPr>
            <w:r>
              <w:rPr>
                <w:rFonts w:ascii="Calibri" w:hAnsi="Calibri" w:eastAsia="Hiragino Sans GB"/>
                <w:b/>
                <w:color w:val="172033"/>
                <w:sz w:val="18"/>
              </w:rPr>
              <w:t>核心诉求</w:t>
            </w:r>
          </w:p>
        </w:tc>
        <w:tc>
          <w:tcPr>
            <w:tcW w:type="dxa" w:w="4360"/>
            <w:vAlign w:val="center"/>
            <w:shd w:fill="F2F4F7"/>
          </w:tcPr>
          <w:p>
            <w:pPr>
              <w:pStyle w:val="TableHeader"/>
            </w:pPr>
            <w:r>
              <w:rPr>
                <w:rFonts w:ascii="Calibri" w:hAnsi="Calibri" w:eastAsia="Hiragino Sans GB"/>
                <w:b/>
                <w:color w:val="172033"/>
                <w:sz w:val="18"/>
              </w:rPr>
              <w:t>主要场景</w:t>
            </w:r>
          </w:p>
        </w:tc>
      </w:tr>
      <w:tr>
        <w:tc>
          <w:tcPr>
            <w:tcW w:type="dxa" w:w="15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企业经营者</w:t>
            </w:r>
          </w:p>
        </w:tc>
        <w:tc>
          <w:tcPr>
            <w:tcW w:type="dxa" w:w="35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快速判断合同和用工风险，减少外部咨询成本。</w:t>
            </w:r>
          </w:p>
        </w:tc>
        <w:tc>
          <w:tcPr>
            <w:tcW w:type="dxa" w:w="43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查看合同风险摘要、重大风险提示、争议解决建议。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HR / 人力负责人</w:t>
            </w:r>
          </w:p>
        </w:tc>
        <w:tc>
          <w:tcPr>
            <w:tcW w:type="dxa" w:w="35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处理劳动合同、员工手册、医疗期、社保测算等高频问题。</w:t>
            </w:r>
          </w:p>
        </w:tc>
        <w:tc>
          <w:tcPr>
            <w:tcW w:type="dxa" w:w="43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上传劳动合同或员工手册，获得条款风险、流程缺陷和修订建议。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企业法务</w:t>
            </w:r>
          </w:p>
        </w:tc>
        <w:tc>
          <w:tcPr>
            <w:tcW w:type="dxa" w:w="35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提高合同审查与改写效率，保留可复核依据。</w:t>
            </w:r>
          </w:p>
        </w:tc>
        <w:tc>
          <w:tcPr>
            <w:tcW w:type="dxa" w:w="43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商业合同改写、风险清单、条款建议、版本化结果归档。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律师 / 法律顾问</w:t>
            </w:r>
          </w:p>
        </w:tc>
        <w:tc>
          <w:tcPr>
            <w:tcW w:type="dxa" w:w="35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将 AI 作为初稿和资料整理助手。</w:t>
            </w:r>
          </w:p>
        </w:tc>
        <w:tc>
          <w:tcPr>
            <w:tcW w:type="dxa" w:w="43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生成仲裁答辩思路、证据清单、文书草稿，再进行专业复核。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运营管理员</w:t>
            </w:r>
          </w:p>
        </w:tc>
        <w:tc>
          <w:tcPr>
            <w:tcW w:type="dxa" w:w="35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控制准入、额度、知识库、模板和任务运行。</w:t>
            </w:r>
          </w:p>
        </w:tc>
        <w:tc>
          <w:tcPr>
            <w:tcW w:type="dxa" w:w="43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邀请码管理、用户查询、任务监控、知识库版本维护。</w:t>
            </w:r>
          </w:p>
        </w:tc>
      </w:tr>
    </w:tbl>
    <w:p>
      <w:pPr>
        <w:spacing w:after="60"/>
      </w:pPr>
    </w:p>
    <w:p>
      <w:pPr>
        <w:pStyle w:val="Heading1"/>
      </w:pPr>
      <w:r>
        <w:t>5. Scope</w:t>
      </w:r>
    </w:p>
    <w:p>
      <w:pPr>
        <w:pStyle w:val="Heading2"/>
      </w:pPr>
      <w:r>
        <w:t>5.1 MVP</w:t>
      </w:r>
    </w:p>
    <w:p>
      <w:pPr>
        <w:pStyle w:val="ListBullet"/>
      </w:pPr>
      <w:r>
        <w:rPr>
          <w:rFonts w:ascii="Calibri" w:hAnsi="Calibri" w:eastAsia="Hiragino Sans GB"/>
        </w:rPr>
        <w:t>保留公开官网：首页、产品矩阵、行业案例、客户背书、关于页面、咨询入口和二维码弹窗。</w:t>
      </w:r>
    </w:p>
    <w:p>
      <w:pPr>
        <w:pStyle w:val="ListBullet"/>
      </w:pPr>
      <w:r>
        <w:rPr>
          <w:rFonts w:ascii="Calibri" w:hAnsi="Calibri" w:eastAsia="Hiragino Sans GB"/>
        </w:rPr>
        <w:t>新增邀请制注册、登录、退出登录、会话恢复、基础角色权限和未登录访问拦截。</w:t>
      </w:r>
    </w:p>
    <w:p>
      <w:pPr>
        <w:pStyle w:val="ListBullet"/>
      </w:pPr>
      <w:r>
        <w:rPr>
          <w:rFonts w:ascii="Calibri" w:hAnsi="Calibri" w:eastAsia="Hiragino Sans GB"/>
        </w:rPr>
        <w:t>将商业合同改写升级为登录后核心工具，支持 PDF、DOC、DOCX、PNG、JPG、JPEG、WebP 文件上传。</w:t>
      </w:r>
    </w:p>
    <w:p>
      <w:pPr>
        <w:pStyle w:val="ListBullet"/>
      </w:pPr>
      <w:r>
        <w:rPr>
          <w:rFonts w:ascii="Calibri" w:hAnsi="Calibri" w:eastAsia="Hiragino Sans GB"/>
        </w:rPr>
        <w:t>商业合同改写输出阶段进度、分析报告、合规审查、模板匹配信息、最终改写文本、复制结果和失败原因。</w:t>
      </w:r>
    </w:p>
    <w:p>
      <w:pPr>
        <w:pStyle w:val="ListBullet"/>
      </w:pPr>
      <w:r>
        <w:rPr>
          <w:rFonts w:ascii="Calibri" w:hAnsi="Calibri" w:eastAsia="Hiragino Sans GB"/>
        </w:rPr>
        <w:t>建立统一任务模型：任务创建、排队、执行、进度事件、结果保存、失败重试和任务历史。</w:t>
      </w:r>
    </w:p>
    <w:p>
      <w:pPr>
        <w:pStyle w:val="ListBullet"/>
      </w:pPr>
      <w:r>
        <w:rPr>
          <w:rFonts w:ascii="Calibri" w:hAnsi="Calibri" w:eastAsia="Hiragino Sans GB"/>
        </w:rPr>
        <w:t>建立知识库与模板库基础：合同模板导入、全文检索、版本记录和回滚。</w:t>
      </w:r>
    </w:p>
    <w:p>
      <w:pPr>
        <w:pStyle w:val="ListBullet"/>
      </w:pPr>
      <w:r>
        <w:rPr>
          <w:rFonts w:ascii="Calibri" w:hAnsi="Calibri" w:eastAsia="Hiragino Sans GB"/>
        </w:rPr>
        <w:t>建立基础运维能力：健康检查、限流、队列、日志、指标、告警和人工下线开关。</w:t>
      </w:r>
    </w:p>
    <w:p>
      <w:pPr>
        <w:pStyle w:val="Heading2"/>
      </w:pPr>
      <w:r>
        <w:t>5.2 Growth</w:t>
      </w:r>
    </w:p>
    <w:p>
      <w:pPr>
        <w:pStyle w:val="ListBullet"/>
      </w:pPr>
      <w:r>
        <w:rPr>
          <w:rFonts w:ascii="Calibri" w:hAnsi="Calibri" w:eastAsia="Hiragino Sans GB"/>
        </w:rPr>
        <w:t>上线劳动合同分析、劳动仲裁答辩、员工手册诊断、医疗期计算、养老保险测算、灵活就业保险测算。</w:t>
      </w:r>
    </w:p>
    <w:p>
      <w:pPr>
        <w:pStyle w:val="ListBullet"/>
      </w:pPr>
      <w:r>
        <w:rPr>
          <w:rFonts w:ascii="Calibri" w:hAnsi="Calibri" w:eastAsia="Hiragino Sans GB"/>
        </w:rPr>
        <w:t>上线运营后台：邀请码、用户、任务、知识库、模板、反馈和运行指标管理。</w:t>
      </w:r>
    </w:p>
    <w:p>
      <w:pPr>
        <w:pStyle w:val="ListBullet"/>
      </w:pPr>
      <w:r>
        <w:rPr>
          <w:rFonts w:ascii="Calibri" w:hAnsi="Calibri" w:eastAsia="Hiragino Sans GB"/>
        </w:rPr>
        <w:t>上线产品级额度、用户级限流、企业级试点批次管理和灰度发布。</w:t>
      </w:r>
    </w:p>
    <w:p>
      <w:pPr>
        <w:pStyle w:val="ListBullet"/>
      </w:pPr>
      <w:r>
        <w:rPr>
          <w:rFonts w:ascii="Calibri" w:hAnsi="Calibri" w:eastAsia="Hiragino Sans GB"/>
        </w:rPr>
        <w:t>扩展合同类型：买卖、租赁、股权转让、经纪合作、广告投放等。</w:t>
      </w:r>
    </w:p>
    <w:p>
      <w:pPr>
        <w:pStyle w:val="ListBullet"/>
      </w:pPr>
      <w:r>
        <w:rPr>
          <w:rFonts w:ascii="Calibri" w:hAnsi="Calibri" w:eastAsia="Hiragino Sans GB"/>
        </w:rPr>
        <w:t>支持结果质量反馈、任务收藏、任务搜索、结果导出和人工复核流转。</w:t>
      </w:r>
    </w:p>
    <w:p>
      <w:pPr>
        <w:pStyle w:val="Heading2"/>
      </w:pPr>
      <w:r>
        <w:t>5.3 Vision</w:t>
      </w:r>
    </w:p>
    <w:p>
      <w:pPr>
        <w:pStyle w:val="ListBullet"/>
      </w:pPr>
      <w:r>
        <w:rPr>
          <w:rFonts w:ascii="Calibri" w:hAnsi="Calibri" w:eastAsia="Hiragino Sans GB"/>
        </w:rPr>
        <w:t>企业租户、部门、成员、角色、权限、企业审计与 SSO。</w:t>
      </w:r>
    </w:p>
    <w:p>
      <w:pPr>
        <w:pStyle w:val="ListBullet"/>
      </w:pPr>
      <w:r>
        <w:rPr>
          <w:rFonts w:ascii="Calibri" w:hAnsi="Calibri" w:eastAsia="Hiragino Sans GB"/>
        </w:rPr>
        <w:t>企业私有知识库、专属模板库、地区规则库和定制工作流。</w:t>
      </w:r>
    </w:p>
    <w:p>
      <w:pPr>
        <w:pStyle w:val="ListBullet"/>
      </w:pPr>
      <w:r>
        <w:rPr>
          <w:rFonts w:ascii="Calibri" w:hAnsi="Calibri" w:eastAsia="Hiragino Sans GB"/>
        </w:rPr>
        <w:t>合同版本管理、历史对比、批注、红线修订导出和多人协作。</w:t>
      </w:r>
    </w:p>
    <w:p>
      <w:pPr>
        <w:pStyle w:val="ListBullet"/>
      </w:pPr>
      <w:r>
        <w:rPr>
          <w:rFonts w:ascii="Calibri" w:hAnsi="Calibri" w:eastAsia="Hiragino Sans GB"/>
        </w:rPr>
        <w:t>开放 API，与 OA、合同管理、人事系统、企业微信或内部流程集成。</w:t>
      </w:r>
    </w:p>
    <w:p>
      <w:pPr>
        <w:pStyle w:val="ListBullet"/>
      </w:pPr>
      <w:r>
        <w:rPr>
          <w:rFonts w:ascii="Calibri" w:hAnsi="Calibri" w:eastAsia="Hiragino Sans GB"/>
        </w:rPr>
        <w:t>律师协作和人工复核闭环，但 AI 输出仍不替代正式法律意见。</w:t>
      </w:r>
    </w:p>
    <w:p>
      <w:pPr>
        <w:pStyle w:val="Heading1"/>
      </w:pPr>
      <w:r>
        <w:t>6. User Journeys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shd w:fill="F2F4F7"/>
          </w:tcPr>
          <w:p>
            <w:pPr>
              <w:pStyle w:val="TableHeader"/>
            </w:pPr>
            <w:r>
              <w:rPr>
                <w:rFonts w:ascii="Calibri" w:hAnsi="Calibri" w:eastAsia="Hiragino Sans GB"/>
                <w:b/>
                <w:color w:val="172033"/>
                <w:sz w:val="18"/>
              </w:rPr>
              <w:t>旅程</w:t>
            </w:r>
          </w:p>
        </w:tc>
        <w:tc>
          <w:tcPr>
            <w:tcW w:type="dxa" w:w="6760"/>
            <w:vAlign w:val="center"/>
            <w:shd w:fill="F2F4F7"/>
          </w:tcPr>
          <w:p>
            <w:pPr>
              <w:pStyle w:val="TableHeader"/>
            </w:pPr>
            <w:r>
              <w:rPr>
                <w:rFonts w:ascii="Calibri" w:hAnsi="Calibri" w:eastAsia="Hiragino Sans GB"/>
                <w:b/>
                <w:color w:val="172033"/>
                <w:sz w:val="18"/>
              </w:rPr>
              <w:t>流程摘要</w:t>
            </w:r>
          </w:p>
        </w:tc>
      </w:tr>
      <w:tr>
        <w:tc>
          <w:tcPr>
            <w:tcW w:type="dxa" w:w="26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访客了解产品并申请体验</w:t>
            </w:r>
          </w:p>
        </w:tc>
        <w:tc>
          <w:tcPr>
            <w:tcW w:type="dxa" w:w="67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用户进入官网，浏览产品矩阵、行业案例和客户背书，点击免费咨询或申请体验入口，提交联系方式，运营审核后发放邀请码。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邀请用户注册并进入工作台</w:t>
            </w:r>
          </w:p>
        </w:tc>
        <w:tc>
          <w:tcPr>
            <w:tcW w:type="dxa" w:w="67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用户输入邀请码、手机号或邮箱、密码及必要身份信息；系统校验邀请码状态、次数、过期时间和产品权限；注册成功后进入工作台。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企业法务完成商业合同改写</w:t>
            </w:r>
          </w:p>
        </w:tc>
        <w:tc>
          <w:tcPr>
            <w:tcW w:type="dxa" w:w="67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用户上传合同文件，选择或输入改写目标；系统创建 AI 任务，展示排队、解析、分析、知识检索、审查和改写阶段；完成后展示风险清单和最终文本。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HR 使用用工风险工具</w:t>
            </w:r>
          </w:p>
        </w:tc>
        <w:tc>
          <w:tcPr>
            <w:tcW w:type="dxa" w:w="67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HR 选择劳动合同分析或员工手册诊断，上传材料，系统识别条款完整性、程序缺陷和风险等级，输出修改建议。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运营管理员维护准入与运行</w:t>
            </w:r>
          </w:p>
        </w:tc>
        <w:tc>
          <w:tcPr>
            <w:tcW w:type="dxa" w:w="67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管理员生成邀请码、调整产品权限、查看任务量和失败率、更新模板与工作流版本，并在异常时暂停单个工具。</w:t>
            </w:r>
          </w:p>
        </w:tc>
      </w:tr>
    </w:tbl>
    <w:p>
      <w:pPr>
        <w:spacing w:after="60"/>
      </w:pPr>
    </w:p>
    <w:p>
      <w:pPr>
        <w:pStyle w:val="Heading1"/>
      </w:pPr>
      <w:r>
        <w:t>7. User Stories</w:t>
      </w:r>
    </w:p>
    <w:p>
      <w:pPr>
        <w:pStyle w:val="ListNumber"/>
      </w:pPr>
      <w:r>
        <w:rPr>
          <w:rFonts w:ascii="Calibri" w:hAnsi="Calibri" w:eastAsia="Hiragino Sans GB"/>
        </w:rPr>
        <w:t>作为访客，我想在首页快速理解法飞飞 AI 的核心价值，以便判断是否适合企业试用。</w:t>
      </w:r>
    </w:p>
    <w:p>
      <w:pPr>
        <w:pStyle w:val="ListNumber"/>
      </w:pPr>
      <w:r>
        <w:rPr>
          <w:rFonts w:ascii="Calibri" w:hAnsi="Calibri" w:eastAsia="Hiragino Sans GB"/>
        </w:rPr>
        <w:t>作为访客，我想查看产品矩阵中的每个法律工具，以便了解平台可以覆盖哪些用工与合同场景。</w:t>
      </w:r>
    </w:p>
    <w:p>
      <w:pPr>
        <w:pStyle w:val="ListNumber"/>
      </w:pPr>
      <w:r>
        <w:rPr>
          <w:rFonts w:ascii="Calibri" w:hAnsi="Calibri" w:eastAsia="Hiragino Sans GB"/>
        </w:rPr>
        <w:t>作为访客，我想查看行业服务案例和客户背书，以便建立对平台专业性的信任。</w:t>
      </w:r>
    </w:p>
    <w:p>
      <w:pPr>
        <w:pStyle w:val="ListNumber"/>
      </w:pPr>
      <w:r>
        <w:rPr>
          <w:rFonts w:ascii="Calibri" w:hAnsi="Calibri" w:eastAsia="Hiragino Sans GB"/>
        </w:rPr>
        <w:t>作为访客，我想通过咨询按钮或二维码联系运营，以便申请试用资格。</w:t>
      </w:r>
    </w:p>
    <w:p>
      <w:pPr>
        <w:pStyle w:val="ListNumber"/>
      </w:pPr>
      <w:r>
        <w:rPr>
          <w:rFonts w:ascii="Calibri" w:hAnsi="Calibri" w:eastAsia="Hiragino Sans GB"/>
        </w:rPr>
        <w:t>作为受邀用户，我想使用邀请码注册账号，以便进入完整功能工作台。</w:t>
      </w:r>
    </w:p>
    <w:p>
      <w:pPr>
        <w:pStyle w:val="ListNumber"/>
      </w:pPr>
      <w:r>
        <w:rPr>
          <w:rFonts w:ascii="Calibri" w:hAnsi="Calibri" w:eastAsia="Hiragino Sans GB"/>
        </w:rPr>
        <w:t>作为受邀用户，我想知道邀请码无效、过期或次数用尽的具体原因，以便联系运营处理。</w:t>
      </w:r>
    </w:p>
    <w:p>
      <w:pPr>
        <w:pStyle w:val="ListNumber"/>
      </w:pPr>
      <w:r>
        <w:rPr>
          <w:rFonts w:ascii="Calibri" w:hAnsi="Calibri" w:eastAsia="Hiragino Sans GB"/>
        </w:rPr>
        <w:t>作为登录用户，我想看到自己可用的产品入口，以便快速开始对应法律任务。</w:t>
      </w:r>
    </w:p>
    <w:p>
      <w:pPr>
        <w:pStyle w:val="ListNumber"/>
      </w:pPr>
      <w:r>
        <w:rPr>
          <w:rFonts w:ascii="Calibri" w:hAnsi="Calibri" w:eastAsia="Hiragino Sans GB"/>
        </w:rPr>
        <w:t>作为登录用户，我想上传 PDF、Word 或合同截图，以便不用手动复制长合同文本。</w:t>
      </w:r>
    </w:p>
    <w:p>
      <w:pPr>
        <w:pStyle w:val="ListNumber"/>
      </w:pPr>
      <w:r>
        <w:rPr>
          <w:rFonts w:ascii="Calibri" w:hAnsi="Calibri" w:eastAsia="Hiragino Sans GB"/>
        </w:rPr>
        <w:t>作为登录用户，我想在上传前看到文件数量、大小和格式限制，以便避免提交失败。</w:t>
      </w:r>
    </w:p>
    <w:p>
      <w:pPr>
        <w:pStyle w:val="ListNumber"/>
      </w:pPr>
      <w:r>
        <w:rPr>
          <w:rFonts w:ascii="Calibri" w:hAnsi="Calibri" w:eastAsia="Hiragino Sans GB"/>
        </w:rPr>
        <w:t>作为登录用户，我想输入改写目标或选择快捷目标，以便让 AI 按我的业务立场处理合同。</w:t>
      </w:r>
    </w:p>
    <w:p>
      <w:pPr>
        <w:pStyle w:val="ListNumber"/>
      </w:pPr>
      <w:r>
        <w:rPr>
          <w:rFonts w:ascii="Calibri" w:hAnsi="Calibri" w:eastAsia="Hiragino Sans GB"/>
        </w:rPr>
        <w:t>作为企业法务，我想看到合同结构分析，以便快速判断合同要素是否完整。</w:t>
      </w:r>
    </w:p>
    <w:p>
      <w:pPr>
        <w:pStyle w:val="ListNumber"/>
      </w:pPr>
      <w:r>
        <w:rPr>
          <w:rFonts w:ascii="Calibri" w:hAnsi="Calibri" w:eastAsia="Hiragino Sans GB"/>
        </w:rPr>
        <w:t>作为企业法务，我想看到高/中/低风险排序，以便优先处理重大风险。</w:t>
      </w:r>
    </w:p>
    <w:p>
      <w:pPr>
        <w:pStyle w:val="ListNumber"/>
      </w:pPr>
      <w:r>
        <w:rPr>
          <w:rFonts w:ascii="Calibri" w:hAnsi="Calibri" w:eastAsia="Hiragino Sans GB"/>
        </w:rPr>
        <w:t>作为企业法务，我想看到具体原条款、风险分析和修改建议，以便进行人工复核。</w:t>
      </w:r>
    </w:p>
    <w:p>
      <w:pPr>
        <w:pStyle w:val="ListNumber"/>
      </w:pPr>
      <w:r>
        <w:rPr>
          <w:rFonts w:ascii="Calibri" w:hAnsi="Calibri" w:eastAsia="Hiragino Sans GB"/>
        </w:rPr>
        <w:t>作为企业法务，我想获得最终可复制的合同文本，以便用于后续内部修订。</w:t>
      </w:r>
    </w:p>
    <w:p>
      <w:pPr>
        <w:pStyle w:val="ListNumber"/>
      </w:pPr>
      <w:r>
        <w:rPr>
          <w:rFonts w:ascii="Calibri" w:hAnsi="Calibri" w:eastAsia="Hiragino Sans GB"/>
        </w:rPr>
        <w:t>作为企业法务，我想在任务执行中看到阶段进度，以便知道系统是否仍在处理。</w:t>
      </w:r>
    </w:p>
    <w:p>
      <w:pPr>
        <w:pStyle w:val="ListNumber"/>
      </w:pPr>
      <w:r>
        <w:rPr>
          <w:rFonts w:ascii="Calibri" w:hAnsi="Calibri" w:eastAsia="Hiragino Sans GB"/>
        </w:rPr>
        <w:t>作为企业法务，我想在断开连接后仍能查询任务结果，以便避免长任务丢失。</w:t>
      </w:r>
    </w:p>
    <w:p>
      <w:pPr>
        <w:pStyle w:val="ListNumber"/>
      </w:pPr>
      <w:r>
        <w:rPr>
          <w:rFonts w:ascii="Calibri" w:hAnsi="Calibri" w:eastAsia="Hiragino Sans GB"/>
        </w:rPr>
        <w:t>作为 HR，我想上传劳动合同并获得试用期、工时、社保、解除、竞业等风险分析，以便降低用工风险。</w:t>
      </w:r>
    </w:p>
    <w:p>
      <w:pPr>
        <w:pStyle w:val="ListNumber"/>
      </w:pPr>
      <w:r>
        <w:rPr>
          <w:rFonts w:ascii="Calibri" w:hAnsi="Calibri" w:eastAsia="Hiragino Sans GB"/>
        </w:rPr>
        <w:t>作为 HR，我想上传员工手册并获得制度合法性、民主程序和奖惩条款建议，以便准备制度修订。</w:t>
      </w:r>
    </w:p>
    <w:p>
      <w:pPr>
        <w:pStyle w:val="ListNumber"/>
      </w:pPr>
      <w:r>
        <w:rPr>
          <w:rFonts w:ascii="Calibri" w:hAnsi="Calibri" w:eastAsia="Hiragino Sans GB"/>
        </w:rPr>
        <w:t>作为 HR，我想使用医疗期计算器并看到计算过程，以便向管理层解释结论依据。</w:t>
      </w:r>
    </w:p>
    <w:p>
      <w:pPr>
        <w:pStyle w:val="ListNumber"/>
      </w:pPr>
      <w:r>
        <w:rPr>
          <w:rFonts w:ascii="Calibri" w:hAnsi="Calibri" w:eastAsia="Hiragino Sans GB"/>
        </w:rPr>
        <w:t>作为企业负责人，我想查看养老保险和灵活就业保险测算，以便评估企业和个人成本。</w:t>
      </w:r>
    </w:p>
    <w:p>
      <w:pPr>
        <w:pStyle w:val="ListNumber"/>
      </w:pPr>
      <w:r>
        <w:rPr>
          <w:rFonts w:ascii="Calibri" w:hAnsi="Calibri" w:eastAsia="Hiragino Sans GB"/>
        </w:rPr>
        <w:t>作为处理劳动争议的用户，我想生成仲裁答辩思路、证据清单和文书草稿，以便准备专业复核。</w:t>
      </w:r>
    </w:p>
    <w:p>
      <w:pPr>
        <w:pStyle w:val="ListNumber"/>
      </w:pPr>
      <w:r>
        <w:rPr>
          <w:rFonts w:ascii="Calibri" w:hAnsi="Calibri" w:eastAsia="Hiragino Sans GB"/>
        </w:rPr>
        <w:t>作为登录用户，我想看到 AI 输出边界提示，以便理解结果不替代律师意见。</w:t>
      </w:r>
    </w:p>
    <w:p>
      <w:pPr>
        <w:pStyle w:val="ListNumber"/>
      </w:pPr>
      <w:r>
        <w:rPr>
          <w:rFonts w:ascii="Calibri" w:hAnsi="Calibri" w:eastAsia="Hiragino Sans GB"/>
        </w:rPr>
        <w:t>作为登录用户，我想复制结果、重新生成或提交反馈，以便提升实际可用性。</w:t>
      </w:r>
    </w:p>
    <w:p>
      <w:pPr>
        <w:pStyle w:val="ListNumber"/>
      </w:pPr>
      <w:r>
        <w:rPr>
          <w:rFonts w:ascii="Calibri" w:hAnsi="Calibri" w:eastAsia="Hiragino Sans GB"/>
        </w:rPr>
        <w:t>作为登录用户，我想查看历史任务和失败原因，以便继续处理未完成任务。</w:t>
      </w:r>
    </w:p>
    <w:p>
      <w:pPr>
        <w:pStyle w:val="ListNumber"/>
      </w:pPr>
      <w:r>
        <w:rPr>
          <w:rFonts w:ascii="Calibri" w:hAnsi="Calibri" w:eastAsia="Hiragino Sans GB"/>
        </w:rPr>
        <w:t>作为管理员，我想生成邀请码批次，以便控制试点范围。</w:t>
      </w:r>
    </w:p>
    <w:p>
      <w:pPr>
        <w:pStyle w:val="ListNumber"/>
      </w:pPr>
      <w:r>
        <w:rPr>
          <w:rFonts w:ascii="Calibri" w:hAnsi="Calibri" w:eastAsia="Hiragino Sans GB"/>
        </w:rPr>
        <w:t>作为管理员，我想禁用或调整邀请码权限，以便控制风险和成本。</w:t>
      </w:r>
    </w:p>
    <w:p>
      <w:pPr>
        <w:pStyle w:val="ListNumber"/>
      </w:pPr>
      <w:r>
        <w:rPr>
          <w:rFonts w:ascii="Calibri" w:hAnsi="Calibri" w:eastAsia="Hiragino Sans GB"/>
        </w:rPr>
        <w:t>作为管理员，我想查看任务成功率、失败率、平均耗时和队列堆积，以便判断系统健康状态。</w:t>
      </w:r>
    </w:p>
    <w:p>
      <w:pPr>
        <w:pStyle w:val="ListNumber"/>
      </w:pPr>
      <w:r>
        <w:rPr>
          <w:rFonts w:ascii="Calibri" w:hAnsi="Calibri" w:eastAsia="Hiragino Sans GB"/>
        </w:rPr>
        <w:t>作为管理员，我想更新知识库和模板版本，以便让 AI 使用最新专业内容。</w:t>
      </w:r>
    </w:p>
    <w:p>
      <w:pPr>
        <w:pStyle w:val="ListNumber"/>
      </w:pPr>
      <w:r>
        <w:rPr>
          <w:rFonts w:ascii="Calibri" w:hAnsi="Calibri" w:eastAsia="Hiragino Sans GB"/>
        </w:rPr>
        <w:t>作为管理员，我想灰度发布新工作流版本，以便降低大范围质量风险。</w:t>
      </w:r>
    </w:p>
    <w:p>
      <w:pPr>
        <w:pStyle w:val="ListNumber"/>
      </w:pPr>
      <w:r>
        <w:rPr>
          <w:rFonts w:ascii="Calibri" w:hAnsi="Calibri" w:eastAsia="Hiragino Sans GB"/>
        </w:rPr>
        <w:t>作为研发人员，我想每个任务记录工作流、模型、知识库和模板版本，以便定位问题和回滚。</w:t>
      </w:r>
    </w:p>
    <w:p>
      <w:pPr>
        <w:pStyle w:val="ListNumber"/>
      </w:pPr>
      <w:r>
        <w:rPr>
          <w:rFonts w:ascii="Calibri" w:hAnsi="Calibri" w:eastAsia="Hiragino Sans GB"/>
        </w:rPr>
        <w:t>作为研发人员，我想在模型失败或限流时有重试和降级，以便保持任务结果可解释。</w:t>
      </w:r>
    </w:p>
    <w:p>
      <w:pPr>
        <w:pStyle w:val="ListNumber"/>
      </w:pPr>
      <w:r>
        <w:rPr>
          <w:rFonts w:ascii="Calibri" w:hAnsi="Calibri" w:eastAsia="Hiragino Sans GB"/>
        </w:rPr>
        <w:t>作为安全负责人，我想上传文件和结果默认按敏感数据处理，以便降低合同和员工信息泄露风险。</w:t>
      </w:r>
    </w:p>
    <w:p>
      <w:pPr>
        <w:pStyle w:val="ListNumber"/>
      </w:pPr>
      <w:r>
        <w:rPr>
          <w:rFonts w:ascii="Calibri" w:hAnsi="Calibri" w:eastAsia="Hiragino Sans GB"/>
        </w:rPr>
        <w:t>作为安全负责人，我想关键行为有审计日志，以便满足企业合规检查。</w:t>
      </w:r>
    </w:p>
    <w:p>
      <w:pPr>
        <w:pStyle w:val="ListNumber"/>
      </w:pPr>
      <w:r>
        <w:rPr>
          <w:rFonts w:ascii="Calibri" w:hAnsi="Calibri" w:eastAsia="Hiragino Sans GB"/>
        </w:rPr>
        <w:t>作为运营人员，我想收集结果满意度和问题类型，以便推动提示词和模板迭代。</w:t>
      </w:r>
    </w:p>
    <w:p>
      <w:pPr>
        <w:pStyle w:val="ListNumber"/>
      </w:pPr>
      <w:r>
        <w:rPr>
          <w:rFonts w:ascii="Calibri" w:hAnsi="Calibri" w:eastAsia="Hiragino Sans GB"/>
        </w:rPr>
        <w:t>作为产品经理，我想按产品查看使用量和转化率，以便决定下一阶段优先级。</w:t>
      </w:r>
    </w:p>
    <w:p>
      <w:pPr>
        <w:pStyle w:val="ListNumber"/>
      </w:pPr>
      <w:r>
        <w:rPr>
          <w:rFonts w:ascii="Calibri" w:hAnsi="Calibri" w:eastAsia="Hiragino Sans GB"/>
        </w:rPr>
        <w:t>作为试点客户，我想在移动端查看任务状态和结果摘要，以便随时跟进处理进展。</w:t>
      </w:r>
    </w:p>
    <w:p>
      <w:pPr>
        <w:pStyle w:val="Heading1"/>
      </w:pPr>
      <w:r>
        <w:t>8. Functional Requirements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00"/>
        <w:gridCol w:w="2200"/>
        <w:gridCol w:w="6260"/>
      </w:tblGrid>
      <w:tr>
        <w:trPr>
          <w:tblHeader w:val="true"/>
        </w:trPr>
        <w:tc>
          <w:tcPr>
            <w:tcW w:type="dxa" w:w="900"/>
            <w:vAlign w:val="center"/>
            <w:shd w:fill="F2F4F7"/>
          </w:tcPr>
          <w:p>
            <w:pPr>
              <w:pStyle w:val="TableHeader"/>
            </w:pPr>
            <w:r>
              <w:rPr>
                <w:rFonts w:ascii="Calibri" w:hAnsi="Calibri" w:eastAsia="Hiragino Sans GB"/>
                <w:b/>
                <w:color w:val="172033"/>
                <w:sz w:val="18"/>
              </w:rPr>
              <w:t>ID</w:t>
            </w:r>
          </w:p>
        </w:tc>
        <w:tc>
          <w:tcPr>
            <w:tcW w:type="dxa" w:w="2200"/>
            <w:vAlign w:val="center"/>
            <w:shd w:fill="F2F4F7"/>
          </w:tcPr>
          <w:p>
            <w:pPr>
              <w:pStyle w:val="TableHeader"/>
            </w:pPr>
            <w:r>
              <w:rPr>
                <w:rFonts w:ascii="Calibri" w:hAnsi="Calibri" w:eastAsia="Hiragino Sans GB"/>
                <w:b/>
                <w:color w:val="172033"/>
                <w:sz w:val="18"/>
              </w:rPr>
              <w:t>需求</w:t>
            </w:r>
          </w:p>
        </w:tc>
        <w:tc>
          <w:tcPr>
            <w:tcW w:type="dxa" w:w="6260"/>
            <w:vAlign w:val="center"/>
            <w:shd w:fill="F2F4F7"/>
          </w:tcPr>
          <w:p>
            <w:pPr>
              <w:pStyle w:val="TableHeader"/>
            </w:pPr>
            <w:r>
              <w:rPr>
                <w:rFonts w:ascii="Calibri" w:hAnsi="Calibri" w:eastAsia="Hiragino Sans GB"/>
                <w:b/>
                <w:color w:val="172033"/>
                <w:sz w:val="18"/>
              </w:rPr>
              <w:t>验收标准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FR-001</w:t>
            </w:r>
          </w:p>
        </w:tc>
        <w:tc>
          <w:tcPr>
            <w:tcW w:type="dxa" w:w="22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邀请码注册</w:t>
            </w:r>
          </w:p>
        </w:tc>
        <w:tc>
          <w:tcPr>
            <w:tcW w:type="dxa" w:w="62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无邀请码、过期、禁用、超次数的邀请码均不能注册，并返回明确原因。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FR-002</w:t>
            </w:r>
          </w:p>
        </w:tc>
        <w:tc>
          <w:tcPr>
            <w:tcW w:type="dxa" w:w="22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登录与退出</w:t>
            </w:r>
          </w:p>
        </w:tc>
        <w:tc>
          <w:tcPr>
            <w:tcW w:type="dxa" w:w="62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登录后访问工作台和 AI 工具；退出后访问受保护页面需重新登录。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FR-003</w:t>
            </w:r>
          </w:p>
        </w:tc>
        <w:tc>
          <w:tcPr>
            <w:tcW w:type="dxa" w:w="22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产品权限</w:t>
            </w:r>
          </w:p>
        </w:tc>
        <w:tc>
          <w:tcPr>
            <w:tcW w:type="dxa" w:w="62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用户只看到并使用其账号或邀请码允许的产品。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FR-004</w:t>
            </w:r>
          </w:p>
        </w:tc>
        <w:tc>
          <w:tcPr>
            <w:tcW w:type="dxa" w:w="22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官网展示</w:t>
            </w:r>
          </w:p>
        </w:tc>
        <w:tc>
          <w:tcPr>
            <w:tcW w:type="dxa" w:w="62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桌面端和移动端均可浏览品牌、产品矩阵、案例、客户墙、关于页面和咨询入口。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FR-005</w:t>
            </w:r>
          </w:p>
        </w:tc>
        <w:tc>
          <w:tcPr>
            <w:tcW w:type="dxa" w:w="22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商业合同改写上传</w:t>
            </w:r>
          </w:p>
        </w:tc>
        <w:tc>
          <w:tcPr>
            <w:tcW w:type="dxa" w:w="62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支持 PDF、DOC、DOCX、PNG、JPG、JPEG、WebP；单文件和数量限制清晰提示。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FR-006</w:t>
            </w:r>
          </w:p>
        </w:tc>
        <w:tc>
          <w:tcPr>
            <w:tcW w:type="dxa" w:w="22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任务创建</w:t>
            </w:r>
          </w:p>
        </w:tc>
        <w:tc>
          <w:tcPr>
            <w:tcW w:type="dxa" w:w="62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提交后返回任务 ID、初始状态、排队信息和进度订阅地址。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FR-007</w:t>
            </w:r>
          </w:p>
        </w:tc>
        <w:tc>
          <w:tcPr>
            <w:tcW w:type="dxa" w:w="22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任务进度</w:t>
            </w:r>
          </w:p>
        </w:tc>
        <w:tc>
          <w:tcPr>
            <w:tcW w:type="dxa" w:w="62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展示排队、解析、分析、检索、审查、改写、完成、失败等阶段。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FR-008</w:t>
            </w:r>
          </w:p>
        </w:tc>
        <w:tc>
          <w:tcPr>
            <w:tcW w:type="dxa" w:w="22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结果展示</w:t>
            </w:r>
          </w:p>
        </w:tc>
        <w:tc>
          <w:tcPr>
            <w:tcW w:type="dxa" w:w="62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支持风险等级、表格、列表、修改建议、最终合同文本和免责声明。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FR-009</w:t>
            </w:r>
          </w:p>
        </w:tc>
        <w:tc>
          <w:tcPr>
            <w:tcW w:type="dxa" w:w="22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结果查询</w:t>
            </w:r>
          </w:p>
        </w:tc>
        <w:tc>
          <w:tcPr>
            <w:tcW w:type="dxa" w:w="62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刷新或断线后可通过任务中心查询最终结果或失败原因。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FR-010</w:t>
            </w:r>
          </w:p>
        </w:tc>
        <w:tc>
          <w:tcPr>
            <w:tcW w:type="dxa" w:w="22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部分解析失败</w:t>
            </w:r>
          </w:p>
        </w:tc>
        <w:tc>
          <w:tcPr>
            <w:tcW w:type="dxa" w:w="62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多文件任务中至少一个文件成功解析时继续处理，并提示失败文件。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FR-011</w:t>
            </w:r>
          </w:p>
        </w:tc>
        <w:tc>
          <w:tcPr>
            <w:tcW w:type="dxa" w:w="22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全部解析失败</w:t>
            </w:r>
          </w:p>
        </w:tc>
        <w:tc>
          <w:tcPr>
            <w:tcW w:type="dxa" w:w="62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任务终止，不基于空内容生成法律结论。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FR-012</w:t>
            </w:r>
          </w:p>
        </w:tc>
        <w:tc>
          <w:tcPr>
            <w:tcW w:type="dxa" w:w="22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知识库检索</w:t>
            </w:r>
          </w:p>
        </w:tc>
        <w:tc>
          <w:tcPr>
            <w:tcW w:type="dxa" w:w="62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按合同类型、关键词、地区、行业和版本召回模板或规则。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FR-013</w:t>
            </w:r>
          </w:p>
        </w:tc>
        <w:tc>
          <w:tcPr>
            <w:tcW w:type="dxa" w:w="22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工作流版本</w:t>
            </w:r>
          </w:p>
        </w:tc>
        <w:tc>
          <w:tcPr>
            <w:tcW w:type="dxa" w:w="62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每次任务记录产品 ID、工作流版本、知识库版本、模板版本和模型配置版本。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FR-014</w:t>
            </w:r>
          </w:p>
        </w:tc>
        <w:tc>
          <w:tcPr>
            <w:tcW w:type="dxa" w:w="22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灰度与回滚</w:t>
            </w:r>
          </w:p>
        </w:tc>
        <w:tc>
          <w:tcPr>
            <w:tcW w:type="dxa" w:w="62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新工作流可按用户、邀请码批次或比例发布；异常时可快速回滚。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FR-015</w:t>
            </w:r>
          </w:p>
        </w:tc>
        <w:tc>
          <w:tcPr>
            <w:tcW w:type="dxa" w:w="22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运营后台</w:t>
            </w:r>
          </w:p>
        </w:tc>
        <w:tc>
          <w:tcPr>
            <w:tcW w:type="dxa" w:w="62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管理员可管理邀请码、用户、任务、知识库、模板、反馈和运行指标。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FR-016</w:t>
            </w:r>
          </w:p>
        </w:tc>
        <w:tc>
          <w:tcPr>
            <w:tcW w:type="dxa" w:w="22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反馈闭环</w:t>
            </w:r>
          </w:p>
        </w:tc>
        <w:tc>
          <w:tcPr>
            <w:tcW w:type="dxa" w:w="62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每个任务结果支持满意度、问题类型和备注反馈。</w:t>
            </w:r>
          </w:p>
        </w:tc>
      </w:tr>
    </w:tbl>
    <w:p>
      <w:pPr>
        <w:spacing w:after="60"/>
      </w:pPr>
    </w:p>
    <w:p>
      <w:pPr>
        <w:pStyle w:val="Heading1"/>
      </w:pPr>
      <w:r>
        <w:t>9. Non-Functional Requirements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00"/>
        <w:gridCol w:w="1700"/>
        <w:gridCol w:w="6760"/>
      </w:tblGrid>
      <w:tr>
        <w:trPr>
          <w:tblHeader w:val="true"/>
        </w:trPr>
        <w:tc>
          <w:tcPr>
            <w:tcW w:type="dxa" w:w="900"/>
            <w:vAlign w:val="center"/>
            <w:shd w:fill="F2F4F7"/>
          </w:tcPr>
          <w:p>
            <w:pPr>
              <w:pStyle w:val="TableHeader"/>
            </w:pPr>
            <w:r>
              <w:rPr>
                <w:rFonts w:ascii="Calibri" w:hAnsi="Calibri" w:eastAsia="Hiragino Sans GB"/>
                <w:b/>
                <w:color w:val="172033"/>
                <w:sz w:val="18"/>
              </w:rPr>
              <w:t>ID</w:t>
            </w:r>
          </w:p>
        </w:tc>
        <w:tc>
          <w:tcPr>
            <w:tcW w:type="dxa" w:w="1700"/>
            <w:vAlign w:val="center"/>
            <w:shd w:fill="F2F4F7"/>
          </w:tcPr>
          <w:p>
            <w:pPr>
              <w:pStyle w:val="TableHeader"/>
            </w:pPr>
            <w:r>
              <w:rPr>
                <w:rFonts w:ascii="Calibri" w:hAnsi="Calibri" w:eastAsia="Hiragino Sans GB"/>
                <w:b/>
                <w:color w:val="172033"/>
                <w:sz w:val="18"/>
              </w:rPr>
              <w:t>类别</w:t>
            </w:r>
          </w:p>
        </w:tc>
        <w:tc>
          <w:tcPr>
            <w:tcW w:type="dxa" w:w="6760"/>
            <w:vAlign w:val="center"/>
            <w:shd w:fill="F2F4F7"/>
          </w:tcPr>
          <w:p>
            <w:pPr>
              <w:pStyle w:val="TableHeader"/>
            </w:pPr>
            <w:r>
              <w:rPr>
                <w:rFonts w:ascii="Calibri" w:hAnsi="Calibri" w:eastAsia="Hiragino Sans GB"/>
                <w:b/>
                <w:color w:val="172033"/>
                <w:sz w:val="18"/>
              </w:rPr>
              <w:t>要求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NFR-001</w:t>
            </w:r>
          </w:p>
        </w:tc>
        <w:tc>
          <w:tcPr>
            <w:tcW w:type="dxa" w:w="17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性能</w:t>
            </w:r>
          </w:p>
        </w:tc>
        <w:tc>
          <w:tcPr>
            <w:tcW w:type="dxa" w:w="67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非 AI API 正常负载下 p95 小于 300ms；AI 任务创建 p95 小于 1 秒。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NFR-002</w:t>
            </w:r>
          </w:p>
        </w:tc>
        <w:tc>
          <w:tcPr>
            <w:tcW w:type="dxa" w:w="17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并发</w:t>
            </w:r>
          </w:p>
        </w:tc>
        <w:tc>
          <w:tcPr>
            <w:tcW w:type="dxa" w:w="67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MVP 支持 200 个并发登录会话和 50 个并发 AI 长任务，超阈值排队或限流。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NFR-003</w:t>
            </w:r>
          </w:p>
        </w:tc>
        <w:tc>
          <w:tcPr>
            <w:tcW w:type="dxa" w:w="17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可用性</w:t>
            </w:r>
          </w:p>
        </w:tc>
        <w:tc>
          <w:tcPr>
            <w:tcW w:type="dxa" w:w="67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MVP 月度可用性不低于 99.5%；Growth 不低于 99.9%。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NFR-004</w:t>
            </w:r>
          </w:p>
        </w:tc>
        <w:tc>
          <w:tcPr>
            <w:tcW w:type="dxa" w:w="17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背压</w:t>
            </w:r>
          </w:p>
        </w:tc>
        <w:tc>
          <w:tcPr>
            <w:tcW w:type="dxa" w:w="67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队列达到阈值时返回等待、限流或暂停新任务，不持续接收导致雪崩。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NFR-005</w:t>
            </w:r>
          </w:p>
        </w:tc>
        <w:tc>
          <w:tcPr>
            <w:tcW w:type="dxa" w:w="17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安全</w:t>
            </w:r>
          </w:p>
        </w:tc>
        <w:tc>
          <w:tcPr>
            <w:tcW w:type="dxa" w:w="67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模型密钥、存储密钥、管理员令牌只存在后端运行环境。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NFR-006</w:t>
            </w:r>
          </w:p>
        </w:tc>
        <w:tc>
          <w:tcPr>
            <w:tcW w:type="dxa" w:w="17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隐私</w:t>
            </w:r>
          </w:p>
        </w:tc>
        <w:tc>
          <w:tcPr>
            <w:tcW w:type="dxa" w:w="67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合同正文、员工个人信息、争议事实按敏感数据处理；日志不得记录完整正文。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NFR-007</w:t>
            </w:r>
          </w:p>
        </w:tc>
        <w:tc>
          <w:tcPr>
            <w:tcW w:type="dxa" w:w="17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文件保留</w:t>
            </w:r>
          </w:p>
        </w:tc>
        <w:tc>
          <w:tcPr>
            <w:tcW w:type="dxa" w:w="67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原始上传文件默认自动清理；企业或管理员可配置保留周期。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NFR-008</w:t>
            </w:r>
          </w:p>
        </w:tc>
        <w:tc>
          <w:tcPr>
            <w:tcW w:type="dxa" w:w="17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可观测性</w:t>
            </w:r>
          </w:p>
        </w:tc>
        <w:tc>
          <w:tcPr>
            <w:tcW w:type="dxa" w:w="67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监控请求量、错误率、延迟、队列长度、任务耗时、模型错误和资源使用率。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NFR-009</w:t>
            </w:r>
          </w:p>
        </w:tc>
        <w:tc>
          <w:tcPr>
            <w:tcW w:type="dxa" w:w="17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移动端</w:t>
            </w:r>
          </w:p>
        </w:tc>
        <w:tc>
          <w:tcPr>
            <w:tcW w:type="dxa" w:w="67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375px 宽移动端无主要内容遮挡；任务结果可读。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NFR-010</w:t>
            </w:r>
          </w:p>
        </w:tc>
        <w:tc>
          <w:tcPr>
            <w:tcW w:type="dxa" w:w="17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成本</w:t>
            </w:r>
          </w:p>
        </w:tc>
        <w:tc>
          <w:tcPr>
            <w:tcW w:type="dxa" w:w="67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按用户、产品和任务记录模型消耗、文件大小和处理耗时。</w:t>
            </w:r>
          </w:p>
        </w:tc>
      </w:tr>
    </w:tbl>
    <w:p>
      <w:pPr>
        <w:spacing w:after="60"/>
      </w:pPr>
    </w:p>
    <w:p>
      <w:pPr>
        <w:pStyle w:val="Heading1"/>
      </w:pPr>
      <w:r>
        <w:t>10. Domain and Legal Requirements</w:t>
      </w:r>
    </w:p>
    <w:p>
      <w:pPr>
        <w:pStyle w:val="ListBullet"/>
      </w:pPr>
      <w:r>
        <w:rPr>
          <w:rFonts w:ascii="Calibri" w:hAnsi="Calibri" w:eastAsia="Hiragino Sans GB"/>
        </w:rPr>
        <w:t>所有法律 AI 输出必须标明“仅供参考，不替代律师或专业法律意见”。</w:t>
      </w:r>
    </w:p>
    <w:p>
      <w:pPr>
        <w:pStyle w:val="ListBullet"/>
      </w:pPr>
      <w:r>
        <w:rPr>
          <w:rFonts w:ascii="Calibri" w:hAnsi="Calibri" w:eastAsia="Hiragino Sans GB"/>
        </w:rPr>
        <w:t>劳动法、社会保险、医疗期、仲裁答辩等结论必须展示适用前提、输入假设和依据来源。</w:t>
      </w:r>
    </w:p>
    <w:p>
      <w:pPr>
        <w:pStyle w:val="ListBullet"/>
      </w:pPr>
      <w:r>
        <w:rPr>
          <w:rFonts w:ascii="Calibri" w:hAnsi="Calibri" w:eastAsia="Hiragino Sans GB"/>
        </w:rPr>
        <w:t>劳动仲裁答辩不得承诺胜诉，只能输出风险判断、证据建议、答辩思路和文书草稿。</w:t>
      </w:r>
    </w:p>
    <w:p>
      <w:pPr>
        <w:pStyle w:val="ListBullet"/>
      </w:pPr>
      <w:r>
        <w:rPr>
          <w:rFonts w:ascii="Calibri" w:hAnsi="Calibri" w:eastAsia="Hiragino Sans GB"/>
        </w:rPr>
        <w:t>高风险结论必须提示人工复核，必要时引导用户咨询律师或法务专家。</w:t>
      </w:r>
    </w:p>
    <w:p>
      <w:pPr>
        <w:pStyle w:val="ListBullet"/>
      </w:pPr>
      <w:r>
        <w:rPr>
          <w:rFonts w:ascii="Calibri" w:hAnsi="Calibri" w:eastAsia="Hiragino Sans GB"/>
        </w:rPr>
        <w:t>规则存在地区差异或政策时间差异时，系统必须提示用户选择地区、时间或适用规则。</w:t>
      </w:r>
    </w:p>
    <w:p>
      <w:pPr>
        <w:pStyle w:val="ListBullet"/>
      </w:pPr>
      <w:r>
        <w:rPr>
          <w:rFonts w:ascii="Calibri" w:hAnsi="Calibri" w:eastAsia="Hiragino Sans GB"/>
        </w:rPr>
        <w:t>法律知识库、合同模板、计算规则和提示词必须具备版本号、生效时间、更新人和回滚能力。</w:t>
      </w:r>
    </w:p>
    <w:p>
      <w:pPr>
        <w:pStyle w:val="Heading1"/>
      </w:pPr>
      <w:r>
        <w:t>11. Implementation Decisions</w:t>
      </w:r>
    </w:p>
    <w:p>
      <w:pPr>
        <w:pStyle w:val="ListBullet"/>
      </w:pPr>
      <w:r>
        <w:rPr>
          <w:rFonts w:ascii="Calibri" w:hAnsi="Calibri" w:eastAsia="Hiragino Sans GB"/>
        </w:rPr>
        <w:t>产品将从“公开官网 + 单点试用页”演进为“公开官网 + 邀请制登录工作台 + AI 法律任务平台”。</w:t>
      </w:r>
    </w:p>
    <w:p>
      <w:pPr>
        <w:pStyle w:val="ListBullet"/>
      </w:pPr>
      <w:r>
        <w:rPr>
          <w:rFonts w:ascii="Calibri" w:hAnsi="Calibri" w:eastAsia="Hiragino Sans GB"/>
        </w:rPr>
        <w:t>现有商业合同改写作为 MVP 核心工具，其他产品矩阵工具按 Growth 阶段逐步接入同一任务平台。</w:t>
      </w:r>
    </w:p>
    <w:p>
      <w:pPr>
        <w:pStyle w:val="ListBullet"/>
      </w:pPr>
      <w:r>
        <w:t>生产目标路径不依赖第三方工作流代理；当前只保留自研本地合同改写引擎。</w:t>
      </w:r>
    </w:p>
    <w:p>
      <w:pPr>
        <w:pStyle w:val="ListBullet"/>
      </w:pPr>
      <w:r>
        <w:rPr>
          <w:rFonts w:ascii="Calibri" w:hAnsi="Calibri" w:eastAsia="Hiragino Sans GB"/>
        </w:rPr>
        <w:t>AI 能力通过模型网关统一接入，产品功能不直接持有模型密钥。</w:t>
      </w:r>
    </w:p>
    <w:p>
      <w:pPr>
        <w:pStyle w:val="ListBullet"/>
      </w:pPr>
      <w:r>
        <w:rPr>
          <w:rFonts w:ascii="Calibri" w:hAnsi="Calibri" w:eastAsia="Hiragino Sans GB"/>
        </w:rPr>
        <w:t>长任务采用“创建任务 + 进度订阅 + 结果查询”模式，而不是把最终能力绑定在单个同步 HTTP 请求上。</w:t>
      </w:r>
    </w:p>
    <w:p>
      <w:pPr>
        <w:pStyle w:val="ListBullet"/>
      </w:pPr>
      <w:r>
        <w:rPr>
          <w:rFonts w:ascii="Calibri" w:hAnsi="Calibri" w:eastAsia="Hiragino Sans GB"/>
        </w:rPr>
        <w:t>知识库、模板、工作流、提示词和模型配置均需版本化，以便灰度、回滚和质量追踪。</w:t>
      </w:r>
    </w:p>
    <w:p>
      <w:pPr>
        <w:pStyle w:val="Heading1"/>
      </w:pPr>
      <w:r>
        <w:t>12. Testing Decisions</w:t>
      </w:r>
    </w:p>
    <w:p>
      <w:pPr>
        <w:spacing w:after="120"/>
      </w:pPr>
      <w:r>
        <w:rPr>
          <w:rFonts w:ascii="Calibri" w:hAnsi="Calibri" w:eastAsia="Hiragino Sans GB"/>
        </w:rPr>
        <w:t>测试应优先覆盖外部行为，不测试 React 内部状态或提示词拼接细节。最高价值测试 seam 是浏览器端完整任务提交、后端任务接口契约、工作流引擎输入输出、文件解析边界和任务状态持久化。真实模型调用不进入常规 CI，应使用 mock 模型网关；真实模型链路作为上线前集成验收。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shd w:fill="F2F4F7"/>
          </w:tcPr>
          <w:p>
            <w:pPr>
              <w:pStyle w:val="TableHeader"/>
            </w:pPr>
            <w:r>
              <w:rPr>
                <w:rFonts w:ascii="Calibri" w:hAnsi="Calibri" w:eastAsia="Hiragino Sans GB"/>
                <w:b/>
                <w:color w:val="172033"/>
                <w:sz w:val="18"/>
              </w:rPr>
              <w:t>测试域</w:t>
            </w:r>
          </w:p>
        </w:tc>
        <w:tc>
          <w:tcPr>
            <w:tcW w:type="dxa" w:w="7160"/>
            <w:vAlign w:val="center"/>
            <w:shd w:fill="F2F4F7"/>
          </w:tcPr>
          <w:p>
            <w:pPr>
              <w:pStyle w:val="TableHeader"/>
            </w:pPr>
            <w:r>
              <w:rPr>
                <w:rFonts w:ascii="Calibri" w:hAnsi="Calibri" w:eastAsia="Hiragino Sans GB"/>
                <w:b/>
                <w:color w:val="172033"/>
                <w:sz w:val="18"/>
              </w:rPr>
              <w:t>覆盖重点</w:t>
            </w:r>
          </w:p>
        </w:tc>
      </w:tr>
      <w:tr>
        <w:tc>
          <w:tcPr>
            <w:tcW w:type="dxa" w:w="22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认证与邀请码</w:t>
            </w:r>
          </w:p>
        </w:tc>
        <w:tc>
          <w:tcPr>
            <w:tcW w:type="dxa" w:w="71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有效、过期、禁用、重复使用、权限绑定、未授权访问和管理员权限。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商业合同改写</w:t>
            </w:r>
          </w:p>
        </w:tc>
        <w:tc>
          <w:tcPr>
            <w:tcW w:type="dxa" w:w="71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文件上传、格式限制、解析失败、任务排队、阶段进度、风险输出、最终文本和复制结果。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工作流</w:t>
            </w:r>
          </w:p>
        </w:tc>
        <w:tc>
          <w:tcPr>
            <w:tcW w:type="dxa" w:w="71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版本记录、节点失败、重试、灰度、回滚、知识库版本绑定和模型网关错误。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高并发</w:t>
            </w:r>
          </w:p>
        </w:tc>
        <w:tc>
          <w:tcPr>
            <w:tcW w:type="dxa" w:w="71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任务提交、长连接、队列堆积、限流、背压、扩容后的吞吐变化。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安全</w:t>
            </w:r>
          </w:p>
        </w:tc>
        <w:tc>
          <w:tcPr>
            <w:tcW w:type="dxa" w:w="71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敏感配置暴露、日志脱敏、文件访问权限、越权访问和管理员 API。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前端体验</w:t>
            </w:r>
          </w:p>
        </w:tc>
        <w:tc>
          <w:tcPr>
            <w:tcW w:type="dxa" w:w="7160"/>
            <w:vAlign w:val="center"/>
          </w:tcPr>
          <w:p>
            <w:pPr>
              <w:pStyle w:val="TableBody"/>
              <w:spacing w:after="40"/>
            </w:pPr>
            <w:r>
              <w:rPr>
                <w:rFonts w:ascii="Calibri" w:hAnsi="Calibri" w:eastAsia="Hiragino Sans GB"/>
                <w:sz w:val="18"/>
              </w:rPr>
              <w:t>桌面/移动端导航、工作台、任务页、结果页、错误态和空状态。</w:t>
            </w:r>
          </w:p>
        </w:tc>
      </w:tr>
    </w:tbl>
    <w:p>
      <w:pPr>
        <w:spacing w:after="60"/>
      </w:pPr>
    </w:p>
    <w:p>
      <w:pPr>
        <w:pStyle w:val="Heading1"/>
      </w:pPr>
      <w:r>
        <w:t>13. Out of Scope</w:t>
      </w:r>
    </w:p>
    <w:p>
      <w:pPr>
        <w:pStyle w:val="ListBullet"/>
      </w:pPr>
      <w:r>
        <w:rPr>
          <w:rFonts w:ascii="Calibri" w:hAnsi="Calibri" w:eastAsia="Hiragino Sans GB"/>
        </w:rPr>
        <w:t>当前阶段不实现在线支付、套餐、发票、订单和商业化结算。</w:t>
      </w:r>
    </w:p>
    <w:p>
      <w:pPr>
        <w:pStyle w:val="ListBullet"/>
      </w:pPr>
      <w:r>
        <w:rPr>
          <w:rFonts w:ascii="Calibri" w:hAnsi="Calibri" w:eastAsia="Hiragino Sans GB"/>
        </w:rPr>
        <w:t>当前阶段不实现移动端原生 App 或小程序。</w:t>
      </w:r>
    </w:p>
    <w:p>
      <w:pPr>
        <w:pStyle w:val="ListBullet"/>
      </w:pPr>
      <w:r>
        <w:rPr>
          <w:rFonts w:ascii="Calibri" w:hAnsi="Calibri" w:eastAsia="Hiragino Sans GB"/>
        </w:rPr>
        <w:t>当前阶段不承诺 AI 输出可直接替代律师正式法律意见或保证仲裁/诉讼结果。</w:t>
      </w:r>
    </w:p>
    <w:p>
      <w:pPr>
        <w:pStyle w:val="ListBullet"/>
      </w:pPr>
      <w:r>
        <w:rPr>
          <w:rFonts w:ascii="Calibri" w:hAnsi="Calibri" w:eastAsia="Hiragino Sans GB"/>
        </w:rPr>
        <w:t>MVP 不实现完整拖拽式无代码工作流设计器，高代码配置优先。</w:t>
      </w:r>
    </w:p>
    <w:p>
      <w:pPr>
        <w:pStyle w:val="ListBullet"/>
      </w:pPr>
      <w:r>
        <w:rPr>
          <w:rFonts w:ascii="Calibri" w:hAnsi="Calibri" w:eastAsia="Hiragino Sans GB"/>
        </w:rPr>
        <w:t>MVP 不实现完整企业租户、复杂 RBAC、SSO、电子签章、法院/仲裁委在线提交。</w:t>
      </w:r>
    </w:p>
    <w:p>
      <w:pPr>
        <w:pStyle w:val="ListBullet"/>
      </w:pPr>
      <w:r>
        <w:rPr>
          <w:rFonts w:ascii="Calibri" w:hAnsi="Calibri" w:eastAsia="Hiragino Sans GB"/>
        </w:rPr>
        <w:t>MVP 不实现复杂合同红线对比和 Word 修订模式导出，可复制文本和结构化报告优先。</w:t>
      </w:r>
    </w:p>
    <w:p>
      <w:pPr>
        <w:pStyle w:val="Heading1"/>
      </w:pPr>
      <w:r>
        <w:t>14. Further Notes</w:t>
      </w:r>
    </w:p>
    <w:p>
      <w:pPr>
        <w:pStyle w:val="ListBullet"/>
      </w:pPr>
      <w:r>
        <w:t>当前仓库中的 React 官网、商业合同改写页、文件解析、SQLite 模板知识库和多 Agent 流水线是后续平台化的基础资产。</w:t>
      </w:r>
    </w:p>
    <w:p>
      <w:pPr>
        <w:pStyle w:val="ListBullet"/>
      </w:pPr>
      <w:r>
        <w:rPr>
          <w:rFonts w:ascii="Calibri" w:hAnsi="Calibri" w:eastAsia="Hiragino Sans GB"/>
        </w:rPr>
        <w:t>现有 README 偏向 React 官网复刻说明，后续应同步更新为“官网 + 邀请制工作台 + AI 高代码工作流平台 + 产品矩阵”的项目说明。</w:t>
      </w:r>
    </w:p>
    <w:p>
      <w:pPr>
        <w:pStyle w:val="ListBullet"/>
      </w:pPr>
      <w:r>
        <w:rPr>
          <w:rFonts w:ascii="Calibri" w:hAnsi="Calibri" w:eastAsia="Hiragino Sans GB"/>
        </w:rPr>
        <w:t>现有商业合同改写提示词主要围绕买卖合同和买方视角，扩展到劳动合同、仲裁答辩、员工手册等产品时，应拆分独立工作流与评测样例。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Hiragino Sans GB"/>
        <w:color w:val="667085"/>
        <w:sz w:val="18"/>
      </w:rPr>
      <w:t>内部产品与技术资料 | AI 输出仅供业务与研发评审，不替代正式法律意见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9E2EC"/>
      </w:pBdr>
    </w:pPr>
    <w:r/>
    <w:r>
      <w:rPr>
        <w:rFonts w:ascii="Calibri" w:hAnsi="Calibri" w:eastAsia="Hiragino Sans GB"/>
        <w:color w:val="667085"/>
        <w:sz w:val="18"/>
      </w:rPr>
      <w:t>法飞飞 AI | Product Requirements Document | 2026-06-27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0" w:line="280" w:lineRule="auto"/>
      <w:contextualSpacing/>
    </w:pPr>
    <w:rPr>
      <w:rFonts w:ascii="Calibri" w:hAnsi="Calibri" w:eastAsia="Hiragino Sans GB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0" w:line="280" w:lineRule="auto"/>
      <w:contextualSpacing/>
    </w:pPr>
    <w:rPr>
      <w:rFonts w:ascii="Calibri" w:hAnsi="Calibri" w:eastAsia="Hiragino Sans GB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Meta">
    <w:name w:val="DocMeta"/>
    <w:pPr>
      <w:spacing w:before="0" w:after="80" w:line="264" w:lineRule="auto"/>
    </w:pPr>
    <w:rPr>
      <w:rFonts w:ascii="Calibri" w:hAnsi="Calibri" w:eastAsia="Hiragino Sans GB"/>
      <w:b w:val="0"/>
      <w:color w:val="667085"/>
      <w:sz w:val="20"/>
    </w:rPr>
  </w:style>
  <w:style w:type="paragraph" w:customStyle="1" w:styleId="SmallNote">
    <w:name w:val="SmallNote"/>
    <w:pPr>
      <w:spacing w:before="0" w:after="80" w:line="264" w:lineRule="auto"/>
    </w:pPr>
    <w:rPr>
      <w:rFonts w:ascii="Calibri" w:hAnsi="Calibri" w:eastAsia="Hiragino Sans GB"/>
      <w:b w:val="0"/>
      <w:color w:val="667085"/>
      <w:sz w:val="19"/>
    </w:rPr>
  </w:style>
  <w:style w:type="paragraph" w:customStyle="1" w:styleId="CalloutText">
    <w:name w:val="CalloutText"/>
    <w:pPr>
      <w:spacing w:before="0" w:after="80" w:line="264" w:lineRule="auto"/>
    </w:pPr>
    <w:rPr>
      <w:rFonts w:ascii="Calibri" w:hAnsi="Calibri" w:eastAsia="Hiragino Sans GB"/>
      <w:b w:val="0"/>
      <w:color w:val="000000"/>
      <w:sz w:val="21"/>
    </w:rPr>
  </w:style>
  <w:style w:type="paragraph" w:customStyle="1" w:styleId="TableBody">
    <w:name w:val="TableBody"/>
    <w:pPr>
      <w:spacing w:before="0" w:after="80" w:line="264" w:lineRule="auto"/>
    </w:pPr>
    <w:rPr>
      <w:rFonts w:ascii="Calibri" w:hAnsi="Calibri" w:eastAsia="Hiragino Sans GB"/>
      <w:b w:val="0"/>
      <w:color w:val="000000"/>
      <w:sz w:val="19"/>
    </w:rPr>
  </w:style>
  <w:style w:type="paragraph" w:customStyle="1" w:styleId="TableHeader">
    <w:name w:val="TableHeader"/>
    <w:pPr>
      <w:spacing w:before="0" w:after="80" w:line="264" w:lineRule="auto"/>
    </w:pPr>
    <w:rPr>
      <w:rFonts w:ascii="Calibri" w:hAnsi="Calibri" w:eastAsia="Hiragino Sans GB"/>
      <w:b/>
      <w:color w:val="172033"/>
      <w:sz w:val="19"/>
    </w:rPr>
  </w:style>
  <w:style w:type="paragraph" w:customStyle="1" w:styleId="CodeLike">
    <w:name w:val="CodeLike"/>
    <w:pPr>
      <w:spacing w:before="0" w:after="80" w:line="264" w:lineRule="auto"/>
    </w:pPr>
    <w:rPr>
      <w:rFonts w:ascii="Calibri" w:hAnsi="Calibri" w:eastAsia="Hiragino Sans GB"/>
      <w:b w:val="0"/>
      <w:color w:val="444444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