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4B903">
      <w:pPr>
        <w:spacing w:before="160" w:after="80"/>
      </w:pPr>
      <w:r>
        <w:rPr>
          <w:rFonts w:ascii="Calibri" w:hAnsi="Calibri" w:eastAsia="Hiragino Sans GB"/>
          <w:b/>
          <w:color w:val="667085"/>
          <w:sz w:val="20"/>
        </w:rPr>
        <w:t>Technical Architecture Document</w:t>
      </w:r>
    </w:p>
    <w:p w14:paraId="5424538B">
      <w:pPr>
        <w:spacing w:after="80"/>
      </w:pPr>
      <w:r>
        <w:rPr>
          <w:rFonts w:ascii="Calibri" w:hAnsi="Calibri" w:eastAsia="Hiragino Sans GB"/>
          <w:b/>
          <w:color w:val="000000"/>
          <w:sz w:val="48"/>
        </w:rPr>
        <w:t>法飞飞 AI 技术架构与改进文档</w:t>
      </w:r>
    </w:p>
    <w:p w14:paraId="4FE3E283">
      <w:pPr>
        <w:spacing w:after="280"/>
      </w:pPr>
      <w:r>
        <w:rPr>
          <w:rFonts w:ascii="Calibri" w:hAnsi="Calibri" w:eastAsia="Hiragino Sans GB"/>
          <w:color w:val="667085"/>
          <w:sz w:val="25"/>
        </w:rPr>
        <w:t>当前实现、前后端接口流转、数据模型、高并发风险、性能瓶颈与平台化改造方案</w:t>
      </w:r>
    </w:p>
    <w:p w14:paraId="042FE7FB">
      <w:pPr>
        <w:pStyle w:val="164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项目: </w:t>
      </w:r>
      <w:r>
        <w:rPr>
          <w:rFonts w:ascii="Calibri" w:hAnsi="Calibri" w:eastAsia="Hiragino Sans GB"/>
          <w:color w:val="000000"/>
          <w:sz w:val="21"/>
        </w:rPr>
        <w:t>讯飞法飞飞 AI / infimind-react</w:t>
      </w:r>
    </w:p>
    <w:p w14:paraId="50BF70EC">
      <w:pPr>
        <w:pStyle w:val="164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版本: </w:t>
      </w:r>
      <w:r>
        <w:rPr>
          <w:rFonts w:ascii="Calibri" w:hAnsi="Calibri" w:eastAsia="Hiragino Sans GB"/>
          <w:color w:val="000000"/>
          <w:sz w:val="21"/>
        </w:rPr>
        <w:t>v1.0 文档草案 | 2026-06-27</w:t>
      </w:r>
    </w:p>
    <w:p w14:paraId="44C43F95">
      <w:pPr>
        <w:pStyle w:val="164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范围: </w:t>
      </w:r>
      <w:r>
        <w:rPr>
          <w:rFonts w:ascii="Calibri" w:hAnsi="Calibri" w:eastAsia="Hiragino Sans GB"/>
          <w:color w:val="000000"/>
          <w:sz w:val="21"/>
        </w:rPr>
        <w:t>公开官网、合同改写试用、本地多 Agent 引擎、目标自研 AI 高代码工作流平台</w:t>
      </w:r>
    </w:p>
    <w:p w14:paraId="3F66BD1C">
      <w:pPr>
        <w:pStyle w:val="164"/>
        <w:spacing w:after="40"/>
      </w:pPr>
      <w:r>
        <w:rPr>
          <w:rFonts w:ascii="Calibri" w:hAnsi="Calibri" w:eastAsia="Hiragino Sans GB"/>
          <w:b/>
          <w:color w:val="000000"/>
          <w:sz w:val="21"/>
        </w:rPr>
        <w:t xml:space="preserve">说明: </w:t>
      </w:r>
      <w:r>
        <w:rPr>
          <w:rFonts w:ascii="Calibri" w:hAnsi="Calibri" w:eastAsia="Hiragino Sans GB"/>
          <w:color w:val="000000"/>
          <w:sz w:val="21"/>
        </w:rPr>
        <w:t>基于当前仓库代码、README、现有 docs/prd.md 与用户补充要求整理</w:t>
      </w:r>
    </w:p>
    <w:p w14:paraId="06525B99">
      <w:pPr>
        <w:pBdr>
          <w:bottom w:val="single" w:color="2E74B5" w:sz="10" w:space="4"/>
        </w:pBdr>
        <w:spacing w:before="160" w:after="280"/>
      </w:pP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4240C561">
        <w:tc>
          <w:tcPr>
            <w:tcW w:w="9360" w:type="dxa"/>
            <w:shd w:val="clear" w:color="auto" w:fill="FFF4E5"/>
            <w:vAlign w:val="center"/>
          </w:tcPr>
          <w:p w14:paraId="7BF208DF">
            <w:pPr>
              <w:spacing w:after="40"/>
            </w:pPr>
            <w:r>
              <w:rPr>
                <w:rFonts w:ascii="Calibri" w:hAnsi="Calibri" w:eastAsia="Hiragino Sans GB"/>
                <w:b/>
                <w:color w:val="1F4D78"/>
              </w:rPr>
              <w:t xml:space="preserve">当前结论: </w:t>
            </w:r>
            <w:r>
              <w:rPr>
                <w:rFonts w:ascii="Calibri" w:hAnsi="Calibri" w:eastAsia="Hiragino Sans GB"/>
              </w:rPr>
              <w:t>当前项目不是 React + Node.js + MongoDB 架构，而是 React 18 + Vite 前端、Node.js + Express 后端、本地 SQLite/FTS5 模板知识库、DeepSeek 流式模型调用。技术文档按真实现状描述，并给出后续数据库、队列和高并发改造建议。</w:t>
            </w:r>
          </w:p>
        </w:tc>
      </w:tr>
    </w:tbl>
    <w:p w14:paraId="7E4E6E6A">
      <w:pPr>
        <w:spacing w:after="40"/>
      </w:pPr>
    </w:p>
    <w:p w14:paraId="5372018F">
      <w:pPr>
        <w:pStyle w:val="3"/>
      </w:pPr>
      <w:r>
        <w:t>1. Current Architecture Snapshot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700"/>
        <w:gridCol w:w="5160"/>
      </w:tblGrid>
      <w:tr w14:paraId="2894992A">
        <w:trPr>
          <w:tblHeader/>
        </w:trPr>
        <w:tc>
          <w:tcPr>
            <w:tcW w:w="1500" w:type="dxa"/>
            <w:shd w:val="clear" w:color="auto" w:fill="F2F4F7"/>
            <w:vAlign w:val="center"/>
          </w:tcPr>
          <w:p w14:paraId="3AF8CAEF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层级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60EB2A8A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当前技术</w:t>
            </w:r>
          </w:p>
        </w:tc>
        <w:tc>
          <w:tcPr>
            <w:tcW w:w="5160" w:type="dxa"/>
            <w:shd w:val="clear" w:color="auto" w:fill="F2F4F7"/>
            <w:vAlign w:val="center"/>
          </w:tcPr>
          <w:p w14:paraId="469CC386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说明</w:t>
            </w:r>
          </w:p>
        </w:tc>
      </w:tr>
      <w:tr w14:paraId="7B797230">
        <w:tc>
          <w:tcPr>
            <w:tcW w:w="1500" w:type="dxa"/>
            <w:vAlign w:val="center"/>
          </w:tcPr>
          <w:p w14:paraId="20E5EB2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前端</w:t>
            </w:r>
          </w:p>
        </w:tc>
        <w:tc>
          <w:tcPr>
            <w:tcW w:w="2700" w:type="dxa"/>
            <w:vAlign w:val="center"/>
          </w:tcPr>
          <w:p w14:paraId="49FBF3F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React 18.3.1、React Router、Vite 5、lucide-react、CSS3 动效</w:t>
            </w:r>
          </w:p>
        </w:tc>
        <w:tc>
          <w:tcPr>
            <w:tcW w:w="5160" w:type="dxa"/>
            <w:vAlign w:val="center"/>
          </w:tcPr>
          <w:p w14:paraId="38921EC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承载官网、关于页、合同改写试用页、二维码弹窗和产品矩阵展示。</w:t>
            </w:r>
          </w:p>
        </w:tc>
      </w:tr>
      <w:tr w14:paraId="2D5B946D">
        <w:tc>
          <w:tcPr>
            <w:tcW w:w="1500" w:type="dxa"/>
            <w:vAlign w:val="center"/>
          </w:tcPr>
          <w:p w14:paraId="0279845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开发代理</w:t>
            </w:r>
          </w:p>
        </w:tc>
        <w:tc>
          <w:tcPr>
            <w:tcW w:w="2700" w:type="dxa"/>
            <w:vAlign w:val="center"/>
          </w:tcPr>
          <w:p w14:paraId="4F0EC30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Vite dev server proxy</w:t>
            </w:r>
          </w:p>
        </w:tc>
        <w:tc>
          <w:tcPr>
            <w:tcW w:w="5160" w:type="dxa"/>
            <w:vAlign w:val="center"/>
          </w:tcPr>
          <w:p w14:paraId="4FCAB094">
            <w:pPr>
              <w:pStyle w:val="167"/>
              <w:spacing w:after="40"/>
            </w:pPr>
            <w:r>
              <w:t>仅 /api/contract-rewrite 转发到 8789。</w:t>
            </w:r>
          </w:p>
        </w:tc>
      </w:tr>
      <w:tr w14:paraId="641705F0">
        <w:tc>
          <w:tcPr>
            <w:tcW w:w="1500" w:type="dxa"/>
            <w:vAlign w:val="center"/>
          </w:tcPr>
          <w:p w14:paraId="4061A0B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本地后端</w:t>
            </w:r>
          </w:p>
        </w:tc>
        <w:tc>
          <w:tcPr>
            <w:tcW w:w="2700" w:type="dxa"/>
            <w:vAlign w:val="center"/>
          </w:tcPr>
          <w:p w14:paraId="5B28DA7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Node.js、Express、multer、SSE</w:t>
            </w:r>
          </w:p>
        </w:tc>
        <w:tc>
          <w:tcPr>
            <w:tcW w:w="5160" w:type="dxa"/>
            <w:vAlign w:val="center"/>
          </w:tcPr>
          <w:p w14:paraId="5E9B07C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server/index.js 暴露 /api/contract-rewrite 与 /api/health。</w:t>
            </w:r>
          </w:p>
        </w:tc>
      </w:tr>
      <w:tr w14:paraId="78298B90">
        <w:tc>
          <w:tcPr>
            <w:tcW w:w="1500" w:type="dxa"/>
            <w:vAlign w:val="center"/>
          </w:tcPr>
          <w:p w14:paraId="2D0762F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文件解析</w:t>
            </w:r>
          </w:p>
        </w:tc>
        <w:tc>
          <w:tcPr>
            <w:tcW w:w="2700" w:type="dxa"/>
            <w:vAlign w:val="center"/>
          </w:tcPr>
          <w:p w14:paraId="40DBA5F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pdf-parse、mammoth、textutil/soffice、tesseract.js</w:t>
            </w:r>
          </w:p>
        </w:tc>
        <w:tc>
          <w:tcPr>
            <w:tcW w:w="5160" w:type="dxa"/>
            <w:vAlign w:val="center"/>
          </w:tcPr>
          <w:p w14:paraId="0C7E1EB5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支持 PDF、DOC、DOCX、图片 OCR，上传文件保存在内存中处理。</w:t>
            </w:r>
          </w:p>
        </w:tc>
      </w:tr>
      <w:tr w14:paraId="1025394F">
        <w:tc>
          <w:tcPr>
            <w:tcW w:w="1500" w:type="dxa"/>
            <w:vAlign w:val="center"/>
          </w:tcPr>
          <w:p w14:paraId="47E68A7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知识库</w:t>
            </w:r>
          </w:p>
        </w:tc>
        <w:tc>
          <w:tcPr>
            <w:tcW w:w="2700" w:type="dxa"/>
            <w:vAlign w:val="center"/>
          </w:tcPr>
          <w:p w14:paraId="6125221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better-sqlite3、SQLite WAL、FTS5</w:t>
            </w:r>
          </w:p>
        </w:tc>
        <w:tc>
          <w:tcPr>
            <w:tcW w:w="5160" w:type="dxa"/>
            <w:vAlign w:val="center"/>
          </w:tcPr>
          <w:p w14:paraId="0CF9628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templates 表和 templates_fts 虚拟表，提供合同模板全文检索。</w:t>
            </w:r>
          </w:p>
        </w:tc>
      </w:tr>
      <w:tr w14:paraId="5DBAFAB9">
        <w:tc>
          <w:tcPr>
            <w:tcW w:w="1500" w:type="dxa"/>
            <w:vAlign w:val="center"/>
          </w:tcPr>
          <w:p w14:paraId="595462D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AI 模型</w:t>
            </w:r>
          </w:p>
        </w:tc>
        <w:tc>
          <w:tcPr>
            <w:tcW w:w="2700" w:type="dxa"/>
            <w:vAlign w:val="center"/>
          </w:tcPr>
          <w:p w14:paraId="3B29E66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DeepSeek Chat Completions streaming</w:t>
            </w:r>
          </w:p>
        </w:tc>
        <w:tc>
          <w:tcPr>
            <w:tcW w:w="5160" w:type="dxa"/>
            <w:vAlign w:val="center"/>
          </w:tcPr>
          <w:p w14:paraId="0548107C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llm-client 封装流式输出、429 重试、基础错误处理。</w:t>
            </w:r>
          </w:p>
        </w:tc>
      </w:tr>
      <w:tr w14:paraId="00668234">
        <w:tc>
          <w:tcPr>
            <w:tcW w:w="1500" w:type="dxa"/>
            <w:vAlign w:val="center"/>
          </w:tcPr>
          <w:p w14:paraId="09679C1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兼容代理</w:t>
            </w:r>
          </w:p>
        </w:tc>
        <w:tc>
          <w:tcPr>
            <w:tcW w:w="2700" w:type="dxa"/>
            <w:vAlign w:val="center"/>
          </w:tcPr>
          <w:p w14:paraId="7E70C61E">
            <w:pPr>
              <w:pStyle w:val="167"/>
              <w:spacing w:after="40"/>
            </w:pPr>
            <w:r>
              <w:t>第三方工作流代理文件（已移除）</w:t>
            </w:r>
          </w:p>
        </w:tc>
        <w:tc>
          <w:tcPr>
            <w:tcW w:w="5160" w:type="dxa"/>
            <w:vAlign w:val="center"/>
          </w:tcPr>
          <w:p w14:paraId="3812E2F8">
            <w:pPr>
              <w:pStyle w:val="167"/>
              <w:spacing w:after="40"/>
            </w:pPr>
            <w:r>
              <w:t>第三方工作流代理已移除，文件上传统一进入本地合同改写引擎。</w:t>
            </w:r>
          </w:p>
        </w:tc>
      </w:tr>
      <w:tr w14:paraId="78CC7054">
        <w:tc>
          <w:tcPr>
            <w:tcW w:w="1500" w:type="dxa"/>
            <w:vAlign w:val="center"/>
          </w:tcPr>
          <w:p w14:paraId="149EF59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当前缺口</w:t>
            </w:r>
          </w:p>
        </w:tc>
        <w:tc>
          <w:tcPr>
            <w:tcW w:w="2700" w:type="dxa"/>
            <w:vAlign w:val="center"/>
          </w:tcPr>
          <w:p w14:paraId="02ED852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无正式认证、任务持久化、队列、对象存储、审计、限流</w:t>
            </w:r>
          </w:p>
        </w:tc>
        <w:tc>
          <w:tcPr>
            <w:tcW w:w="5160" w:type="dxa"/>
            <w:vAlign w:val="center"/>
          </w:tcPr>
          <w:p w14:paraId="5F98874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适合作为试用原型，不适合作为高并发生产平台直接上线。</w:t>
            </w:r>
          </w:p>
        </w:tc>
      </w:tr>
    </w:tbl>
    <w:p w14:paraId="1BC882B1">
      <w:pPr>
        <w:spacing w:after="60"/>
      </w:pPr>
    </w:p>
    <w:p w14:paraId="594380C5">
      <w:pPr>
        <w:pStyle w:val="3"/>
      </w:pPr>
      <w:r>
        <w:t>2. Runtime Topology</w:t>
      </w:r>
    </w:p>
    <w:p w14:paraId="063D1675">
      <w:pPr>
        <w:spacing w:after="120"/>
      </w:pPr>
      <w:r>
        <w:t>开发环境由 Vite 前端和本地合同改写引擎协作。生产目标应合并为明确的 Web/API/Worker 架构，而不是长期依赖本地多端口进程。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autofit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 w14:paraId="55B66E97">
        <w:tc>
          <w:tcPr>
            <w:tcW w:w="9360" w:type="dxa"/>
            <w:shd w:val="clear" w:color="auto" w:fill="F8FAFC"/>
            <w:vAlign w:val="center"/>
          </w:tcPr>
          <w:p w14:paraId="660AB076">
            <w:r>
              <w:t>Browser</w:t>
              <w:br/>
              <w:t xml:space="preserve">  -&gt; Vite / React App</w:t>
              <w:br/>
              <w:t xml:space="preserve">  -&gt; /api/contract-rewrite  -&gt; Express local engine :8789</w:t>
              <w:br/>
              <w:br/>
              <w:t>Local engine</w:t>
              <w:br/>
              <w:t xml:space="preserve">  -&gt; multer memory upload</w:t>
              <w:br/>
              <w:t xml:space="preserve">  -&gt; file-parser</w:t>
              <w:br/>
              <w:t xml:space="preserve">  -&gt; SQLite FTS5 template search</w:t>
              <w:br/>
              <w:t xml:space="preserve">  -&gt; Agent 1 analysis -&gt; DeepSeek stream</w:t>
              <w:br/>
              <w:t xml:space="preserve">  -&gt; Agent 2 review   -&gt; DeepSeek stream</w:t>
              <w:br/>
              <w:t xml:space="preserve">  -&gt; Agent 3 rewrite  -&gt; DeepSeek stream</w:t>
              <w:br/>
              <w:t xml:space="preserve">  -&gt; SSE events back to browser</w:t>
              <w:br/>
            </w:r>
          </w:p>
        </w:tc>
      </w:tr>
    </w:tbl>
    <w:p w14:paraId="58E7EE6E">
      <w:pPr>
        <w:spacing w:after="40"/>
      </w:pPr>
    </w:p>
    <w:p w14:paraId="4700413A">
      <w:pPr>
        <w:pStyle w:val="3"/>
      </w:pPr>
      <w:r>
        <w:t>3. Frontend UI to Backend Flow</w:t>
      </w:r>
    </w:p>
    <w:p w14:paraId="0C09995B">
      <w:pPr>
        <w:pStyle w:val="4"/>
      </w:pPr>
      <w:r>
        <w:t>3.1 Contract Rewrite Page Flow</w:t>
      </w:r>
    </w:p>
    <w:p w14:paraId="3498CA74">
      <w:pPr>
        <w:pStyle w:val="14"/>
      </w:pPr>
      <w:r>
        <w:rPr>
          <w:rFonts w:ascii="Calibri" w:hAnsi="Calibri" w:eastAsia="Hiragino Sans GB"/>
        </w:rPr>
        <w:t>用户进入 /contract-rewrite，页面默认 engineMode 为 local，因此 apiEndpoint 指向 /api/contract-rewrite。</w:t>
      </w:r>
    </w:p>
    <w:p w14:paraId="16E8CCCE">
      <w:pPr>
        <w:pStyle w:val="14"/>
      </w:pPr>
      <w:r>
        <w:rPr>
          <w:rFonts w:ascii="Calibri" w:hAnsi="Calibri" w:eastAsia="Hiragino Sans GB"/>
        </w:rPr>
        <w:t>用户点击上传或拖拽文件，前端校验文件扩展名/MIME、单文件 80MB 上限、最多 6 个文件，并将文件对象保存在 React state。</w:t>
      </w:r>
    </w:p>
    <w:p w14:paraId="1B91DECC">
      <w:pPr>
        <w:pStyle w:val="14"/>
      </w:pPr>
      <w:r>
        <w:rPr>
          <w:rFonts w:ascii="Calibri" w:hAnsi="Calibri" w:eastAsia="Hiragino Sans GB"/>
        </w:rPr>
        <w:t>用户输入改写目标，或点击快捷目标，例如“更严谨，减少歧义，并强化违约责任”。</w:t>
      </w:r>
    </w:p>
    <w:p w14:paraId="33A1C10A">
      <w:pPr>
        <w:pStyle w:val="14"/>
      </w:pPr>
      <w:r>
        <w:rPr>
          <w:rFonts w:ascii="Calibri" w:hAnsi="Calibri" w:eastAsia="Hiragino Sans GB"/>
        </w:rPr>
        <w:t>点击“开始改写”后，前端创建 FormData：message 字段保存用户指令，files 字段追加多个文件。</w:t>
      </w:r>
    </w:p>
    <w:p w14:paraId="5E556D12">
      <w:pPr>
        <w:pStyle w:val="14"/>
      </w:pPr>
      <w:r>
        <w:rPr>
          <w:rFonts w:ascii="Calibri" w:hAnsi="Calibri" w:eastAsia="Hiragino Sans GB"/>
        </w:rPr>
        <w:t>前端通过 fetch 发起 POST 请求，并设置 Accept: text/event-stream。注意这里不是浏览器原生 EventSource，因为请求体需要 multipart/form-data。</w:t>
      </w:r>
    </w:p>
    <w:p w14:paraId="1B337DB9">
      <w:pPr>
        <w:pStyle w:val="14"/>
      </w:pPr>
      <w:r>
        <w:rPr>
          <w:rFonts w:ascii="Calibri" w:hAnsi="Calibri" w:eastAsia="Hiragino Sans GB"/>
        </w:rPr>
        <w:t>浏览器通过 response.body.getReader() 读取服务端 SSE 字节流，用 TextDecoder 解码，并按双换行分割事件块。</w:t>
      </w:r>
    </w:p>
    <w:p w14:paraId="7B1AF437">
      <w:pPr>
        <w:pStyle w:val="14"/>
      </w:pPr>
      <w:r>
        <w:rPr>
          <w:rFonts w:ascii="Calibri" w:hAnsi="Calibri" w:eastAsia="Hiragino Sans GB"/>
        </w:rPr>
        <w:t>handleStreamEvent 按事件类型更新页面状态：stage.start 更新阶段，analysis.delta/review.delta/rewrite.delta 追加内容，error 抛出错误，done 标记完成。</w:t>
      </w:r>
    </w:p>
    <w:p w14:paraId="2B8273E5">
      <w:pPr>
        <w:pStyle w:val="14"/>
      </w:pPr>
      <w:r>
        <w:rPr>
          <w:rFonts w:ascii="Calibri" w:hAnsi="Calibri" w:eastAsia="Hiragino Sans GB"/>
        </w:rPr>
        <w:t>MarkdownRenderer 每次根据 result 全量字符串重新解析标题、表格、列表和段落，再渲染到结果面板。</w:t>
      </w:r>
    </w:p>
    <w:p w14:paraId="5087C1ED">
      <w:pPr>
        <w:pStyle w:val="14"/>
      </w:pPr>
      <w:r>
        <w:rPr>
          <w:rFonts w:ascii="Calibri" w:hAnsi="Calibri" w:eastAsia="Hiragino Sans GB"/>
        </w:rPr>
        <w:t>appendResult 每次 token 到达都 setResult，并通过 setTimeout 滚动到底部。高频 token 时这是主要前端卡顿来源。</w:t>
      </w:r>
    </w:p>
    <w:p w14:paraId="25E51718">
      <w:pPr>
        <w:pStyle w:val="4"/>
      </w:pPr>
      <w:r>
        <w:t>3.2 Current SSE Event Contract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800"/>
        <w:gridCol w:w="5460"/>
      </w:tblGrid>
      <w:tr w14:paraId="2B169628">
        <w:trPr>
          <w:tblHeader/>
        </w:trPr>
        <w:tc>
          <w:tcPr>
            <w:tcW w:w="2100" w:type="dxa"/>
            <w:shd w:val="clear" w:color="auto" w:fill="F2F4F7"/>
            <w:vAlign w:val="center"/>
          </w:tcPr>
          <w:p w14:paraId="3BE77A4E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事件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34F1B65C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发送方</w:t>
            </w:r>
          </w:p>
        </w:tc>
        <w:tc>
          <w:tcPr>
            <w:tcW w:w="5460" w:type="dxa"/>
            <w:shd w:val="clear" w:color="auto" w:fill="F2F4F7"/>
            <w:vAlign w:val="center"/>
          </w:tcPr>
          <w:p w14:paraId="42309FA7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前端行为</w:t>
            </w:r>
          </w:p>
        </w:tc>
      </w:tr>
      <w:tr w14:paraId="6DE8CEE2">
        <w:tc>
          <w:tcPr>
            <w:tcW w:w="2100" w:type="dxa"/>
            <w:vAlign w:val="center"/>
          </w:tcPr>
          <w:p w14:paraId="6B3B18B5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stage.start</w:t>
            </w:r>
          </w:p>
        </w:tc>
        <w:tc>
          <w:tcPr>
            <w:tcW w:w="1800" w:type="dxa"/>
            <w:vAlign w:val="center"/>
          </w:tcPr>
          <w:p w14:paraId="3A5F4C0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本地引擎</w:t>
            </w:r>
          </w:p>
        </w:tc>
        <w:tc>
          <w:tcPr>
            <w:tcW w:w="5460" w:type="dxa"/>
            <w:vAlign w:val="center"/>
          </w:tcPr>
          <w:p w14:paraId="4348CF2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设置 currentStage 和状态文案。</w:t>
            </w:r>
          </w:p>
        </w:tc>
      </w:tr>
      <w:tr w14:paraId="648926C7">
        <w:tc>
          <w:tcPr>
            <w:tcW w:w="2100" w:type="dxa"/>
            <w:vAlign w:val="center"/>
          </w:tcPr>
          <w:p w14:paraId="285BC00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stage.progress</w:t>
            </w:r>
          </w:p>
        </w:tc>
        <w:tc>
          <w:tcPr>
            <w:tcW w:w="1800" w:type="dxa"/>
            <w:vAlign w:val="center"/>
          </w:tcPr>
          <w:p w14:paraId="1DDB538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本地引擎</w:t>
            </w:r>
          </w:p>
        </w:tc>
        <w:tc>
          <w:tcPr>
            <w:tcW w:w="5460" w:type="dxa"/>
            <w:vAlign w:val="center"/>
          </w:tcPr>
          <w:p w14:paraId="77E3ECD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展示解析进度、知识库检索关键词或局部异常。</w:t>
            </w:r>
          </w:p>
        </w:tc>
      </w:tr>
      <w:tr w14:paraId="1960A229">
        <w:tc>
          <w:tcPr>
            <w:tcW w:w="2100" w:type="dxa"/>
            <w:vAlign w:val="center"/>
          </w:tcPr>
          <w:p w14:paraId="2921084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stage.complete</w:t>
            </w:r>
          </w:p>
        </w:tc>
        <w:tc>
          <w:tcPr>
            <w:tcW w:w="1800" w:type="dxa"/>
            <w:vAlign w:val="center"/>
          </w:tcPr>
          <w:p w14:paraId="3CE4DE4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本地引擎</w:t>
            </w:r>
          </w:p>
        </w:tc>
        <w:tc>
          <w:tcPr>
            <w:tcW w:w="5460" w:type="dxa"/>
            <w:vAlign w:val="center"/>
          </w:tcPr>
          <w:p w14:paraId="3C471B8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展示阶段完成摘要。</w:t>
            </w:r>
          </w:p>
        </w:tc>
      </w:tr>
      <w:tr w14:paraId="669EC691">
        <w:tc>
          <w:tcPr>
            <w:tcW w:w="2100" w:type="dxa"/>
            <w:vAlign w:val="center"/>
          </w:tcPr>
          <w:p w14:paraId="764EE06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analysis.delta</w:t>
            </w:r>
          </w:p>
        </w:tc>
        <w:tc>
          <w:tcPr>
            <w:tcW w:w="1800" w:type="dxa"/>
            <w:vAlign w:val="center"/>
          </w:tcPr>
          <w:p w14:paraId="7A8D039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Agent 1</w:t>
            </w:r>
          </w:p>
        </w:tc>
        <w:tc>
          <w:tcPr>
            <w:tcW w:w="5460" w:type="dxa"/>
            <w:vAlign w:val="center"/>
          </w:tcPr>
          <w:p w14:paraId="0DF9131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追加结构分析 token。</w:t>
            </w:r>
          </w:p>
        </w:tc>
      </w:tr>
      <w:tr w14:paraId="55EAA680">
        <w:tc>
          <w:tcPr>
            <w:tcW w:w="2100" w:type="dxa"/>
            <w:vAlign w:val="center"/>
          </w:tcPr>
          <w:p w14:paraId="5D96549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templates.found</w:t>
            </w:r>
          </w:p>
        </w:tc>
        <w:tc>
          <w:tcPr>
            <w:tcW w:w="1800" w:type="dxa"/>
            <w:vAlign w:val="center"/>
          </w:tcPr>
          <w:p w14:paraId="5EFF0C3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知识库服务</w:t>
            </w:r>
          </w:p>
        </w:tc>
        <w:tc>
          <w:tcPr>
            <w:tcW w:w="5460" w:type="dxa"/>
            <w:vAlign w:val="center"/>
          </w:tcPr>
          <w:p w14:paraId="2B51BD8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展示匹配模板数量和名称。</w:t>
            </w:r>
          </w:p>
        </w:tc>
      </w:tr>
      <w:tr w14:paraId="6759E29C">
        <w:tc>
          <w:tcPr>
            <w:tcW w:w="2100" w:type="dxa"/>
            <w:vAlign w:val="center"/>
          </w:tcPr>
          <w:p w14:paraId="11486B7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review.delta</w:t>
            </w:r>
          </w:p>
        </w:tc>
        <w:tc>
          <w:tcPr>
            <w:tcW w:w="1800" w:type="dxa"/>
            <w:vAlign w:val="center"/>
          </w:tcPr>
          <w:p w14:paraId="5024556C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Agent 2</w:t>
            </w:r>
          </w:p>
        </w:tc>
        <w:tc>
          <w:tcPr>
            <w:tcW w:w="5460" w:type="dxa"/>
            <w:vAlign w:val="center"/>
          </w:tcPr>
          <w:p w14:paraId="5750881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追加合规审查 token。</w:t>
            </w:r>
          </w:p>
        </w:tc>
      </w:tr>
      <w:tr w14:paraId="59B5A6BA">
        <w:tc>
          <w:tcPr>
            <w:tcW w:w="2100" w:type="dxa"/>
            <w:vAlign w:val="center"/>
          </w:tcPr>
          <w:p w14:paraId="71F779D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rewrite.delta</w:t>
            </w:r>
          </w:p>
        </w:tc>
        <w:tc>
          <w:tcPr>
            <w:tcW w:w="1800" w:type="dxa"/>
            <w:vAlign w:val="center"/>
          </w:tcPr>
          <w:p w14:paraId="28A909D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Agent 3</w:t>
            </w:r>
          </w:p>
        </w:tc>
        <w:tc>
          <w:tcPr>
            <w:tcW w:w="5460" w:type="dxa"/>
            <w:vAlign w:val="center"/>
          </w:tcPr>
          <w:p w14:paraId="785CE9A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追加最终合同改写 token。</w:t>
            </w:r>
          </w:p>
        </w:tc>
      </w:tr>
      <w:tr w14:paraId="1C7F70E4">
        <w:tc>
          <w:tcPr>
            <w:tcW w:w="2100" w:type="dxa"/>
            <w:vAlign w:val="center"/>
          </w:tcPr>
          <w:p w14:paraId="189B05F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error</w:t>
            </w:r>
          </w:p>
        </w:tc>
        <w:tc>
          <w:tcPr>
            <w:tcW w:w="1800" w:type="dxa"/>
            <w:vAlign w:val="center"/>
          </w:tcPr>
          <w:p w14:paraId="1CEB2DF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任意阶段</w:t>
            </w:r>
          </w:p>
        </w:tc>
        <w:tc>
          <w:tcPr>
            <w:tcW w:w="5460" w:type="dxa"/>
            <w:vAlign w:val="center"/>
          </w:tcPr>
          <w:p w14:paraId="2CBBB20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前端转为失败态并显示错误信息。</w:t>
            </w:r>
          </w:p>
        </w:tc>
      </w:tr>
      <w:tr w14:paraId="664DE99B">
        <w:tc>
          <w:tcPr>
            <w:tcW w:w="2100" w:type="dxa"/>
            <w:vAlign w:val="center"/>
          </w:tcPr>
          <w:p w14:paraId="74CE1E7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done</w:t>
            </w:r>
          </w:p>
        </w:tc>
        <w:tc>
          <w:tcPr>
            <w:tcW w:w="1800" w:type="dxa"/>
            <w:vAlign w:val="center"/>
          </w:tcPr>
          <w:p w14:paraId="2F582A8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路由收尾</w:t>
            </w:r>
          </w:p>
        </w:tc>
        <w:tc>
          <w:tcPr>
            <w:tcW w:w="5460" w:type="dxa"/>
            <w:vAlign w:val="center"/>
          </w:tcPr>
          <w:p w14:paraId="5197C4B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前端设置处理完成，关闭 loading。</w:t>
            </w:r>
          </w:p>
        </w:tc>
      </w:tr>
      <w:tr w14:paraId="0610A02D">
        <w:tc>
          <w:tcPr>
            <w:tcW w:w="2100" w:type="dxa"/>
            <w:vAlign w:val="center"/>
          </w:tcPr>
          <w:p w14:paraId="2BA78B7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answer.delta / answer.completed</w:t>
            </w:r>
          </w:p>
        </w:tc>
        <w:tc>
          <w:tcPr>
            <w:tcW w:w="1800" w:type="dxa"/>
            <w:vAlign w:val="center"/>
          </w:tcPr>
          <w:p w14:paraId="6BF5A990">
            <w:pPr>
              <w:pStyle w:val="167"/>
              <w:spacing w:after="40"/>
            </w:pPr>
            <w:r>
              <w:t>第三方工作流代理（已移除）</w:t>
            </w:r>
          </w:p>
        </w:tc>
        <w:tc>
          <w:tcPr>
            <w:tcW w:w="5460" w:type="dxa"/>
            <w:vAlign w:val="center"/>
          </w:tcPr>
          <w:p w14:paraId="039A87B2">
            <w:pPr>
              <w:pStyle w:val="167"/>
              <w:spacing w:after="40"/>
            </w:pPr>
            <w:r>
              <w:t>旧云端兼容事件已移除，前端只处理本地引擎 SSE 事件。</w:t>
            </w:r>
          </w:p>
        </w:tc>
      </w:tr>
    </w:tbl>
    <w:p w14:paraId="04C8023A">
      <w:pPr>
        <w:spacing w:after="60"/>
      </w:pPr>
    </w:p>
    <w:p w14:paraId="5E85BAE9">
      <w:pPr>
        <w:pStyle w:val="3"/>
      </w:pPr>
      <w:r>
        <w:t>4. Backend Pipeline</w:t>
      </w:r>
    </w:p>
    <w:p w14:paraId="3FE49E6C">
      <w:pPr>
        <w:pStyle w:val="4"/>
      </w:pPr>
      <w:r>
        <w:t>4.1 POST /api/contract-rewrite</w:t>
      </w:r>
    </w:p>
    <w:p w14:paraId="08F775B4">
      <w:pPr>
        <w:spacing w:after="120"/>
      </w:pPr>
      <w:r>
        <w:rPr>
          <w:rFonts w:ascii="Calibri" w:hAnsi="Calibri" w:eastAsia="Hiragino Sans GB"/>
        </w:rPr>
        <w:t>本地合同改写接口是当前核心路径。它使用 multer.memoryStorage() 接收最多 6 个文件，单文件 80MB；校验文件类型后立即写入 SSE 响应头，整个任务在同一个 HTTP 请求连接内顺序执行。</w:t>
      </w:r>
    </w:p>
    <w:p w14:paraId="3A888F11">
      <w:pPr>
        <w:pStyle w:val="14"/>
      </w:pPr>
      <w:r>
        <w:rPr>
          <w:rFonts w:ascii="Calibri" w:hAnsi="Calibri" w:eastAsia="Hiragino Sans GB"/>
        </w:rPr>
        <w:t>解析请求：读取 message 和 req.files。没有文件则返回 400。</w:t>
      </w:r>
    </w:p>
    <w:p w14:paraId="71F9A2F7">
      <w:pPr>
        <w:pStyle w:val="14"/>
      </w:pPr>
      <w:r>
        <w:rPr>
          <w:rFonts w:ascii="Calibri" w:hAnsi="Calibri" w:eastAsia="Hiragino Sans GB"/>
        </w:rPr>
        <w:t>文件类型校验：基于 MIME 和扩展名允许 PDF、DOC、DOCX、PNG、JPG、JPEG、WebP。</w:t>
      </w:r>
    </w:p>
    <w:p w14:paraId="70D08F2A">
      <w:pPr>
        <w:pStyle w:val="14"/>
      </w:pPr>
      <w:r>
        <w:rPr>
          <w:rFonts w:ascii="Calibri" w:hAnsi="Calibri" w:eastAsia="Hiragino Sans GB"/>
        </w:rPr>
        <w:t>打开 SSE：Content-Type 为 text/event-stream，Cache-Control 为 no-cache, no-transform。</w:t>
      </w:r>
    </w:p>
    <w:p w14:paraId="0A8F0562">
      <w:pPr>
        <w:pStyle w:val="14"/>
      </w:pPr>
      <w:r>
        <w:rPr>
          <w:rFonts w:ascii="Calibri" w:hAnsi="Calibri" w:eastAsia="Hiragino Sans GB"/>
        </w:rPr>
        <w:t>文件解析：逐个文件调用 extractText。成功文本拼接到 parsedText，失败写入 parseErrors。</w:t>
      </w:r>
    </w:p>
    <w:p w14:paraId="57C2C0AB">
      <w:pPr>
        <w:pStyle w:val="14"/>
      </w:pPr>
      <w:r>
        <w:rPr>
          <w:rFonts w:ascii="Calibri" w:hAnsi="Calibri" w:eastAsia="Hiragino Sans GB"/>
        </w:rPr>
        <w:t>Agent 1 结构分析：analyzeContract(parsedText)，流式返回 analysis.delta。</w:t>
      </w:r>
    </w:p>
    <w:p w14:paraId="53B1821B">
      <w:pPr>
        <w:pStyle w:val="14"/>
      </w:pPr>
      <w:r>
        <w:rPr>
          <w:rFonts w:ascii="Calibri" w:hAnsi="Calibri" w:eastAsia="Hiragino Sans GB"/>
        </w:rPr>
        <w:t>知识库检索：extractSearchKeywords 从分析报告提取关键词，search 在 SQLite FTS5 中返回最多 5 个模板。</w:t>
      </w:r>
    </w:p>
    <w:p w14:paraId="3968DE90">
      <w:pPr>
        <w:pStyle w:val="14"/>
      </w:pPr>
      <w:r>
        <w:rPr>
          <w:rFonts w:ascii="Calibri" w:hAnsi="Calibri" w:eastAsia="Hiragino Sans GB"/>
        </w:rPr>
        <w:t>Agent 2 合规审查：输入合同前 30000 字、分析报告前 20000 字、模板片段和用户指令，流式返回 review.delta。</w:t>
      </w:r>
    </w:p>
    <w:p w14:paraId="26E9CFEC">
      <w:pPr>
        <w:pStyle w:val="14"/>
      </w:pPr>
      <w:r>
        <w:rPr>
          <w:rFonts w:ascii="Calibri" w:hAnsi="Calibri" w:eastAsia="Hiragino Sans GB"/>
        </w:rPr>
        <w:t>Agent 3 合同改写：输入合同前 25000 字、分析报告和审查报告前 15000 字，流式返回 rewrite.delta。</w:t>
      </w:r>
    </w:p>
    <w:p w14:paraId="5B0ABB95">
      <w:pPr>
        <w:pStyle w:val="14"/>
      </w:pPr>
      <w:r>
        <w:rPr>
          <w:rFonts w:ascii="Calibri" w:hAnsi="Calibri" w:eastAsia="Hiragino Sans GB"/>
        </w:rPr>
        <w:t>完成事件：写入 done，包含耗时、最终长度和阶段列表。</w:t>
      </w:r>
    </w:p>
    <w:p w14:paraId="78730C69">
      <w:pPr>
        <w:pStyle w:val="4"/>
      </w:pPr>
      <w:r>
        <w:t>4.2 File Parser Details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3900"/>
        <w:gridCol w:w="4160"/>
      </w:tblGrid>
      <w:tr w14:paraId="0A4BA5DC">
        <w:trPr>
          <w:tblHeader/>
        </w:trPr>
        <w:tc>
          <w:tcPr>
            <w:tcW w:w="1300" w:type="dxa"/>
            <w:shd w:val="clear" w:color="auto" w:fill="F2F4F7"/>
            <w:vAlign w:val="center"/>
          </w:tcPr>
          <w:p w14:paraId="0CD439B6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格式</w:t>
            </w:r>
          </w:p>
        </w:tc>
        <w:tc>
          <w:tcPr>
            <w:tcW w:w="3900" w:type="dxa"/>
            <w:shd w:val="clear" w:color="auto" w:fill="F2F4F7"/>
            <w:vAlign w:val="center"/>
          </w:tcPr>
          <w:p w14:paraId="065311AE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当前处理方式</w:t>
            </w:r>
          </w:p>
        </w:tc>
        <w:tc>
          <w:tcPr>
            <w:tcW w:w="4160" w:type="dxa"/>
            <w:shd w:val="clear" w:color="auto" w:fill="F2F4F7"/>
            <w:vAlign w:val="center"/>
          </w:tcPr>
          <w:p w14:paraId="592316C7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主要风险</w:t>
            </w:r>
          </w:p>
        </w:tc>
      </w:tr>
      <w:tr w14:paraId="10768399">
        <w:tc>
          <w:tcPr>
            <w:tcW w:w="1300" w:type="dxa"/>
            <w:vAlign w:val="center"/>
          </w:tcPr>
          <w:p w14:paraId="59FB57E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PDF</w:t>
            </w:r>
          </w:p>
        </w:tc>
        <w:tc>
          <w:tcPr>
            <w:tcW w:w="3900" w:type="dxa"/>
            <w:vAlign w:val="center"/>
          </w:tcPr>
          <w:p w14:paraId="6F3F74B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pdf-parse 从 Buffer 提取 text 和页数。</w:t>
            </w:r>
          </w:p>
        </w:tc>
        <w:tc>
          <w:tcPr>
            <w:tcW w:w="4160" w:type="dxa"/>
            <w:vAlign w:val="center"/>
          </w:tcPr>
          <w:p w14:paraId="3F42B44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扫描版 PDF 可能提取不到文本；大文件解析会占用 CPU 与内存。</w:t>
            </w:r>
          </w:p>
        </w:tc>
      </w:tr>
      <w:tr w14:paraId="6D3A43F1">
        <w:tc>
          <w:tcPr>
            <w:tcW w:w="1300" w:type="dxa"/>
            <w:vAlign w:val="center"/>
          </w:tcPr>
          <w:p w14:paraId="361123B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DOCX</w:t>
            </w:r>
          </w:p>
        </w:tc>
        <w:tc>
          <w:tcPr>
            <w:tcW w:w="3900" w:type="dxa"/>
            <w:vAlign w:val="center"/>
          </w:tcPr>
          <w:p w14:paraId="579EC945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mammoth.extractRawText 从 Buffer 提取纯文本。</w:t>
            </w:r>
          </w:p>
        </w:tc>
        <w:tc>
          <w:tcPr>
            <w:tcW w:w="4160" w:type="dxa"/>
            <w:vAlign w:val="center"/>
          </w:tcPr>
          <w:p w14:paraId="7D9BBB0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复杂表格、批注、修订和页眉页脚可能丢失结构语义。</w:t>
            </w:r>
          </w:p>
        </w:tc>
      </w:tr>
      <w:tr w14:paraId="0E4FA56A">
        <w:tc>
          <w:tcPr>
            <w:tcW w:w="1300" w:type="dxa"/>
            <w:vAlign w:val="center"/>
          </w:tcPr>
          <w:p w14:paraId="6A3D127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旧版 DOC</w:t>
            </w:r>
          </w:p>
        </w:tc>
        <w:tc>
          <w:tcPr>
            <w:tcW w:w="3900" w:type="dxa"/>
            <w:vAlign w:val="center"/>
          </w:tcPr>
          <w:p w14:paraId="488BD97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macOS 用 textutil 转 docx；其他系统尝试 libreoffice/soffice。</w:t>
            </w:r>
          </w:p>
        </w:tc>
        <w:tc>
          <w:tcPr>
            <w:tcW w:w="4160" w:type="dxa"/>
            <w:vAlign w:val="center"/>
          </w:tcPr>
          <w:p w14:paraId="12120AD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转换依赖本机环境，60 秒超时；并发转换会占用临时目录和 CPU。</w:t>
            </w:r>
          </w:p>
        </w:tc>
      </w:tr>
      <w:tr w14:paraId="4B6F12AF">
        <w:tc>
          <w:tcPr>
            <w:tcW w:w="1300" w:type="dxa"/>
            <w:vAlign w:val="center"/>
          </w:tcPr>
          <w:p w14:paraId="5757F50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图片</w:t>
            </w:r>
          </w:p>
        </w:tc>
        <w:tc>
          <w:tcPr>
            <w:tcW w:w="3900" w:type="dxa"/>
            <w:vAlign w:val="center"/>
          </w:tcPr>
          <w:p w14:paraId="715C72F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tesseract.js createWorker("chi_sim") OCR。</w:t>
            </w:r>
          </w:p>
        </w:tc>
        <w:tc>
          <w:tcPr>
            <w:tcW w:w="4160" w:type="dxa"/>
            <w:vAlign w:val="center"/>
          </w:tcPr>
          <w:p w14:paraId="092B5935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每张图创建 Worker，CPU 消耗高；低清晰度图片识别质量不稳定。</w:t>
            </w:r>
          </w:p>
        </w:tc>
      </w:tr>
    </w:tbl>
    <w:p w14:paraId="7E6F6867">
      <w:pPr>
        <w:spacing w:after="60"/>
      </w:pPr>
    </w:p>
    <w:p w14:paraId="6F6E58C5">
      <w:pPr>
        <w:pStyle w:val="4"/>
      </w:pPr>
      <w:r>
        <w:t>4.3 Knowledge Base</w:t>
      </w:r>
    </w:p>
    <w:p w14:paraId="7095A639">
      <w:pPr>
        <w:spacing w:after="120"/>
      </w:pPr>
      <w:r>
        <w:rPr>
          <w:rFonts w:ascii="Calibri" w:hAnsi="Calibri" w:eastAsia="Hiragino Sans GB"/>
        </w:rPr>
        <w:t>当前知识库使用 better-sqlite3 创建 templates 表和 templates_fts FTS5 虚拟表。loadTemplates 从 index.json 与 templates 目录导入文本；search 使用 FTS5 MATCH，失败后回退 LIKE。该设计适合本地模板检索，但缺少版本、地区、权限、租户隔离、向量检索和正式迁移管理。</w:t>
      </w:r>
    </w:p>
    <w:p w14:paraId="716B8825">
      <w:pPr>
        <w:pStyle w:val="4"/>
      </w:pPr>
      <w:r>
        <w:t>4.4 Model and Agent Chain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3900"/>
        <w:gridCol w:w="3960"/>
      </w:tblGrid>
      <w:tr w14:paraId="4936F05B">
        <w:trPr>
          <w:tblHeader/>
        </w:trPr>
        <w:tc>
          <w:tcPr>
            <w:tcW w:w="1500" w:type="dxa"/>
            <w:shd w:val="clear" w:color="auto" w:fill="F2F4F7"/>
            <w:vAlign w:val="center"/>
          </w:tcPr>
          <w:p w14:paraId="3158F8AE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Agent</w:t>
            </w:r>
          </w:p>
        </w:tc>
        <w:tc>
          <w:tcPr>
            <w:tcW w:w="3900" w:type="dxa"/>
            <w:shd w:val="clear" w:color="auto" w:fill="F2F4F7"/>
            <w:vAlign w:val="center"/>
          </w:tcPr>
          <w:p w14:paraId="08D16E9A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职责</w:t>
            </w:r>
          </w:p>
        </w:tc>
        <w:tc>
          <w:tcPr>
            <w:tcW w:w="3960" w:type="dxa"/>
            <w:shd w:val="clear" w:color="auto" w:fill="F2F4F7"/>
            <w:vAlign w:val="center"/>
          </w:tcPr>
          <w:p w14:paraId="20939815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输入截断/输出</w:t>
            </w:r>
          </w:p>
        </w:tc>
      </w:tr>
      <w:tr w14:paraId="36F4681B">
        <w:tc>
          <w:tcPr>
            <w:tcW w:w="1500" w:type="dxa"/>
            <w:vAlign w:val="center"/>
          </w:tcPr>
          <w:p w14:paraId="3D335A85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Agent 1</w:t>
            </w:r>
          </w:p>
        </w:tc>
        <w:tc>
          <w:tcPr>
            <w:tcW w:w="3900" w:type="dxa"/>
            <w:vAlign w:val="center"/>
          </w:tcPr>
          <w:p w14:paraId="28C2356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合同结构分析与核心要素完整性核查。</w:t>
            </w:r>
          </w:p>
        </w:tc>
        <w:tc>
          <w:tcPr>
            <w:tcW w:w="3960" w:type="dxa"/>
            <w:vAlign w:val="center"/>
          </w:tcPr>
          <w:p w14:paraId="2262DEEC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输入为 parsedText 全量；输出 analysisReport。</w:t>
            </w:r>
          </w:p>
        </w:tc>
      </w:tr>
      <w:tr w14:paraId="554BABE5">
        <w:tc>
          <w:tcPr>
            <w:tcW w:w="1500" w:type="dxa"/>
            <w:vAlign w:val="center"/>
          </w:tcPr>
          <w:p w14:paraId="4FA8616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知识库检索</w:t>
            </w:r>
          </w:p>
        </w:tc>
        <w:tc>
          <w:tcPr>
            <w:tcW w:w="3900" w:type="dxa"/>
            <w:vAlign w:val="center"/>
          </w:tcPr>
          <w:p w14:paraId="53AD1D0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根据分析报告提取关键词，检索优质模板。</w:t>
            </w:r>
          </w:p>
        </w:tc>
        <w:tc>
          <w:tcPr>
            <w:tcW w:w="3960" w:type="dxa"/>
            <w:vAlign w:val="center"/>
          </w:tcPr>
          <w:p w14:paraId="05D253D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返回最多 5 个模板；每个模板在 Agent 2 中最多取 2500 字片段。</w:t>
            </w:r>
          </w:p>
        </w:tc>
      </w:tr>
      <w:tr w14:paraId="0B86C148">
        <w:tc>
          <w:tcPr>
            <w:tcW w:w="1500" w:type="dxa"/>
            <w:vAlign w:val="center"/>
          </w:tcPr>
          <w:p w14:paraId="06EF134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Agent 2</w:t>
            </w:r>
          </w:p>
        </w:tc>
        <w:tc>
          <w:tcPr>
            <w:tcW w:w="3900" w:type="dxa"/>
            <w:vAlign w:val="center"/>
          </w:tcPr>
          <w:p w14:paraId="180D4A4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从买方视角进行法律合规审查、评分和修改建议。</w:t>
            </w:r>
          </w:p>
        </w:tc>
        <w:tc>
          <w:tcPr>
            <w:tcW w:w="3960" w:type="dxa"/>
            <w:vAlign w:val="center"/>
          </w:tcPr>
          <w:p w14:paraId="091FA51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合同文本最多 30000 字；分析报告最多 20000 字；输出 reviewReport。</w:t>
            </w:r>
          </w:p>
        </w:tc>
      </w:tr>
      <w:tr w14:paraId="121AA677">
        <w:tc>
          <w:tcPr>
            <w:tcW w:w="1500" w:type="dxa"/>
            <w:vAlign w:val="center"/>
          </w:tcPr>
          <w:p w14:paraId="2B15CB9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Agent 3</w:t>
            </w:r>
          </w:p>
        </w:tc>
        <w:tc>
          <w:tcPr>
            <w:tcW w:w="3900" w:type="dxa"/>
            <w:vAlign w:val="center"/>
          </w:tcPr>
          <w:p w14:paraId="41E3474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根据分析和审查报告生成标准合规合同文本。</w:t>
            </w:r>
          </w:p>
        </w:tc>
        <w:tc>
          <w:tcPr>
            <w:tcW w:w="3960" w:type="dxa"/>
            <w:vAlign w:val="center"/>
          </w:tcPr>
          <w:p w14:paraId="6EAE740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合同文本最多 25000 字；审查报告最多 15000 字；输出 finalContract。</w:t>
            </w:r>
          </w:p>
        </w:tc>
      </w:tr>
    </w:tbl>
    <w:p w14:paraId="6CF63374">
      <w:pPr>
        <w:spacing w:after="60"/>
      </w:pPr>
    </w:p>
    <w:p w14:paraId="41EC5807">
      <w:pPr>
        <w:pStyle w:val="3"/>
      </w:pPr>
      <w:r>
        <w:t>5. Current Data Model and Target Data Model</w:t>
      </w:r>
    </w:p>
    <w:p w14:paraId="09E318E5">
      <w:pPr>
        <w:pStyle w:val="4"/>
      </w:pPr>
      <w:r>
        <w:t>5.1 Current SQLite Schema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autofit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 w14:paraId="0CDC21C0">
        <w:tc>
          <w:tcPr>
            <w:tcW w:w="9360" w:type="dxa"/>
            <w:shd w:val="clear" w:color="auto" w:fill="F8FAFC"/>
            <w:vAlign w:val="center"/>
          </w:tcPr>
          <w:p w14:paraId="7491E4C4">
            <w:r>
              <w:rPr>
                <w:rFonts w:ascii="Consolas" w:hAnsi="Consolas" w:eastAsia="Hiragino Sans GB"/>
                <w:color w:val="374151"/>
                <w:sz w:val="18"/>
              </w:rPr>
              <w:t>templates(id, name, contract_type, industry, description, source_file, created_at)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templates_fts(name, contract_type, industry, description, content) -- FTS5 virtual table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</w:p>
        </w:tc>
      </w:tr>
    </w:tbl>
    <w:p w14:paraId="513F2BF7">
      <w:pPr>
        <w:spacing w:after="40"/>
      </w:pPr>
    </w:p>
    <w:p w14:paraId="1F3414B2">
      <w:pPr>
        <w:pStyle w:val="4"/>
      </w:pPr>
      <w:r>
        <w:t>5.2 Target Persistent Data Model</w:t>
      </w:r>
    </w:p>
    <w:p w14:paraId="6EDF8F47">
      <w:pPr>
        <w:spacing w:after="120"/>
      </w:pPr>
      <w:r>
        <w:rPr>
          <w:rFonts w:ascii="Calibri" w:hAnsi="Calibri" w:eastAsia="Hiragino Sans GB"/>
        </w:rPr>
        <w:t>当前项目没有 MongoDB/Mongoose，也没有用户、任务、审计和文件元数据表。若进入生产，建议至少引入关系数据库或文档数据库，并配合 Redis、对象存储和向量检索。若团队需要强事务和报表，优先 PostgreSQL；若偏好结果文档和工作流配置的半结构化存储，可采用 MongoDB，但任务状态、邀请码和审计仍需保证唯一约束与可查询性。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4300"/>
        <w:gridCol w:w="3260"/>
      </w:tblGrid>
      <w:tr w14:paraId="3FB36C66">
        <w:trPr>
          <w:tblHeader/>
        </w:trPr>
        <w:tc>
          <w:tcPr>
            <w:tcW w:w="1800" w:type="dxa"/>
            <w:shd w:val="clear" w:color="auto" w:fill="F2F4F7"/>
            <w:vAlign w:val="center"/>
          </w:tcPr>
          <w:p w14:paraId="4751F4EE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实体</w:t>
            </w:r>
          </w:p>
        </w:tc>
        <w:tc>
          <w:tcPr>
            <w:tcW w:w="4300" w:type="dxa"/>
            <w:shd w:val="clear" w:color="auto" w:fill="F2F4F7"/>
            <w:vAlign w:val="center"/>
          </w:tcPr>
          <w:p w14:paraId="63A32472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关键字段</w:t>
            </w:r>
          </w:p>
        </w:tc>
        <w:tc>
          <w:tcPr>
            <w:tcW w:w="3260" w:type="dxa"/>
            <w:shd w:val="clear" w:color="auto" w:fill="F2F4F7"/>
            <w:vAlign w:val="center"/>
          </w:tcPr>
          <w:p w14:paraId="6F472391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用途</w:t>
            </w:r>
          </w:p>
        </w:tc>
      </w:tr>
      <w:tr w14:paraId="6DB35416">
        <w:tc>
          <w:tcPr>
            <w:tcW w:w="1800" w:type="dxa"/>
            <w:vAlign w:val="center"/>
          </w:tcPr>
          <w:p w14:paraId="70CB6E0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users</w:t>
            </w:r>
          </w:p>
        </w:tc>
        <w:tc>
          <w:tcPr>
            <w:tcW w:w="4300" w:type="dxa"/>
            <w:vAlign w:val="center"/>
          </w:tcPr>
          <w:p w14:paraId="25A4F10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id, phone/email, password_hash, role, status, created_at</w:t>
            </w:r>
          </w:p>
        </w:tc>
        <w:tc>
          <w:tcPr>
            <w:tcW w:w="3260" w:type="dxa"/>
            <w:vAlign w:val="center"/>
          </w:tcPr>
          <w:p w14:paraId="4FBA075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登录、权限和用户归属。</w:t>
            </w:r>
          </w:p>
        </w:tc>
      </w:tr>
      <w:tr w14:paraId="0C3A108C">
        <w:tc>
          <w:tcPr>
            <w:tcW w:w="1800" w:type="dxa"/>
            <w:vAlign w:val="center"/>
          </w:tcPr>
          <w:p w14:paraId="5911BE9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invite_codes</w:t>
            </w:r>
          </w:p>
        </w:tc>
        <w:tc>
          <w:tcPr>
            <w:tcW w:w="4300" w:type="dxa"/>
            <w:vAlign w:val="center"/>
          </w:tcPr>
          <w:p w14:paraId="21A439E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code, batch, expires_at, max_uses, used_count, product_scopes, status</w:t>
            </w:r>
          </w:p>
        </w:tc>
        <w:tc>
          <w:tcPr>
            <w:tcW w:w="3260" w:type="dxa"/>
            <w:vAlign w:val="center"/>
          </w:tcPr>
          <w:p w14:paraId="33A4279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试点准入、权限和运营来源。</w:t>
            </w:r>
          </w:p>
        </w:tc>
      </w:tr>
      <w:tr w14:paraId="49E2E83C">
        <w:tc>
          <w:tcPr>
            <w:tcW w:w="1800" w:type="dxa"/>
            <w:vAlign w:val="center"/>
          </w:tcPr>
          <w:p w14:paraId="6A1BD6B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products</w:t>
            </w:r>
          </w:p>
        </w:tc>
        <w:tc>
          <w:tcPr>
            <w:tcW w:w="4300" w:type="dxa"/>
            <w:vAlign w:val="center"/>
          </w:tcPr>
          <w:p w14:paraId="3AC0440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id, name, category, status, route, workflow_id</w:t>
            </w:r>
          </w:p>
        </w:tc>
        <w:tc>
          <w:tcPr>
            <w:tcW w:w="3260" w:type="dxa"/>
            <w:vAlign w:val="center"/>
          </w:tcPr>
          <w:p w14:paraId="38DFC99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产品矩阵和工具开关。</w:t>
            </w:r>
          </w:p>
        </w:tc>
      </w:tr>
      <w:tr w14:paraId="6F84DF86">
        <w:tc>
          <w:tcPr>
            <w:tcW w:w="1800" w:type="dxa"/>
            <w:vAlign w:val="center"/>
          </w:tcPr>
          <w:p w14:paraId="0451C3D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ai_tasks</w:t>
            </w:r>
          </w:p>
        </w:tc>
        <w:tc>
          <w:tcPr>
            <w:tcW w:w="4300" w:type="dxa"/>
            <w:vAlign w:val="center"/>
          </w:tcPr>
          <w:p w14:paraId="7E1523A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id, user_id, product_id, status, progress, workflow_version, model_config, result_ref</w:t>
            </w:r>
          </w:p>
        </w:tc>
        <w:tc>
          <w:tcPr>
            <w:tcW w:w="3260" w:type="dxa"/>
            <w:vAlign w:val="center"/>
          </w:tcPr>
          <w:p w14:paraId="1CFE621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任务创建、查询、历史和恢复。</w:t>
            </w:r>
          </w:p>
        </w:tc>
      </w:tr>
      <w:tr w14:paraId="6B62588E">
        <w:tc>
          <w:tcPr>
            <w:tcW w:w="1800" w:type="dxa"/>
            <w:vAlign w:val="center"/>
          </w:tcPr>
          <w:p w14:paraId="1FCAD0F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task_events</w:t>
            </w:r>
          </w:p>
        </w:tc>
        <w:tc>
          <w:tcPr>
            <w:tcW w:w="4300" w:type="dxa"/>
            <w:vAlign w:val="center"/>
          </w:tcPr>
          <w:p w14:paraId="74CD3E3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task_id, seq, type, payload, created_at</w:t>
            </w:r>
          </w:p>
        </w:tc>
        <w:tc>
          <w:tcPr>
            <w:tcW w:w="3260" w:type="dxa"/>
            <w:vAlign w:val="center"/>
          </w:tcPr>
          <w:p w14:paraId="7FA3F67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SSE 进度恢复、审计和问题定位。</w:t>
            </w:r>
          </w:p>
        </w:tc>
      </w:tr>
      <w:tr w14:paraId="0C82ED10">
        <w:tc>
          <w:tcPr>
            <w:tcW w:w="1800" w:type="dxa"/>
            <w:vAlign w:val="center"/>
          </w:tcPr>
          <w:p w14:paraId="665B3DA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uploads</w:t>
            </w:r>
          </w:p>
        </w:tc>
        <w:tc>
          <w:tcPr>
            <w:tcW w:w="4300" w:type="dxa"/>
            <w:vAlign w:val="center"/>
          </w:tcPr>
          <w:p w14:paraId="14AE499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id, task_id, filename, mime, size, storage_key, parse_status, text_ref</w:t>
            </w:r>
          </w:p>
        </w:tc>
        <w:tc>
          <w:tcPr>
            <w:tcW w:w="3260" w:type="dxa"/>
            <w:vAlign w:val="center"/>
          </w:tcPr>
          <w:p w14:paraId="3248F68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文件生命周期、解析结果和清理策略。</w:t>
            </w:r>
          </w:p>
        </w:tc>
      </w:tr>
      <w:tr w14:paraId="35ECBB2F">
        <w:tc>
          <w:tcPr>
            <w:tcW w:w="1800" w:type="dxa"/>
            <w:vAlign w:val="center"/>
          </w:tcPr>
          <w:p w14:paraId="0BDF3B2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workflow_versions</w:t>
            </w:r>
          </w:p>
        </w:tc>
        <w:tc>
          <w:tcPr>
            <w:tcW w:w="4300" w:type="dxa"/>
            <w:vAlign w:val="center"/>
          </w:tcPr>
          <w:p w14:paraId="743AF53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workflow_id, version, nodes, prompt_refs, status, rollout_policy</w:t>
            </w:r>
          </w:p>
        </w:tc>
        <w:tc>
          <w:tcPr>
            <w:tcW w:w="3260" w:type="dxa"/>
            <w:vAlign w:val="center"/>
          </w:tcPr>
          <w:p w14:paraId="46E6F10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高代码工作流版本、灰度和回滚。</w:t>
            </w:r>
          </w:p>
        </w:tc>
      </w:tr>
      <w:tr w14:paraId="0183E09D">
        <w:tc>
          <w:tcPr>
            <w:tcW w:w="1800" w:type="dxa"/>
            <w:vAlign w:val="center"/>
          </w:tcPr>
          <w:p w14:paraId="6D00960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knowledge_documents</w:t>
            </w:r>
          </w:p>
        </w:tc>
        <w:tc>
          <w:tcPr>
            <w:tcW w:w="4300" w:type="dxa"/>
            <w:vAlign w:val="center"/>
          </w:tcPr>
          <w:p w14:paraId="404038C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id, type, region, industry, source, version, effective_at, content_ref</w:t>
            </w:r>
          </w:p>
        </w:tc>
        <w:tc>
          <w:tcPr>
            <w:tcW w:w="3260" w:type="dxa"/>
            <w:vAlign w:val="center"/>
          </w:tcPr>
          <w:p w14:paraId="4BEAA7A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合同模板、劳动规则、社保规则和员工手册规范。</w:t>
            </w:r>
          </w:p>
        </w:tc>
      </w:tr>
      <w:tr w14:paraId="50BC6F53">
        <w:tc>
          <w:tcPr>
            <w:tcW w:w="1800" w:type="dxa"/>
            <w:vAlign w:val="center"/>
          </w:tcPr>
          <w:p w14:paraId="329F52D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audit_logs</w:t>
            </w:r>
          </w:p>
        </w:tc>
        <w:tc>
          <w:tcPr>
            <w:tcW w:w="4300" w:type="dxa"/>
            <w:vAlign w:val="center"/>
          </w:tcPr>
          <w:p w14:paraId="0399D77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actor_id, action, target_type, target_id, ip, user_agent, created_at</w:t>
            </w:r>
          </w:p>
        </w:tc>
        <w:tc>
          <w:tcPr>
            <w:tcW w:w="3260" w:type="dxa"/>
            <w:vAlign w:val="center"/>
          </w:tcPr>
          <w:p w14:paraId="335644E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注册、登录、上传、任务、后台操作审计。</w:t>
            </w:r>
          </w:p>
        </w:tc>
      </w:tr>
      <w:tr w14:paraId="50560BD2">
        <w:tc>
          <w:tcPr>
            <w:tcW w:w="1800" w:type="dxa"/>
            <w:vAlign w:val="center"/>
          </w:tcPr>
          <w:p w14:paraId="571B1B8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usage_records</w:t>
            </w:r>
          </w:p>
        </w:tc>
        <w:tc>
          <w:tcPr>
            <w:tcW w:w="4300" w:type="dxa"/>
            <w:vAlign w:val="center"/>
          </w:tcPr>
          <w:p w14:paraId="4EB1DBC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task_id, tokens, model, duration_ms, file_size, cost_estimate</w:t>
            </w:r>
          </w:p>
        </w:tc>
        <w:tc>
          <w:tcPr>
            <w:tcW w:w="3260" w:type="dxa"/>
            <w:vAlign w:val="center"/>
          </w:tcPr>
          <w:p w14:paraId="72DBB3D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额度、成本分析和限流依据。</w:t>
            </w:r>
          </w:p>
        </w:tc>
      </w:tr>
    </w:tbl>
    <w:p w14:paraId="02239AEC">
      <w:pPr>
        <w:spacing w:after="60"/>
      </w:pPr>
    </w:p>
    <w:p w14:paraId="44921CBB">
      <w:pPr>
        <w:pStyle w:val="3"/>
      </w:pPr>
      <w:r>
        <w:t>6. Performance and Concurrency Risks</w:t>
      </w:r>
    </w:p>
    <w:p w14:paraId="61F39AA9">
      <w:pPr>
        <w:pStyle w:val="4"/>
      </w:pPr>
      <w:r>
        <w:t>6.1 Frontend Rendering Load</w:t>
      </w:r>
    </w:p>
    <w:p w14:paraId="657D2366">
      <w:pPr>
        <w:spacing w:after="120"/>
      </w:pPr>
      <w:r>
        <w:rPr>
          <w:rFonts w:ascii="Calibri" w:hAnsi="Calibri" w:eastAsia="Hiragino Sans GB"/>
        </w:rPr>
        <w:t>当前前端最大风险来自流式输出的高频 setState。每收到一个 token chunk，appendResult 都会 setResult，将 result 字符串增长一次；MarkdownRenderer 随后对完整 result 重新 split、parse 和渲染。输出越长，每次渲染越贵，整体成本接近 O(n^2)。当 AI 每秒返回几十到上百个小 chunk 时，输入框、复制按钮、滚动容器和阶段指示器都会被抢占主线程。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3500"/>
        <w:gridCol w:w="3960"/>
      </w:tblGrid>
      <w:tr w14:paraId="55ADB050">
        <w:trPr>
          <w:tblHeader/>
        </w:trPr>
        <w:tc>
          <w:tcPr>
            <w:tcW w:w="1900" w:type="dxa"/>
            <w:shd w:val="clear" w:color="auto" w:fill="F2F4F7"/>
            <w:vAlign w:val="center"/>
          </w:tcPr>
          <w:p w14:paraId="60B49F9E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风险点</w:t>
            </w:r>
          </w:p>
        </w:tc>
        <w:tc>
          <w:tcPr>
            <w:tcW w:w="3500" w:type="dxa"/>
            <w:shd w:val="clear" w:color="auto" w:fill="F2F4F7"/>
            <w:vAlign w:val="center"/>
          </w:tcPr>
          <w:p w14:paraId="4653C081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触发场景</w:t>
            </w:r>
          </w:p>
        </w:tc>
        <w:tc>
          <w:tcPr>
            <w:tcW w:w="3960" w:type="dxa"/>
            <w:shd w:val="clear" w:color="auto" w:fill="F2F4F7"/>
            <w:vAlign w:val="center"/>
          </w:tcPr>
          <w:p w14:paraId="5C873BB3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改进方案</w:t>
            </w:r>
          </w:p>
        </w:tc>
      </w:tr>
      <w:tr w14:paraId="46BFE8DC">
        <w:tc>
          <w:tcPr>
            <w:tcW w:w="1900" w:type="dxa"/>
            <w:vAlign w:val="center"/>
          </w:tcPr>
          <w:p w14:paraId="7A47488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高频 setResult</w:t>
            </w:r>
          </w:p>
        </w:tc>
        <w:tc>
          <w:tcPr>
            <w:tcW w:w="3500" w:type="dxa"/>
            <w:vAlign w:val="center"/>
          </w:tcPr>
          <w:p w14:paraId="59BB2C4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AI 流每秒返回大量 token，React 每个 chunk 都重新渲染结果区。</w:t>
            </w:r>
          </w:p>
        </w:tc>
        <w:tc>
          <w:tcPr>
            <w:tcW w:w="3960" w:type="dxa"/>
            <w:vAlign w:val="center"/>
          </w:tcPr>
          <w:p w14:paraId="6761ED9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按 50-150ms 批量合并 token；使用 requestAnimationFrame 或 scheduler；只在批次结束时 setState。</w:t>
            </w:r>
          </w:p>
        </w:tc>
      </w:tr>
      <w:tr w14:paraId="36FC9B2E">
        <w:tc>
          <w:tcPr>
            <w:tcW w:w="1900" w:type="dxa"/>
            <w:vAlign w:val="center"/>
          </w:tcPr>
          <w:p w14:paraId="55602F6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全量 Markdown 重解析</w:t>
            </w:r>
          </w:p>
        </w:tc>
        <w:tc>
          <w:tcPr>
            <w:tcW w:w="3500" w:type="dxa"/>
            <w:vAlign w:val="center"/>
          </w:tcPr>
          <w:p w14:paraId="3B5BDEB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result 越长，MarkdownRenderer 每次处理全部文本，表格解析尤其重。</w:t>
            </w:r>
          </w:p>
        </w:tc>
        <w:tc>
          <w:tcPr>
            <w:tcW w:w="3960" w:type="dxa"/>
            <w:vAlign w:val="center"/>
          </w:tcPr>
          <w:p w14:paraId="6E68D0D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把结果按段落/事件片段存储；已完成片段 memo 化；必要时用 Web Worker 解析 Markdown。</w:t>
            </w:r>
          </w:p>
        </w:tc>
      </w:tr>
      <w:tr w14:paraId="33BBCEE5">
        <w:tc>
          <w:tcPr>
            <w:tcW w:w="1900" w:type="dxa"/>
            <w:vAlign w:val="center"/>
          </w:tcPr>
          <w:p w14:paraId="44906F5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频繁自动滚动</w:t>
            </w:r>
          </w:p>
        </w:tc>
        <w:tc>
          <w:tcPr>
            <w:tcW w:w="3500" w:type="dxa"/>
            <w:vAlign w:val="center"/>
          </w:tcPr>
          <w:p w14:paraId="21E2AF8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appendResult 每次 setTimeout 后设置 scrollTop。</w:t>
            </w:r>
          </w:p>
        </w:tc>
        <w:tc>
          <w:tcPr>
            <w:tcW w:w="3960" w:type="dxa"/>
            <w:vAlign w:val="center"/>
          </w:tcPr>
          <w:p w14:paraId="4E799B2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滚动节流到 100-200ms；用户手动滚动离底部时暂停自动滚动。</w:t>
            </w:r>
          </w:p>
        </w:tc>
      </w:tr>
      <w:tr w14:paraId="2DAB5AFD">
        <w:tc>
          <w:tcPr>
            <w:tcW w:w="1900" w:type="dxa"/>
            <w:vAlign w:val="center"/>
          </w:tcPr>
          <w:p w14:paraId="4EB4155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状态耦合</w:t>
            </w:r>
          </w:p>
        </w:tc>
        <w:tc>
          <w:tcPr>
            <w:tcW w:w="3500" w:type="dxa"/>
            <w:vAlign w:val="center"/>
          </w:tcPr>
          <w:p w14:paraId="41370D6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result、statusText、currentStage、error 多个 state 在同一流里频繁更新。</w:t>
            </w:r>
          </w:p>
        </w:tc>
        <w:tc>
          <w:tcPr>
            <w:tcW w:w="3960" w:type="dxa"/>
            <w:vAlign w:val="center"/>
          </w:tcPr>
          <w:p w14:paraId="602D00D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使用 reducer 管理任务状态；结果流和 UI 状态分组件隔离。</w:t>
            </w:r>
          </w:p>
        </w:tc>
      </w:tr>
      <w:tr w14:paraId="09B39F82">
        <w:tc>
          <w:tcPr>
            <w:tcW w:w="1900" w:type="dxa"/>
            <w:vAlign w:val="center"/>
          </w:tcPr>
          <w:p w14:paraId="66BEBFA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视频和动效负载</w:t>
            </w:r>
          </w:p>
        </w:tc>
        <w:tc>
          <w:tcPr>
            <w:tcW w:w="3500" w:type="dxa"/>
            <w:vAlign w:val="center"/>
          </w:tcPr>
          <w:p w14:paraId="42FA935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产品矩阵多个 video autoplay/loop，页面滚动动画和 will-change 较多。</w:t>
            </w:r>
          </w:p>
        </w:tc>
        <w:tc>
          <w:tcPr>
            <w:tcW w:w="3960" w:type="dxa"/>
            <w:vAlign w:val="center"/>
          </w:tcPr>
          <w:p w14:paraId="4CB162C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隐藏视频暂停或懒加载；移动端限制 autoplay；展示页与任务页资源隔离。</w:t>
            </w:r>
          </w:p>
        </w:tc>
      </w:tr>
      <w:tr w14:paraId="6B308683">
        <w:tc>
          <w:tcPr>
            <w:tcW w:w="1900" w:type="dxa"/>
            <w:vAlign w:val="center"/>
          </w:tcPr>
          <w:p w14:paraId="19B1B0B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长结果 DOM</w:t>
            </w:r>
          </w:p>
        </w:tc>
        <w:tc>
          <w:tcPr>
            <w:tcW w:w="3500" w:type="dxa"/>
            <w:vAlign w:val="center"/>
          </w:tcPr>
          <w:p w14:paraId="773D1F2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最终合同、审查报告、表格同时追加到一个结果面板。</w:t>
            </w:r>
          </w:p>
        </w:tc>
        <w:tc>
          <w:tcPr>
            <w:tcW w:w="3960" w:type="dxa"/>
            <w:vAlign w:val="center"/>
          </w:tcPr>
          <w:p w14:paraId="5AD7FC6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分 Tab 展示“结构分析/审查报告/最终合同”；长文本虚拟滚动或折叠。</w:t>
            </w:r>
          </w:p>
        </w:tc>
      </w:tr>
    </w:tbl>
    <w:p w14:paraId="6E951BB9">
      <w:pPr>
        <w:spacing w:after="60"/>
      </w:pPr>
    </w:p>
    <w:p w14:paraId="2F300F30">
      <w:pPr>
        <w:pStyle w:val="4"/>
      </w:pPr>
      <w:r>
        <w:t>6.2 Backend Long Request Load</w:t>
      </w:r>
    </w:p>
    <w:p w14:paraId="2550CDAF">
      <w:pPr>
        <w:spacing w:after="120"/>
      </w:pPr>
      <w:r>
        <w:rPr>
          <w:rFonts w:ascii="Calibri" w:hAnsi="Calibri" w:eastAsia="Hiragino Sans GB"/>
        </w:rPr>
        <w:t>当前后端在一个 Express 进程内同步承接上传、解析、知识库检索、三次模型流式调用和 SSE 返回。对单个试用任务很直接，但高并发下会让连接、内存、CPU、模型配额和错误恢复混在一个请求生命周期里。</w:t>
      </w:r>
    </w:p>
    <w:p w14:paraId="0B4D7A14">
      <w:pPr>
        <w:pStyle w:val="16"/>
      </w:pPr>
      <w:r>
        <w:t>multer.memoryStorage() 使上传文件直接进入内存。当前本地引擎允许单文件 80MB、最多 6 个，单请求最坏仅原始 Buffer 就可能达到 480MB；20 个并发长任务会造成极高内存压力。</w:t>
      </w:r>
    </w:p>
    <w:p w14:paraId="09AD3DAB">
      <w:pPr>
        <w:pStyle w:val="16"/>
      </w:pPr>
      <w:r>
        <w:rPr>
          <w:rFonts w:ascii="Calibri" w:hAnsi="Calibri" w:eastAsia="Hiragino Sans GB"/>
        </w:rPr>
        <w:t>文件解析、旧版 DOC 转换和 OCR 都可能消耗 CPU。图片 OCR 每次 createWorker，若 20-50 个并发用户上传截图，Node 进程和机器 CPU 可能被打满。</w:t>
      </w:r>
    </w:p>
    <w:p w14:paraId="061AE2F3">
      <w:pPr>
        <w:pStyle w:val="16"/>
      </w:pPr>
      <w:r>
        <w:rPr>
          <w:rFonts w:ascii="Calibri" w:hAnsi="Calibri" w:eastAsia="Hiragino Sans GB"/>
        </w:rPr>
        <w:t>三段 Agent 串行执行，每个任务至少一次文件解析、一次检索和三次 DeepSeek 流。任一模型调用失败会导致该请求结束，且当前没有持久化任务状态。</w:t>
      </w:r>
    </w:p>
    <w:p w14:paraId="3D8F400B">
      <w:pPr>
        <w:pStyle w:val="16"/>
      </w:pPr>
      <w:r>
        <w:rPr>
          <w:rFonts w:ascii="Calibri" w:hAnsi="Calibri" w:eastAsia="Hiragino Sans GB"/>
        </w:rPr>
        <w:t>SSE 长连接一直占用 HTTP 连接和服务端响应对象。浏览器刷新、网络中断或代理超时会让任务和结果不可恢复。</w:t>
      </w:r>
    </w:p>
    <w:p w14:paraId="094F6559">
      <w:pPr>
        <w:pStyle w:val="16"/>
      </w:pPr>
      <w:r>
        <w:rPr>
          <w:rFonts w:ascii="Calibri" w:hAnsi="Calibri" w:eastAsia="Hiragino Sans GB"/>
        </w:rPr>
        <w:t>没有统一限流、队列、并发池、取消机制和熔断。模型 429 只有 llm-client 内部重试，但无法从产品维度控制排队和降级。</w:t>
      </w:r>
    </w:p>
    <w:p w14:paraId="7F7B5CF2">
      <w:pPr>
        <w:pStyle w:val="16"/>
      </w:pPr>
      <w:r>
        <w:rPr>
          <w:rFonts w:ascii="Calibri" w:hAnsi="Calibri" w:eastAsia="Hiragino Sans GB"/>
        </w:rPr>
        <w:t>better-sqlite3 为同步 API，虽然模板检索轻量，但导入、复杂 FTS 查询或写入会阻塞事件循环。</w:t>
      </w:r>
    </w:p>
    <w:p w14:paraId="36B48690">
      <w:pPr>
        <w:pStyle w:val="4"/>
      </w:pPr>
      <w:r>
        <w:t>6.3 Database and Knowledge Base Risks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00"/>
        <w:gridCol w:w="3660"/>
      </w:tblGrid>
      <w:tr w14:paraId="1829AE25">
        <w:trPr>
          <w:tblHeader/>
        </w:trPr>
        <w:tc>
          <w:tcPr>
            <w:tcW w:w="2500" w:type="dxa"/>
            <w:shd w:val="clear" w:color="auto" w:fill="F2F4F7"/>
            <w:vAlign w:val="center"/>
          </w:tcPr>
          <w:p w14:paraId="514C714B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当前问题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395CEBD2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影响</w:t>
            </w:r>
          </w:p>
        </w:tc>
        <w:tc>
          <w:tcPr>
            <w:tcW w:w="3660" w:type="dxa"/>
            <w:shd w:val="clear" w:color="auto" w:fill="F2F4F7"/>
            <w:vAlign w:val="center"/>
          </w:tcPr>
          <w:p w14:paraId="02A44B75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建议</w:t>
            </w:r>
          </w:p>
        </w:tc>
      </w:tr>
      <w:tr w14:paraId="3CF434DC">
        <w:tc>
          <w:tcPr>
            <w:tcW w:w="2500" w:type="dxa"/>
            <w:vAlign w:val="center"/>
          </w:tcPr>
          <w:p w14:paraId="6783CFC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只有模板库，无用户/任务/审计库</w:t>
            </w:r>
          </w:p>
        </w:tc>
        <w:tc>
          <w:tcPr>
            <w:tcW w:w="3200" w:type="dxa"/>
            <w:vAlign w:val="center"/>
          </w:tcPr>
          <w:p w14:paraId="6965E97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任务断线不可恢复，无法统计质量、成本和失败率。</w:t>
            </w:r>
          </w:p>
        </w:tc>
        <w:tc>
          <w:tcPr>
            <w:tcW w:w="3660" w:type="dxa"/>
            <w:vAlign w:val="center"/>
          </w:tcPr>
          <w:p w14:paraId="2C80E76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新增正式业务数据库，任务和事件全部持久化。</w:t>
            </w:r>
          </w:p>
        </w:tc>
      </w:tr>
      <w:tr w14:paraId="3584947C">
        <w:tc>
          <w:tcPr>
            <w:tcW w:w="2500" w:type="dxa"/>
            <w:vAlign w:val="center"/>
          </w:tcPr>
          <w:p w14:paraId="37E8CD3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模板无版本和地区维度</w:t>
            </w:r>
          </w:p>
        </w:tc>
        <w:tc>
          <w:tcPr>
            <w:tcW w:w="3200" w:type="dxa"/>
            <w:vAlign w:val="center"/>
          </w:tcPr>
          <w:p w14:paraId="67E31C8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法律规则更新后无法追踪任务使用了哪个版本。</w:t>
            </w:r>
          </w:p>
        </w:tc>
        <w:tc>
          <w:tcPr>
            <w:tcW w:w="3660" w:type="dxa"/>
            <w:vAlign w:val="center"/>
          </w:tcPr>
          <w:p w14:paraId="6668D8E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知识库加 version、effective_at、region、source、review_status。</w:t>
            </w:r>
          </w:p>
        </w:tc>
      </w:tr>
      <w:tr w14:paraId="380FFB5C">
        <w:tc>
          <w:tcPr>
            <w:tcW w:w="2500" w:type="dxa"/>
            <w:vAlign w:val="center"/>
          </w:tcPr>
          <w:p w14:paraId="3EC9A52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SQLite 单机文件存储</w:t>
            </w:r>
          </w:p>
        </w:tc>
        <w:tc>
          <w:tcPr>
            <w:tcW w:w="3200" w:type="dxa"/>
            <w:vAlign w:val="center"/>
          </w:tcPr>
          <w:p w14:paraId="4591441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多实例部署、备份、迁移和权限隔离困难。</w:t>
            </w:r>
          </w:p>
        </w:tc>
        <w:tc>
          <w:tcPr>
            <w:tcW w:w="3660" w:type="dxa"/>
            <w:vAlign w:val="center"/>
          </w:tcPr>
          <w:p w14:paraId="1DDB823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生产使用 PostgreSQL/MongoDB + Redis + 对象存储；SQLite 仅保留本地开发。</w:t>
            </w:r>
          </w:p>
        </w:tc>
      </w:tr>
      <w:tr w14:paraId="63073391">
        <w:tc>
          <w:tcPr>
            <w:tcW w:w="2500" w:type="dxa"/>
            <w:vAlign w:val="center"/>
          </w:tcPr>
          <w:p w14:paraId="096AD8A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FTS5 关键词检索较粗</w:t>
            </w:r>
          </w:p>
        </w:tc>
        <w:tc>
          <w:tcPr>
            <w:tcW w:w="3200" w:type="dxa"/>
            <w:vAlign w:val="center"/>
          </w:tcPr>
          <w:p w14:paraId="0B33145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长合同和多行业模板召回不稳定。</w:t>
            </w:r>
          </w:p>
        </w:tc>
        <w:tc>
          <w:tcPr>
            <w:tcW w:w="3660" w:type="dxa"/>
            <w:vAlign w:val="center"/>
          </w:tcPr>
          <w:p w14:paraId="40051F6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结合关键词、标签、向量检索和人工评测集。</w:t>
            </w:r>
          </w:p>
        </w:tc>
      </w:tr>
    </w:tbl>
    <w:p w14:paraId="398CE12B">
      <w:pPr>
        <w:spacing w:after="60"/>
      </w:pPr>
    </w:p>
    <w:p w14:paraId="7496331F">
      <w:pPr>
        <w:pStyle w:val="4"/>
      </w:pPr>
      <w:r>
        <w:t>6.4 AI Output and Prompt Risks</w:t>
      </w:r>
    </w:p>
    <w:p w14:paraId="1356370D">
      <w:pPr>
        <w:pStyle w:val="16"/>
      </w:pPr>
      <w:r>
        <w:rPr>
          <w:rFonts w:ascii="Calibri" w:hAnsi="Calibri" w:eastAsia="Hiragino Sans GB"/>
        </w:rPr>
        <w:t>提示词当前主要围绕买卖合同、买方视角，若用户上传劳动合同或其他合同类型，输出可能偏离场景。</w:t>
      </w:r>
    </w:p>
    <w:p w14:paraId="496563C1">
      <w:pPr>
        <w:pStyle w:val="16"/>
      </w:pPr>
      <w:r>
        <w:rPr>
          <w:rFonts w:ascii="Calibri" w:hAnsi="Calibri" w:eastAsia="Hiragino Sans GB"/>
        </w:rPr>
        <w:t>Agent 2 和 Agent 3 使用字符截断保护上下文，但可能丢失长合同后半部分关键条款。</w:t>
      </w:r>
    </w:p>
    <w:p w14:paraId="6D3CEA38">
      <w:pPr>
        <w:pStyle w:val="16"/>
      </w:pPr>
      <w:r>
        <w:rPr>
          <w:rFonts w:ascii="Calibri" w:hAnsi="Calibri" w:eastAsia="Hiragino Sans GB"/>
        </w:rPr>
        <w:t>输出是 Markdown 文本，没有结构化 JSON schema，前端只能做轻量 Markdown 解析，难以稳定展示风险等级和条款定位。</w:t>
      </w:r>
    </w:p>
    <w:p w14:paraId="6ABD8891">
      <w:pPr>
        <w:pStyle w:val="16"/>
      </w:pPr>
      <w:r>
        <w:rPr>
          <w:rFonts w:ascii="Calibri" w:hAnsi="Calibri" w:eastAsia="Hiragino Sans GB"/>
        </w:rPr>
        <w:t>模型配置和提示词版本没有写入任务记录，无法解释“为什么这次结果变了”。</w:t>
      </w:r>
    </w:p>
    <w:p w14:paraId="3B1EF49C">
      <w:pPr>
        <w:pStyle w:val="16"/>
      </w:pPr>
      <w:r>
        <w:rPr>
          <w:rFonts w:ascii="Calibri" w:hAnsi="Calibri" w:eastAsia="Hiragino Sans GB"/>
        </w:rPr>
        <w:t>法律免责声明依赖提示词和页面文案，建议后端结果组装阶段强制插入并记录。</w:t>
      </w:r>
    </w:p>
    <w:p w14:paraId="399F62DB">
      <w:pPr>
        <w:pStyle w:val="3"/>
      </w:pPr>
      <w:r>
        <w:t>7. Recommended Target Architecture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3600"/>
        <w:gridCol w:w="4060"/>
      </w:tblGrid>
      <w:tr w14:paraId="14263AE5">
        <w:trPr>
          <w:tblHeader/>
        </w:trPr>
        <w:tc>
          <w:tcPr>
            <w:tcW w:w="1700" w:type="dxa"/>
            <w:shd w:val="clear" w:color="auto" w:fill="F2F4F7"/>
            <w:vAlign w:val="center"/>
          </w:tcPr>
          <w:p w14:paraId="11E38C65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组件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26418385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职责</w:t>
            </w:r>
          </w:p>
        </w:tc>
        <w:tc>
          <w:tcPr>
            <w:tcW w:w="4060" w:type="dxa"/>
            <w:shd w:val="clear" w:color="auto" w:fill="F2F4F7"/>
            <w:vAlign w:val="center"/>
          </w:tcPr>
          <w:p w14:paraId="19F3A424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7"/>
              </w:rPr>
              <w:t>关键技术建议</w:t>
            </w:r>
          </w:p>
        </w:tc>
      </w:tr>
      <w:tr w14:paraId="184C9CAD">
        <w:tc>
          <w:tcPr>
            <w:tcW w:w="1700" w:type="dxa"/>
            <w:vAlign w:val="center"/>
          </w:tcPr>
          <w:p w14:paraId="128ADC9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Web App</w:t>
            </w:r>
          </w:p>
        </w:tc>
        <w:tc>
          <w:tcPr>
            <w:tcW w:w="3600" w:type="dxa"/>
            <w:vAlign w:val="center"/>
          </w:tcPr>
          <w:p w14:paraId="0ABE5C2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官网、登录、工作台、任务页、后台入口。</w:t>
            </w:r>
          </w:p>
        </w:tc>
        <w:tc>
          <w:tcPr>
            <w:tcW w:w="4060" w:type="dxa"/>
            <w:vAlign w:val="center"/>
          </w:tcPr>
          <w:p w14:paraId="5F6BC43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React Router、代码分割、结果分片渲染、移动端适配。</w:t>
            </w:r>
          </w:p>
        </w:tc>
      </w:tr>
      <w:tr w14:paraId="78B06A02">
        <w:tc>
          <w:tcPr>
            <w:tcW w:w="1700" w:type="dxa"/>
            <w:vAlign w:val="center"/>
          </w:tcPr>
          <w:p w14:paraId="5211C77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API Gateway</w:t>
            </w:r>
          </w:p>
        </w:tc>
        <w:tc>
          <w:tcPr>
            <w:tcW w:w="3600" w:type="dxa"/>
            <w:vAlign w:val="center"/>
          </w:tcPr>
          <w:p w14:paraId="6179A95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鉴权、限流、统一错误、审计、路由。</w:t>
            </w:r>
          </w:p>
        </w:tc>
        <w:tc>
          <w:tcPr>
            <w:tcW w:w="4060" w:type="dxa"/>
            <w:vAlign w:val="center"/>
          </w:tcPr>
          <w:p w14:paraId="419584F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Express/Fastify/NestJS 均可；生产需中间件化。</w:t>
            </w:r>
          </w:p>
        </w:tc>
      </w:tr>
      <w:tr w14:paraId="15F7EC1C">
        <w:tc>
          <w:tcPr>
            <w:tcW w:w="1700" w:type="dxa"/>
            <w:vAlign w:val="center"/>
          </w:tcPr>
          <w:p w14:paraId="48A314A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Auth &amp; Invite Service</w:t>
            </w:r>
          </w:p>
        </w:tc>
        <w:tc>
          <w:tcPr>
            <w:tcW w:w="3600" w:type="dxa"/>
            <w:vAlign w:val="center"/>
          </w:tcPr>
          <w:p w14:paraId="7FB2BF3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用户、邀请码、角色、产品权限。</w:t>
            </w:r>
          </w:p>
        </w:tc>
        <w:tc>
          <w:tcPr>
            <w:tcW w:w="4060" w:type="dxa"/>
            <w:vAlign w:val="center"/>
          </w:tcPr>
          <w:p w14:paraId="6CFAB53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JWT/Session、bcrypt/argon2、审计日志。</w:t>
            </w:r>
          </w:p>
        </w:tc>
      </w:tr>
      <w:tr w14:paraId="11D43647">
        <w:tc>
          <w:tcPr>
            <w:tcW w:w="1700" w:type="dxa"/>
            <w:vAlign w:val="center"/>
          </w:tcPr>
          <w:p w14:paraId="54655F3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Task Service</w:t>
            </w:r>
          </w:p>
        </w:tc>
        <w:tc>
          <w:tcPr>
            <w:tcW w:w="3600" w:type="dxa"/>
            <w:vAlign w:val="center"/>
          </w:tcPr>
          <w:p w14:paraId="4B57A3C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创建任务、查询状态、取消任务、结果读取。</w:t>
            </w:r>
          </w:p>
        </w:tc>
        <w:tc>
          <w:tcPr>
            <w:tcW w:w="4060" w:type="dxa"/>
            <w:vAlign w:val="center"/>
          </w:tcPr>
          <w:p w14:paraId="0924010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数据库事务、幂等 key、状态机。</w:t>
            </w:r>
          </w:p>
        </w:tc>
      </w:tr>
      <w:tr w14:paraId="4FE07C52">
        <w:tc>
          <w:tcPr>
            <w:tcW w:w="1700" w:type="dxa"/>
            <w:vAlign w:val="center"/>
          </w:tcPr>
          <w:p w14:paraId="52B4C3F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File Service</w:t>
            </w:r>
          </w:p>
        </w:tc>
        <w:tc>
          <w:tcPr>
            <w:tcW w:w="3600" w:type="dxa"/>
            <w:vAlign w:val="center"/>
          </w:tcPr>
          <w:p w14:paraId="09DB9390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上传、校验、对象存储、解析调度、清理。</w:t>
            </w:r>
          </w:p>
        </w:tc>
        <w:tc>
          <w:tcPr>
            <w:tcW w:w="4060" w:type="dxa"/>
            <w:vAlign w:val="center"/>
          </w:tcPr>
          <w:p w14:paraId="6B00536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对象存储预签名 URL、病毒扫描、大小限制。</w:t>
            </w:r>
          </w:p>
        </w:tc>
      </w:tr>
      <w:tr w14:paraId="1BBB381B">
        <w:tc>
          <w:tcPr>
            <w:tcW w:w="1700" w:type="dxa"/>
            <w:vAlign w:val="center"/>
          </w:tcPr>
          <w:p w14:paraId="62FE278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Workflow Engine</w:t>
            </w:r>
          </w:p>
        </w:tc>
        <w:tc>
          <w:tcPr>
            <w:tcW w:w="3600" w:type="dxa"/>
            <w:vAlign w:val="center"/>
          </w:tcPr>
          <w:p w14:paraId="63DE26C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高代码节点编排、输入输出、重试、灰度、回滚。</w:t>
            </w:r>
          </w:p>
        </w:tc>
        <w:tc>
          <w:tcPr>
            <w:tcW w:w="4060" w:type="dxa"/>
            <w:vAlign w:val="center"/>
          </w:tcPr>
          <w:p w14:paraId="0CB4F64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JSON/YAML 配置或后台表单；节点版本化。</w:t>
            </w:r>
          </w:p>
        </w:tc>
      </w:tr>
      <w:tr w14:paraId="677E4D54">
        <w:tc>
          <w:tcPr>
            <w:tcW w:w="1700" w:type="dxa"/>
            <w:vAlign w:val="center"/>
          </w:tcPr>
          <w:p w14:paraId="42C8244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Worker Pool</w:t>
            </w:r>
          </w:p>
        </w:tc>
        <w:tc>
          <w:tcPr>
            <w:tcW w:w="3600" w:type="dxa"/>
            <w:vAlign w:val="center"/>
          </w:tcPr>
          <w:p w14:paraId="2A42C5C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文件解析、OCR、知识检索、模型调用、结果组装。</w:t>
            </w:r>
          </w:p>
        </w:tc>
        <w:tc>
          <w:tcPr>
            <w:tcW w:w="4060" w:type="dxa"/>
            <w:vAlign w:val="center"/>
          </w:tcPr>
          <w:p w14:paraId="7AECB75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BullMQ/Redis、并发池、优先级队列、超时和重试。</w:t>
            </w:r>
          </w:p>
        </w:tc>
      </w:tr>
      <w:tr w14:paraId="35D5F78D">
        <w:tc>
          <w:tcPr>
            <w:tcW w:w="1700" w:type="dxa"/>
            <w:vAlign w:val="center"/>
          </w:tcPr>
          <w:p w14:paraId="2C887FD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Model Gateway</w:t>
            </w:r>
          </w:p>
        </w:tc>
        <w:tc>
          <w:tcPr>
            <w:tcW w:w="3600" w:type="dxa"/>
            <w:vAlign w:val="center"/>
          </w:tcPr>
          <w:p w14:paraId="2446739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统一模型供应商、token 预算、流式输出、熔断和成本统计。</w:t>
            </w:r>
          </w:p>
        </w:tc>
        <w:tc>
          <w:tcPr>
            <w:tcW w:w="4060" w:type="dxa"/>
            <w:vAlign w:val="center"/>
          </w:tcPr>
          <w:p w14:paraId="0C67C53E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Provider adapter、circuit breaker、usage records。</w:t>
            </w:r>
          </w:p>
        </w:tc>
      </w:tr>
      <w:tr w14:paraId="33BB2D45">
        <w:tc>
          <w:tcPr>
            <w:tcW w:w="1700" w:type="dxa"/>
            <w:vAlign w:val="center"/>
          </w:tcPr>
          <w:p w14:paraId="7E7B72A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Knowledge Service</w:t>
            </w:r>
          </w:p>
        </w:tc>
        <w:tc>
          <w:tcPr>
            <w:tcW w:w="3600" w:type="dxa"/>
            <w:vAlign w:val="center"/>
          </w:tcPr>
          <w:p w14:paraId="4F1BF69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模板、规则、向量检索、版本和权限。</w:t>
            </w:r>
          </w:p>
        </w:tc>
        <w:tc>
          <w:tcPr>
            <w:tcW w:w="4060" w:type="dxa"/>
            <w:vAlign w:val="center"/>
          </w:tcPr>
          <w:p w14:paraId="10B6AC6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PostgreSQL/MongoDB + vector index/ES；缓存热门模板。</w:t>
            </w:r>
          </w:p>
        </w:tc>
      </w:tr>
      <w:tr w14:paraId="7C703EC6">
        <w:tc>
          <w:tcPr>
            <w:tcW w:w="1700" w:type="dxa"/>
            <w:vAlign w:val="center"/>
          </w:tcPr>
          <w:p w14:paraId="2D4C5596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Observability</w:t>
            </w:r>
          </w:p>
        </w:tc>
        <w:tc>
          <w:tcPr>
            <w:tcW w:w="3600" w:type="dxa"/>
            <w:vAlign w:val="center"/>
          </w:tcPr>
          <w:p w14:paraId="7E24429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日志、指标、链路、告警、业务看板。</w:t>
            </w:r>
          </w:p>
        </w:tc>
        <w:tc>
          <w:tcPr>
            <w:tcW w:w="4060" w:type="dxa"/>
            <w:vAlign w:val="center"/>
          </w:tcPr>
          <w:p w14:paraId="3CB53E7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7"/>
              </w:rPr>
              <w:t>OpenTelemetry、结构化日志、Prometheus/Grafana 或云监控。</w:t>
            </w:r>
          </w:p>
        </w:tc>
      </w:tr>
    </w:tbl>
    <w:p w14:paraId="0202A195">
      <w:pPr>
        <w:spacing w:after="60"/>
      </w:pPr>
    </w:p>
    <w:p w14:paraId="76ACF5BF">
      <w:pPr>
        <w:pStyle w:val="3"/>
      </w:pPr>
      <w:r>
        <w:t>8. Proposed API Contracts</w:t>
      </w:r>
    </w:p>
    <w:p w14:paraId="268BBD60">
      <w:pPr>
        <w:pStyle w:val="4"/>
      </w:pPr>
      <w:r>
        <w:t>8.1 Task Creation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autofit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 w14:paraId="7E94B152">
        <w:tc>
          <w:tcPr>
            <w:tcW w:w="9360" w:type="dxa"/>
            <w:shd w:val="clear" w:color="auto" w:fill="F8FAFC"/>
            <w:vAlign w:val="center"/>
          </w:tcPr>
          <w:p w14:paraId="0FF3A7FA">
            <w:r>
              <w:rPr>
                <w:rFonts w:ascii="Consolas" w:hAnsi="Consolas" w:eastAsia="Hiragino Sans GB"/>
                <w:color w:val="374151"/>
                <w:sz w:val="18"/>
              </w:rPr>
              <w:t>POST /api/tasks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Content-Type: multipart/form-data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fields: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productId: contract-rewrite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instruction: string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files[]: binary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response 202: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{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"taskId": "tsk_xxx",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"status": "queued",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"progressUrl": "/api/tasks/tsk_xxx/events",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"resultUrl": "/api/tasks/tsk_xxx/result"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}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</w:p>
        </w:tc>
      </w:tr>
    </w:tbl>
    <w:p w14:paraId="56E29927">
      <w:pPr>
        <w:spacing w:after="40"/>
      </w:pPr>
    </w:p>
    <w:p w14:paraId="0577C064">
      <w:pPr>
        <w:pStyle w:val="4"/>
      </w:pPr>
      <w:r>
        <w:t xml:space="preserve">8.2 </w:t>
      </w:r>
      <w:bookmarkStart w:id="0" w:name="_GoBack"/>
      <w:r>
        <w:t>Progress Stream</w:t>
      </w:r>
    </w:p>
    <w:bookmarkEnd w:id="0"/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autofit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 w14:paraId="40CAF088">
        <w:tc>
          <w:tcPr>
            <w:tcW w:w="9360" w:type="dxa"/>
            <w:shd w:val="clear" w:color="auto" w:fill="F8FAFC"/>
            <w:vAlign w:val="center"/>
          </w:tcPr>
          <w:p w14:paraId="4A785F4D">
            <w:r>
              <w:rPr>
                <w:rFonts w:ascii="Consolas" w:hAnsi="Consolas" w:eastAsia="Hiragino Sans GB"/>
                <w:color w:val="374151"/>
                <w:sz w:val="18"/>
              </w:rPr>
              <w:t>GET /api/tasks/{taskId}/events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Accept: text/event-stream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event: task.stage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data: {"stage":"analysis","status":"running","message":"正在分析合同结构"}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event: task.delta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data: {"section":"review","seq":42,"content":"..."}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event: task.done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data: {"status":"succeeded","resultUrl":"/api/tasks/tsk_xxx/result"}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</w:p>
        </w:tc>
      </w:tr>
    </w:tbl>
    <w:p w14:paraId="0EA7AD7B">
      <w:pPr>
        <w:spacing w:after="40"/>
      </w:pPr>
    </w:p>
    <w:p w14:paraId="1BD9C3EF">
      <w:pPr>
        <w:pStyle w:val="4"/>
      </w:pPr>
      <w:r>
        <w:t>8.3 Result Query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autofit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 w14:paraId="352336F0">
        <w:tc>
          <w:tcPr>
            <w:tcW w:w="9360" w:type="dxa"/>
            <w:shd w:val="clear" w:color="auto" w:fill="F8FAFC"/>
            <w:vAlign w:val="center"/>
          </w:tcPr>
          <w:p w14:paraId="5BE01CA8">
            <w:r>
              <w:rPr>
                <w:rFonts w:ascii="Consolas" w:hAnsi="Consolas" w:eastAsia="Hiragino Sans GB"/>
                <w:color w:val="374151"/>
                <w:sz w:val="18"/>
              </w:rPr>
              <w:t>GET /api/tasks/{taskId}/result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>response 200: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{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"taskId": "tsk_xxx",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"productId": "contract-rewrite",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"status": "succeeded",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"sections": [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  {"type":"analysis","format":"markdown","content":"..."},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  {"type":"review","format":"markdown","content":"..."},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  {"type":"final_contract","format":"markdown","content":"..."}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],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  "disclaimer": "仅供参考，不替代律师或专业法律意见。"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  <w:r>
              <w:rPr>
                <w:rFonts w:ascii="Consolas" w:hAnsi="Consolas" w:eastAsia="Hiragino Sans GB"/>
                <w:color w:val="374151"/>
                <w:sz w:val="18"/>
              </w:rPr>
              <w:t xml:space="preserve">  }</w:t>
            </w:r>
            <w:r>
              <w:rPr>
                <w:rFonts w:ascii="Consolas" w:hAnsi="Consolas" w:eastAsia="Hiragino Sans GB"/>
                <w:color w:val="374151"/>
                <w:sz w:val="18"/>
              </w:rPr>
              <w:br w:type="textWrapping"/>
            </w:r>
          </w:p>
        </w:tc>
      </w:tr>
    </w:tbl>
    <w:p w14:paraId="2F80684B">
      <w:pPr>
        <w:spacing w:after="40"/>
      </w:pPr>
    </w:p>
    <w:p w14:paraId="75C3DA2A">
      <w:pPr>
        <w:pStyle w:val="3"/>
      </w:pPr>
      <w:r>
        <w:t>9. Detailed Improvement Plan</w:t>
      </w:r>
    </w:p>
    <w:p w14:paraId="0781A15B">
      <w:pPr>
        <w:pStyle w:val="4"/>
      </w:pPr>
      <w:r>
        <w:t>9.1 Quick Fixes: 1-2 Weeks</w:t>
      </w:r>
    </w:p>
    <w:p w14:paraId="6B0A3D71">
      <w:pPr>
        <w:pStyle w:val="16"/>
      </w:pPr>
      <w:r>
        <w:rPr>
          <w:rFonts w:ascii="Calibri" w:hAnsi="Calibri" w:eastAsia="Hiragino Sans GB"/>
        </w:rPr>
        <w:t>前端流式输出批量刷新：把 chunk 暂存到 ref，每 80ms 或 requestAnimationFrame 合并一次 setResult。</w:t>
      </w:r>
    </w:p>
    <w:p w14:paraId="744FB8D4">
      <w:pPr>
        <w:pStyle w:val="16"/>
      </w:pPr>
      <w:r>
        <w:rPr>
          <w:rFonts w:ascii="Calibri" w:hAnsi="Calibri" w:eastAsia="Hiragino Sans GB"/>
        </w:rPr>
        <w:t>Markdown 渲染分片：按 analysis/review/rewrite 三个 section 存储，已完成 section 不再重复解析。</w:t>
      </w:r>
    </w:p>
    <w:p w14:paraId="5B44DBD0">
      <w:pPr>
        <w:pStyle w:val="16"/>
      </w:pPr>
      <w:r>
        <w:rPr>
          <w:rFonts w:ascii="Calibri" w:hAnsi="Calibri" w:eastAsia="Hiragino Sans GB"/>
        </w:rPr>
        <w:t>自动滚动节流：仅在用户位于底部时滚动，每 100-200ms 一次。</w:t>
      </w:r>
    </w:p>
    <w:p w14:paraId="2AD93E28">
      <w:pPr>
        <w:pStyle w:val="16"/>
      </w:pPr>
      <w:r>
        <w:rPr>
          <w:rFonts w:ascii="Calibri" w:hAnsi="Calibri" w:eastAsia="Hiragino Sans GB"/>
        </w:rPr>
        <w:t>上传限制双端一致：前后端统一单文件、总文件、数量和格式限制；增加错误码。</w:t>
      </w:r>
    </w:p>
    <w:p w14:paraId="2AE6D6EF">
      <w:pPr>
        <w:pStyle w:val="16"/>
      </w:pPr>
      <w:r>
        <w:rPr>
          <w:rFonts w:ascii="Calibri" w:hAnsi="Calibri" w:eastAsia="Hiragino Sans GB"/>
        </w:rPr>
        <w:t>SSE 心跳和 AbortController：服务端定期发送 heartbeat；前端支持取消任务或关闭连接。</w:t>
      </w:r>
    </w:p>
    <w:p w14:paraId="6A9FF938">
      <w:pPr>
        <w:pStyle w:val="16"/>
      </w:pPr>
      <w:r>
        <w:rPr>
          <w:rFonts w:ascii="Calibri" w:hAnsi="Calibri" w:eastAsia="Hiragino Sans GB"/>
        </w:rPr>
        <w:t>日志脱敏：确保错误日志不打印合同正文、身份证号、手机号和完整模型输入。</w:t>
      </w:r>
    </w:p>
    <w:p w14:paraId="694E5FB1">
      <w:pPr>
        <w:pStyle w:val="4"/>
      </w:pPr>
      <w:r>
        <w:t>9.2 Platformization: 1-2 Months</w:t>
      </w:r>
    </w:p>
    <w:p w14:paraId="007C97A2">
      <w:pPr>
        <w:pStyle w:val="16"/>
      </w:pPr>
      <w:r>
        <w:rPr>
          <w:rFonts w:ascii="Calibri" w:hAnsi="Calibri" w:eastAsia="Hiragino Sans GB"/>
        </w:rPr>
        <w:t>引入任务表、任务事件表、上传文件表、审计表和使用量表。</w:t>
      </w:r>
    </w:p>
    <w:p w14:paraId="5F5A34E0">
      <w:pPr>
        <w:pStyle w:val="16"/>
      </w:pPr>
      <w:r>
        <w:rPr>
          <w:rFonts w:ascii="Calibri" w:hAnsi="Calibri" w:eastAsia="Hiragino Sans GB"/>
        </w:rPr>
        <w:t>上传文件先落对象存储或临时文件服务，后端只保存 metadata 和 storage key。</w:t>
      </w:r>
    </w:p>
    <w:p w14:paraId="25C08EB5">
      <w:pPr>
        <w:pStyle w:val="16"/>
      </w:pPr>
      <w:r>
        <w:rPr>
          <w:rFonts w:ascii="Calibri" w:hAnsi="Calibri" w:eastAsia="Hiragino Sans GB"/>
        </w:rPr>
        <w:t>引入 Redis 队列与 Worker，把解析、OCR 和模型调用移出 Web 请求。</w:t>
      </w:r>
    </w:p>
    <w:p w14:paraId="5C281690">
      <w:pPr>
        <w:pStyle w:val="16"/>
      </w:pPr>
      <w:r>
        <w:rPr>
          <w:rFonts w:ascii="Calibri" w:hAnsi="Calibri" w:eastAsia="Hiragino Sans GB"/>
        </w:rPr>
        <w:t>建立模型网关：统一 timeout、retry、rate limit、token budget、cost logging 和 fallback。</w:t>
      </w:r>
    </w:p>
    <w:p w14:paraId="309BECB3">
      <w:pPr>
        <w:pStyle w:val="16"/>
      </w:pPr>
      <w:r>
        <w:rPr>
          <w:rFonts w:ascii="Calibri" w:hAnsi="Calibri" w:eastAsia="Hiragino Sans GB"/>
        </w:rPr>
        <w:t>为知识库增加版本、地区、来源、产品范围和审核状态。</w:t>
      </w:r>
    </w:p>
    <w:p w14:paraId="6FD90638">
      <w:pPr>
        <w:pStyle w:val="16"/>
      </w:pPr>
      <w:r>
        <w:t>第三方工作流路径已从用户可见入口和代码路径移除。</w:t>
      </w:r>
    </w:p>
    <w:p w14:paraId="7C8F0914">
      <w:pPr>
        <w:pStyle w:val="4"/>
      </w:pPr>
      <w:r>
        <w:t>9.3 Enterprise Readiness: 3-6 Months</w:t>
      </w:r>
    </w:p>
    <w:p w14:paraId="47704CDF">
      <w:pPr>
        <w:pStyle w:val="16"/>
      </w:pPr>
      <w:r>
        <w:rPr>
          <w:rFonts w:ascii="Calibri" w:hAnsi="Calibri" w:eastAsia="Hiragino Sans GB"/>
        </w:rPr>
        <w:t>企业租户、部门、成员、角色和 SSO。</w:t>
      </w:r>
    </w:p>
    <w:p w14:paraId="4724A8EC">
      <w:pPr>
        <w:pStyle w:val="16"/>
      </w:pPr>
      <w:r>
        <w:rPr>
          <w:rFonts w:ascii="Calibri" w:hAnsi="Calibri" w:eastAsia="Hiragino Sans GB"/>
        </w:rPr>
        <w:t>私有知识库、企业模板库、规则库和产品级权限。</w:t>
      </w:r>
    </w:p>
    <w:p w14:paraId="3AF5D77A">
      <w:pPr>
        <w:pStyle w:val="16"/>
      </w:pPr>
      <w:r>
        <w:rPr>
          <w:rFonts w:ascii="Calibri" w:hAnsi="Calibri" w:eastAsia="Hiragino Sans GB"/>
        </w:rPr>
        <w:t>工作流灰度、回滚、质量评测集和上线审批。</w:t>
      </w:r>
    </w:p>
    <w:p w14:paraId="239E4ADE">
      <w:pPr>
        <w:pStyle w:val="16"/>
      </w:pPr>
      <w:r>
        <w:rPr>
          <w:rFonts w:ascii="Calibri" w:hAnsi="Calibri" w:eastAsia="Hiragino Sans GB"/>
        </w:rPr>
        <w:t>完善审计、备份、数据保留、文件加密和安全扫描。</w:t>
      </w:r>
    </w:p>
    <w:p w14:paraId="3DFFD813">
      <w:pPr>
        <w:pStyle w:val="16"/>
      </w:pPr>
      <w:r>
        <w:rPr>
          <w:rFonts w:ascii="Calibri" w:hAnsi="Calibri" w:eastAsia="Hiragino Sans GB"/>
        </w:rPr>
        <w:t>构建高并发容量模型：按 Web、API、Queue、Worker、Model Provider 分别压测。</w:t>
      </w:r>
    </w:p>
    <w:p w14:paraId="75E57B39">
      <w:pPr>
        <w:pStyle w:val="3"/>
      </w:pPr>
      <w:r>
        <w:t>10. Testing and Verification Strategy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7560"/>
      </w:tblGrid>
      <w:tr w14:paraId="69D0DEEB">
        <w:trPr>
          <w:tblHeader/>
        </w:trPr>
        <w:tc>
          <w:tcPr>
            <w:tcW w:w="1800" w:type="dxa"/>
            <w:shd w:val="clear" w:color="auto" w:fill="F2F4F7"/>
            <w:vAlign w:val="center"/>
          </w:tcPr>
          <w:p w14:paraId="3C63D1C8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测试类型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00AFC47B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建议覆盖</w:t>
            </w:r>
          </w:p>
        </w:tc>
      </w:tr>
      <w:tr w14:paraId="4EFD7087">
        <w:tc>
          <w:tcPr>
            <w:tcW w:w="1800" w:type="dxa"/>
            <w:vAlign w:val="center"/>
          </w:tcPr>
          <w:p w14:paraId="1D26294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单元测试</w:t>
            </w:r>
          </w:p>
        </w:tc>
        <w:tc>
          <w:tcPr>
            <w:tcW w:w="7560" w:type="dxa"/>
            <w:vAlign w:val="center"/>
          </w:tcPr>
          <w:p w14:paraId="751DBD9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文件类型识别、FTS query 构造、SSE event parser、Markdown 分片解析、任务状态机。</w:t>
            </w:r>
          </w:p>
        </w:tc>
      </w:tr>
      <w:tr w14:paraId="5AE9CD80">
        <w:tc>
          <w:tcPr>
            <w:tcW w:w="1800" w:type="dxa"/>
            <w:vAlign w:val="center"/>
          </w:tcPr>
          <w:p w14:paraId="5BF82E8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集成测试</w:t>
            </w:r>
          </w:p>
        </w:tc>
        <w:tc>
          <w:tcPr>
            <w:tcW w:w="7560" w:type="dxa"/>
            <w:vAlign w:val="center"/>
          </w:tcPr>
          <w:p w14:paraId="5DE7FF51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POST /api/contract-rewrite 或新 /api/tasks，mock 模型网关，验证阶段事件顺序和错误分支。</w:t>
            </w:r>
          </w:p>
        </w:tc>
      </w:tr>
      <w:tr w14:paraId="6832562F">
        <w:tc>
          <w:tcPr>
            <w:tcW w:w="1800" w:type="dxa"/>
            <w:vAlign w:val="center"/>
          </w:tcPr>
          <w:p w14:paraId="1ADD687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E2E 测试</w:t>
            </w:r>
          </w:p>
        </w:tc>
        <w:tc>
          <w:tcPr>
            <w:tcW w:w="7560" w:type="dxa"/>
            <w:vAlign w:val="center"/>
          </w:tcPr>
          <w:p w14:paraId="51EE525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上传合同、输入指令、看到阶段进度、得到最终结果、复制文本、刷新后查询历史。</w:t>
            </w:r>
          </w:p>
        </w:tc>
      </w:tr>
      <w:tr w14:paraId="6837F12F">
        <w:tc>
          <w:tcPr>
            <w:tcW w:w="1800" w:type="dxa"/>
            <w:vAlign w:val="center"/>
          </w:tcPr>
          <w:p w14:paraId="2A1FA30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性能测试</w:t>
            </w:r>
          </w:p>
        </w:tc>
        <w:tc>
          <w:tcPr>
            <w:tcW w:w="7560" w:type="dxa"/>
            <w:vAlign w:val="center"/>
          </w:tcPr>
          <w:p w14:paraId="154C84D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20/50/100 并发任务提交、长 SSE 连接、OCR 并发、文件上传内存、队列背压。</w:t>
            </w:r>
          </w:p>
        </w:tc>
      </w:tr>
      <w:tr w14:paraId="739C95C6">
        <w:tc>
          <w:tcPr>
            <w:tcW w:w="1800" w:type="dxa"/>
            <w:vAlign w:val="center"/>
          </w:tcPr>
          <w:p w14:paraId="1D06BB42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安全测试</w:t>
            </w:r>
          </w:p>
        </w:tc>
        <w:tc>
          <w:tcPr>
            <w:tcW w:w="7560" w:type="dxa"/>
            <w:vAlign w:val="center"/>
          </w:tcPr>
          <w:p w14:paraId="20EFAAF5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未登录访问、越权访问、文件 URL 权限、日志敏感信息、环境变量暴露。</w:t>
            </w:r>
          </w:p>
        </w:tc>
      </w:tr>
      <w:tr w14:paraId="7286AF41">
        <w:tc>
          <w:tcPr>
            <w:tcW w:w="1800" w:type="dxa"/>
            <w:vAlign w:val="center"/>
          </w:tcPr>
          <w:p w14:paraId="4E8DCF3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AI 质量评测</w:t>
            </w:r>
          </w:p>
        </w:tc>
        <w:tc>
          <w:tcPr>
            <w:tcW w:w="7560" w:type="dxa"/>
            <w:vAlign w:val="center"/>
          </w:tcPr>
          <w:p w14:paraId="175EE13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不同合同类型样例集，检查风险召回、误报、条款定位、免责声明和最终文本可用性。</w:t>
            </w:r>
          </w:p>
        </w:tc>
      </w:tr>
    </w:tbl>
    <w:p w14:paraId="79DDAD7D">
      <w:pPr>
        <w:spacing w:after="60"/>
      </w:pPr>
    </w:p>
    <w:p w14:paraId="14EA56ED">
      <w:pPr>
        <w:pStyle w:val="3"/>
      </w:pPr>
      <w:r>
        <w:t>11. Deployment Notes</w:t>
      </w:r>
    </w:p>
    <w:p w14:paraId="62E3F6DE">
      <w:pPr>
        <w:pStyle w:val="16"/>
      </w:pPr>
      <w:r>
        <w:t>当前开发命令包括 npm run dev、npm run server、npm run import:templates。生产应拆分 Web/API/Worker 镜像或进程。</w:t>
      </w:r>
    </w:p>
    <w:p w14:paraId="36C302E4">
      <w:pPr>
        <w:pStyle w:val="16"/>
      </w:pPr>
      <w:r>
        <w:rPr>
          <w:rFonts w:ascii="Calibri" w:hAnsi="Calibri" w:eastAsia="Hiragino Sans GB"/>
        </w:rPr>
        <w:t>Vite build 已配置 react-vendor、framer-motion、icons 手动分包，后续应继续按页面懒加载合同改写和后台管理。</w:t>
      </w:r>
    </w:p>
    <w:p w14:paraId="715D6AB0">
      <w:pPr>
        <w:pStyle w:val="16"/>
      </w:pPr>
      <w:r>
        <w:t>模型密钥、对象存储密钥、管理员密钥必须只存在后端环境变量或密钥管理系统。</w:t>
      </w:r>
    </w:p>
    <w:p w14:paraId="1008AED0">
      <w:pPr>
        <w:pStyle w:val="16"/>
      </w:pPr>
      <w:r>
        <w:rPr>
          <w:rFonts w:ascii="Calibri" w:hAnsi="Calibri" w:eastAsia="Hiragino Sans GB"/>
        </w:rPr>
        <w:t>健康检查应区分进程存活、数据库可用、队列可消费、模型网关可用、知识库可检索。</w:t>
      </w:r>
    </w:p>
    <w:p w14:paraId="2901344D">
      <w:pPr>
        <w:pStyle w:val="16"/>
      </w:pPr>
      <w:r>
        <w:rPr>
          <w:rFonts w:ascii="Calibri" w:hAnsi="Calibri" w:eastAsia="Hiragino Sans GB"/>
        </w:rPr>
        <w:t>上线前必须通过最小压测：非 AI API、任务创建、任务事件流、文件解析、模型 mock、真实模型小流量。</w:t>
      </w:r>
    </w:p>
    <w:p w14:paraId="204BE7CF">
      <w:pPr>
        <w:pStyle w:val="3"/>
      </w:pPr>
      <w:r>
        <w:t>12. Open Decisions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2700"/>
        <w:gridCol w:w="4760"/>
      </w:tblGrid>
      <w:tr w14:paraId="30BBEB4F">
        <w:trPr>
          <w:tblHeader/>
        </w:trPr>
        <w:tc>
          <w:tcPr>
            <w:tcW w:w="1900" w:type="dxa"/>
            <w:shd w:val="clear" w:color="auto" w:fill="F2F4F7"/>
            <w:vAlign w:val="center"/>
          </w:tcPr>
          <w:p w14:paraId="5BECC6DB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决策项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4E4DB6EA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选项</w:t>
            </w:r>
          </w:p>
        </w:tc>
        <w:tc>
          <w:tcPr>
            <w:tcW w:w="4760" w:type="dxa"/>
            <w:shd w:val="clear" w:color="auto" w:fill="F2F4F7"/>
            <w:vAlign w:val="center"/>
          </w:tcPr>
          <w:p w14:paraId="414B007B">
            <w:pPr>
              <w:pStyle w:val="168"/>
            </w:pPr>
            <w:r>
              <w:rPr>
                <w:rFonts w:ascii="Calibri" w:hAnsi="Calibri" w:eastAsia="Hiragino Sans GB"/>
                <w:b/>
                <w:color w:val="172033"/>
                <w:sz w:val="18"/>
              </w:rPr>
              <w:t>建议</w:t>
            </w:r>
          </w:p>
        </w:tc>
      </w:tr>
      <w:tr w14:paraId="082E1D90">
        <w:tc>
          <w:tcPr>
            <w:tcW w:w="1900" w:type="dxa"/>
            <w:vAlign w:val="center"/>
          </w:tcPr>
          <w:p w14:paraId="01F0385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主业务数据库</w:t>
            </w:r>
          </w:p>
        </w:tc>
        <w:tc>
          <w:tcPr>
            <w:tcW w:w="2700" w:type="dxa"/>
            <w:vAlign w:val="center"/>
          </w:tcPr>
          <w:p w14:paraId="3315D613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PostgreSQL / MongoDB</w:t>
            </w:r>
          </w:p>
        </w:tc>
        <w:tc>
          <w:tcPr>
            <w:tcW w:w="4760" w:type="dxa"/>
            <w:vAlign w:val="center"/>
          </w:tcPr>
          <w:p w14:paraId="35A1F634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若重视事务、报表和约束，选 PostgreSQL；若工作流与结果文档高度半结构化，可选 MongoDB。</w:t>
            </w:r>
          </w:p>
        </w:tc>
      </w:tr>
      <w:tr w14:paraId="3AEDC852">
        <w:tc>
          <w:tcPr>
            <w:tcW w:w="1900" w:type="dxa"/>
            <w:vAlign w:val="center"/>
          </w:tcPr>
          <w:p w14:paraId="3058C2B8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队列</w:t>
            </w:r>
          </w:p>
        </w:tc>
        <w:tc>
          <w:tcPr>
            <w:tcW w:w="2700" w:type="dxa"/>
            <w:vAlign w:val="center"/>
          </w:tcPr>
          <w:p w14:paraId="6376715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BullMQ / RabbitMQ / 云队列</w:t>
            </w:r>
          </w:p>
        </w:tc>
        <w:tc>
          <w:tcPr>
            <w:tcW w:w="4760" w:type="dxa"/>
            <w:vAlign w:val="center"/>
          </w:tcPr>
          <w:p w14:paraId="0FEF533C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Node 技术栈优先 BullMQ + Redis，后续按规模替换。</w:t>
            </w:r>
          </w:p>
        </w:tc>
      </w:tr>
      <w:tr w14:paraId="414189AB">
        <w:tc>
          <w:tcPr>
            <w:tcW w:w="1900" w:type="dxa"/>
            <w:vAlign w:val="center"/>
          </w:tcPr>
          <w:p w14:paraId="2CEE70AF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知识检索</w:t>
            </w:r>
          </w:p>
        </w:tc>
        <w:tc>
          <w:tcPr>
            <w:tcW w:w="2700" w:type="dxa"/>
            <w:vAlign w:val="center"/>
          </w:tcPr>
          <w:p w14:paraId="6795C91A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FTS5 / PostgreSQL FTS / Elasticsearch / 向量库</w:t>
            </w:r>
          </w:p>
        </w:tc>
        <w:tc>
          <w:tcPr>
            <w:tcW w:w="4760" w:type="dxa"/>
            <w:vAlign w:val="center"/>
          </w:tcPr>
          <w:p w14:paraId="29FECE85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MVP 可 PostgreSQL FTS + 标签；Growth 增加向量检索。</w:t>
            </w:r>
          </w:p>
        </w:tc>
      </w:tr>
      <w:tr w14:paraId="2EA82F3D">
        <w:tc>
          <w:tcPr>
            <w:tcW w:w="1900" w:type="dxa"/>
            <w:vAlign w:val="center"/>
          </w:tcPr>
          <w:p w14:paraId="215BDE1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结果格式</w:t>
            </w:r>
          </w:p>
        </w:tc>
        <w:tc>
          <w:tcPr>
            <w:tcW w:w="2700" w:type="dxa"/>
            <w:vAlign w:val="center"/>
          </w:tcPr>
          <w:p w14:paraId="3F6D436D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Markdown / JSON schema / 混合</w:t>
            </w:r>
          </w:p>
        </w:tc>
        <w:tc>
          <w:tcPr>
            <w:tcW w:w="4760" w:type="dxa"/>
            <w:vAlign w:val="center"/>
          </w:tcPr>
          <w:p w14:paraId="78DF3937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模型输出结构化 JSON，前端可渲染为 Markdown/表格/卡片，原始 Markdown 作为兜底。</w:t>
            </w:r>
          </w:p>
        </w:tc>
      </w:tr>
      <w:tr w14:paraId="1612EA2E">
        <w:tc>
          <w:tcPr>
            <w:tcW w:w="1900" w:type="dxa"/>
            <w:vAlign w:val="center"/>
          </w:tcPr>
          <w:p w14:paraId="7B980604">
            <w:pPr>
              <w:pStyle w:val="167"/>
              <w:spacing w:after="40"/>
            </w:pPr>
            <w:r>
              <w:t>第三方工作流迁移（已完成移除）</w:t>
            </w:r>
          </w:p>
        </w:tc>
        <w:tc>
          <w:tcPr>
            <w:tcW w:w="2700" w:type="dxa"/>
            <w:vAlign w:val="center"/>
          </w:tcPr>
          <w:p w14:paraId="73295BDB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保留用户开关 / 内部开关 / 删除</w:t>
            </w:r>
          </w:p>
        </w:tc>
        <w:tc>
          <w:tcPr>
            <w:tcW w:w="4760" w:type="dxa"/>
            <w:vAlign w:val="center"/>
          </w:tcPr>
          <w:p w14:paraId="2E1DD019">
            <w:pPr>
              <w:pStyle w:val="167"/>
              <w:spacing w:after="40"/>
            </w:pPr>
            <w:r>
              <w:rPr>
                <w:rFonts w:ascii="Calibri" w:hAnsi="Calibri" w:eastAsia="Hiragino Sans GB"/>
                <w:sz w:val="18"/>
              </w:rPr>
              <w:t>用户侧隐藏，内部保留灰度对照，稳定后删除生产依赖。</w:t>
            </w:r>
          </w:p>
        </w:tc>
      </w:tr>
    </w:tbl>
    <w:p w14:paraId="14D65711">
      <w:pPr>
        <w:spacing w:after="6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93B65">
    <w:pPr>
      <w:pStyle w:val="24"/>
      <w:jc w:val="center"/>
    </w:pPr>
    <w:r>
      <w:rPr>
        <w:rFonts w:ascii="Calibri" w:hAnsi="Calibri" w:eastAsia="Hiragino Sans GB"/>
        <w:color w:val="667085"/>
        <w:sz w:val="18"/>
      </w:rPr>
      <w:t>内部产品与技术资料 | AI 输出仅供业务与研发评审，不替代正式法律意见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F3808">
    <w:pPr>
      <w:pStyle w:val="25"/>
      <w:pBdr>
        <w:bottom w:val="single" w:color="D9E2EC" w:sz="4" w:space="4"/>
      </w:pBdr>
      <w:jc w:val="right"/>
    </w:pPr>
    <w:r>
      <w:rPr>
        <w:rFonts w:ascii="Calibri" w:hAnsi="Calibri" w:eastAsia="Hiragino Sans GB"/>
        <w:color w:val="667085"/>
        <w:sz w:val="18"/>
      </w:rPr>
      <w:t>法飞飞 AI | Technical Architecture Document | 2026-06-27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3FD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Hiragino Sans GB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160" w:line="280" w:lineRule="auto"/>
      <w:contextualSpacing/>
    </w:pPr>
    <w:rPr>
      <w:rFonts w:ascii="Calibri" w:hAnsi="Calibri" w:eastAsia="Hiragino Sans GB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160" w:line="280" w:lineRule="auto"/>
      <w:contextualSpacing/>
    </w:pPr>
    <w:rPr>
      <w:rFonts w:ascii="Calibri" w:hAnsi="Calibri" w:eastAsia="Hiragino Sans GB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Meta"/>
    <w:uiPriority w:val="0"/>
    <w:pPr>
      <w:spacing w:before="0" w:after="80" w:line="264" w:lineRule="auto"/>
    </w:pPr>
    <w:rPr>
      <w:rFonts w:ascii="Calibri" w:hAnsi="Calibri" w:eastAsia="Hiragino Sans GB" w:cstheme="minorBidi"/>
      <w:color w:val="667085"/>
      <w:sz w:val="20"/>
      <w:szCs w:val="22"/>
      <w:lang w:val="en-US" w:eastAsia="en-US" w:bidi="ar-SA"/>
    </w:rPr>
  </w:style>
  <w:style w:type="paragraph" w:customStyle="1" w:styleId="165">
    <w:name w:val="SmallNote"/>
    <w:uiPriority w:val="0"/>
    <w:pPr>
      <w:spacing w:before="0" w:after="80" w:line="264" w:lineRule="auto"/>
    </w:pPr>
    <w:rPr>
      <w:rFonts w:ascii="Calibri" w:hAnsi="Calibri" w:eastAsia="Hiragino Sans GB" w:cstheme="minorBidi"/>
      <w:color w:val="667085"/>
      <w:sz w:val="19"/>
      <w:szCs w:val="22"/>
      <w:lang w:val="en-US" w:eastAsia="en-US" w:bidi="ar-SA"/>
    </w:rPr>
  </w:style>
  <w:style w:type="paragraph" w:customStyle="1" w:styleId="166">
    <w:name w:val="CalloutText"/>
    <w:uiPriority w:val="0"/>
    <w:pPr>
      <w:spacing w:before="0" w:after="80" w:line="264" w:lineRule="auto"/>
    </w:pPr>
    <w:rPr>
      <w:rFonts w:ascii="Calibri" w:hAnsi="Calibri" w:eastAsia="Hiragino Sans GB" w:cstheme="minorBidi"/>
      <w:color w:val="000000"/>
      <w:sz w:val="21"/>
      <w:szCs w:val="22"/>
      <w:lang w:val="en-US" w:eastAsia="en-US" w:bidi="ar-SA"/>
    </w:rPr>
  </w:style>
  <w:style w:type="paragraph" w:customStyle="1" w:styleId="167">
    <w:name w:val="TableBody"/>
    <w:uiPriority w:val="0"/>
    <w:pPr>
      <w:spacing w:before="0" w:after="80" w:line="264" w:lineRule="auto"/>
    </w:pPr>
    <w:rPr>
      <w:rFonts w:ascii="Calibri" w:hAnsi="Calibri" w:eastAsia="Hiragino Sans GB" w:cstheme="minorBidi"/>
      <w:color w:val="000000"/>
      <w:sz w:val="19"/>
      <w:szCs w:val="22"/>
      <w:lang w:val="en-US" w:eastAsia="en-US" w:bidi="ar-SA"/>
    </w:rPr>
  </w:style>
  <w:style w:type="paragraph" w:customStyle="1" w:styleId="168">
    <w:name w:val="TableHeader"/>
    <w:uiPriority w:val="0"/>
    <w:pPr>
      <w:spacing w:before="0" w:after="80" w:line="264" w:lineRule="auto"/>
    </w:pPr>
    <w:rPr>
      <w:rFonts w:ascii="Calibri" w:hAnsi="Calibri" w:eastAsia="Hiragino Sans GB" w:cstheme="minorBidi"/>
      <w:b/>
      <w:color w:val="172033"/>
      <w:sz w:val="19"/>
      <w:szCs w:val="22"/>
      <w:lang w:val="en-US" w:eastAsia="en-US" w:bidi="ar-SA"/>
    </w:rPr>
  </w:style>
  <w:style w:type="paragraph" w:customStyle="1" w:styleId="169">
    <w:name w:val="CodeLike"/>
    <w:uiPriority w:val="0"/>
    <w:pPr>
      <w:spacing w:before="0" w:after="80" w:line="264" w:lineRule="auto"/>
    </w:pPr>
    <w:rPr>
      <w:rFonts w:ascii="Calibri" w:hAnsi="Calibri" w:eastAsia="Hiragino Sans GB" w:cstheme="minorBidi"/>
      <w:color w:val="444444"/>
      <w:sz w:val="19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微信用户</cp:lastModifiedBy>
  <dcterms:modified xsi:type="dcterms:W3CDTF">2026-06-27T20:50:27Z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674C8A1AE95BE65513C73F6AFC46C390_42</vt:lpwstr>
  </property>
</Properties>
</file>