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D5C71">
      <w:pPr>
        <w:pStyle w:val="2"/>
        <w:spacing w:before="0" w:beforeAutospacing="0" w:after="0" w:afterAutospacing="0" w:line="360" w:lineRule="auto"/>
        <w:rPr>
          <w:rFonts w:ascii="宋体" w:hAnsi="宋体" w:cs="宋体"/>
        </w:rPr>
      </w:pPr>
      <w:bookmarkStart w:id="0" w:name="_GoBack"/>
      <w:bookmarkEnd w:id="0"/>
      <w:r>
        <w:rPr>
          <w:rFonts w:ascii="宋体" w:hAnsi="宋体" w:cs="宋体"/>
        </w:rPr>
        <w:t>买卖合同</w:t>
      </w:r>
    </w:p>
    <w:p w14:paraId="7C8D6EE6">
      <w:pPr>
        <w:pStyle w:val="4"/>
        <w:spacing w:before="0" w:beforeAutospacing="0" w:after="0" w:afterAutospacing="0" w:line="360" w:lineRule="auto"/>
        <w:rPr>
          <w:rFonts w:ascii="宋体" w:hAnsi="宋体" w:cs="宋体"/>
          <w:color w:val="000000"/>
        </w:rPr>
      </w:pPr>
      <w:r>
        <w:rPr>
          <w:rFonts w:ascii="宋体" w:hAnsi="宋体" w:cs="宋体"/>
          <w:b/>
          <w:color w:val="000000"/>
        </w:rPr>
        <w:t>甲方（买方）</w:t>
      </w:r>
    </w:p>
    <w:p w14:paraId="20E1F2B0">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27A0B3DB">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562DA9E5">
      <w:pPr>
        <w:pStyle w:val="4"/>
        <w:spacing w:before="0" w:beforeAutospacing="0" w:after="0" w:afterAutospacing="0" w:line="360" w:lineRule="auto"/>
        <w:rPr>
          <w:rFonts w:ascii="宋体" w:hAnsi="宋体" w:cs="宋体"/>
          <w:color w:val="000000"/>
        </w:rPr>
      </w:pPr>
      <w:r>
        <w:rPr>
          <w:rFonts w:ascii="宋体" w:hAnsi="宋体" w:cs="宋体"/>
          <w:b/>
          <w:color w:val="000000"/>
        </w:rPr>
        <w:t>乙方（卖方）</w:t>
      </w:r>
    </w:p>
    <w:p w14:paraId="100BDDF6">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483DD15B">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707D7B86">
      <w:pPr>
        <w:pStyle w:val="4"/>
        <w:spacing w:before="0" w:beforeAutospacing="0" w:after="0" w:afterAutospacing="0" w:line="360" w:lineRule="auto"/>
        <w:rPr>
          <w:rFonts w:ascii="宋体" w:hAnsi="宋体" w:cs="宋体"/>
          <w:color w:val="000000"/>
        </w:rPr>
      </w:pPr>
      <w:r>
        <w:rPr>
          <w:rFonts w:ascii="宋体" w:hAnsi="宋体" w:cs="宋体"/>
          <w:color w:val="000000"/>
        </w:rPr>
        <w:t>本合同各方经平等自愿协商，根据《中华人民共和国民法典》及相关法规，就商品买卖事宜，签订本合同以共同遵守。</w:t>
      </w:r>
    </w:p>
    <w:p w14:paraId="4AE8161C">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货物与价款</w:t>
      </w:r>
    </w:p>
    <w:p w14:paraId="156ACAD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货物信息与价款如下：</w:t>
      </w:r>
    </w:p>
    <w:tbl>
      <w:tblPr>
        <w:tblStyle w:val="5"/>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1357"/>
        <w:gridCol w:w="1385"/>
        <w:gridCol w:w="1357"/>
        <w:gridCol w:w="1412"/>
        <w:gridCol w:w="1412"/>
        <w:gridCol w:w="1358"/>
      </w:tblGrid>
      <w:tr w14:paraId="4F0D161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7A8FE6BE">
            <w:pPr>
              <w:pStyle w:val="4"/>
              <w:spacing w:before="0" w:beforeAutospacing="0" w:after="0" w:afterAutospacing="0" w:line="360" w:lineRule="auto"/>
              <w:rPr>
                <w:rFonts w:ascii="宋体" w:hAnsi="宋体" w:cs="宋体"/>
                <w:color w:val="000000"/>
              </w:rPr>
            </w:pPr>
            <w:r>
              <w:rPr>
                <w:rFonts w:ascii="宋体" w:hAnsi="宋体" w:cs="宋体"/>
                <w:color w:val="000000"/>
              </w:rPr>
              <w:t>货物名称</w:t>
            </w:r>
          </w:p>
        </w:tc>
        <w:tc>
          <w:tcPr>
            <w:tcW w:w="1500" w:type="dxa"/>
            <w:tcBorders>
              <w:top w:val="single" w:color="000000" w:sz="6" w:space="0"/>
              <w:left w:val="single" w:color="000000" w:sz="6" w:space="0"/>
              <w:bottom w:val="single" w:color="000000" w:sz="6" w:space="0"/>
              <w:right w:val="single" w:color="000000" w:sz="6" w:space="0"/>
            </w:tcBorders>
          </w:tcPr>
          <w:p w14:paraId="5262CE95">
            <w:pPr>
              <w:pStyle w:val="4"/>
              <w:spacing w:before="0" w:beforeAutospacing="0" w:after="0" w:afterAutospacing="0" w:line="360" w:lineRule="auto"/>
              <w:rPr>
                <w:rFonts w:ascii="宋体" w:hAnsi="宋体" w:cs="宋体"/>
                <w:color w:val="000000"/>
              </w:rPr>
            </w:pPr>
            <w:r>
              <w:rPr>
                <w:rFonts w:ascii="宋体" w:hAnsi="宋体" w:cs="宋体"/>
                <w:color w:val="000000"/>
              </w:rPr>
              <w:t>规格、产地等</w:t>
            </w:r>
          </w:p>
        </w:tc>
        <w:tc>
          <w:tcPr>
            <w:tcW w:w="1500" w:type="dxa"/>
            <w:tcBorders>
              <w:top w:val="single" w:color="000000" w:sz="6" w:space="0"/>
              <w:left w:val="single" w:color="000000" w:sz="6" w:space="0"/>
              <w:bottom w:val="single" w:color="000000" w:sz="6" w:space="0"/>
              <w:right w:val="single" w:color="000000" w:sz="6" w:space="0"/>
            </w:tcBorders>
          </w:tcPr>
          <w:p w14:paraId="5946ED92">
            <w:pPr>
              <w:pStyle w:val="4"/>
              <w:spacing w:before="0" w:beforeAutospacing="0" w:after="0" w:afterAutospacing="0" w:line="360" w:lineRule="auto"/>
              <w:rPr>
                <w:rFonts w:ascii="宋体" w:hAnsi="宋体" w:cs="宋体"/>
                <w:color w:val="000000"/>
              </w:rPr>
            </w:pPr>
            <w:r>
              <w:rPr>
                <w:rFonts w:ascii="宋体" w:hAnsi="宋体" w:cs="宋体"/>
                <w:color w:val="000000"/>
              </w:rPr>
              <w:t>数量</w:t>
            </w:r>
          </w:p>
        </w:tc>
        <w:tc>
          <w:tcPr>
            <w:tcW w:w="1500" w:type="dxa"/>
            <w:tcBorders>
              <w:top w:val="single" w:color="000000" w:sz="6" w:space="0"/>
              <w:left w:val="single" w:color="000000" w:sz="6" w:space="0"/>
              <w:bottom w:val="single" w:color="000000" w:sz="6" w:space="0"/>
              <w:right w:val="single" w:color="000000" w:sz="6" w:space="0"/>
            </w:tcBorders>
          </w:tcPr>
          <w:p w14:paraId="0C9AE3FA">
            <w:pPr>
              <w:pStyle w:val="4"/>
              <w:spacing w:before="0" w:beforeAutospacing="0" w:after="0" w:afterAutospacing="0" w:line="360" w:lineRule="auto"/>
              <w:rPr>
                <w:rFonts w:ascii="宋体" w:hAnsi="宋体" w:cs="宋体"/>
                <w:color w:val="000000"/>
              </w:rPr>
            </w:pPr>
            <w:r>
              <w:rPr>
                <w:rFonts w:ascii="宋体" w:hAnsi="宋体" w:cs="宋体"/>
                <w:color w:val="000000"/>
              </w:rPr>
              <w:t>单价（元）</w:t>
            </w:r>
          </w:p>
        </w:tc>
        <w:tc>
          <w:tcPr>
            <w:tcW w:w="1500" w:type="dxa"/>
            <w:tcBorders>
              <w:top w:val="single" w:color="000000" w:sz="6" w:space="0"/>
              <w:left w:val="single" w:color="000000" w:sz="6" w:space="0"/>
              <w:bottom w:val="single" w:color="000000" w:sz="6" w:space="0"/>
              <w:right w:val="single" w:color="000000" w:sz="6" w:space="0"/>
            </w:tcBorders>
          </w:tcPr>
          <w:p w14:paraId="6BC6C0DD">
            <w:pPr>
              <w:pStyle w:val="4"/>
              <w:spacing w:before="0" w:beforeAutospacing="0" w:after="0" w:afterAutospacing="0" w:line="360" w:lineRule="auto"/>
              <w:rPr>
                <w:rFonts w:ascii="宋体" w:hAnsi="宋体" w:cs="宋体"/>
                <w:color w:val="000000"/>
              </w:rPr>
            </w:pPr>
            <w:r>
              <w:rPr>
                <w:rFonts w:ascii="宋体" w:hAnsi="宋体" w:cs="宋体"/>
                <w:color w:val="000000"/>
              </w:rPr>
              <w:t>总价（元）</w:t>
            </w:r>
          </w:p>
        </w:tc>
        <w:tc>
          <w:tcPr>
            <w:tcW w:w="1500" w:type="dxa"/>
            <w:tcBorders>
              <w:top w:val="single" w:color="000000" w:sz="6" w:space="0"/>
              <w:left w:val="single" w:color="000000" w:sz="6" w:space="0"/>
              <w:bottom w:val="single" w:color="000000" w:sz="6" w:space="0"/>
              <w:right w:val="single" w:color="000000" w:sz="6" w:space="0"/>
            </w:tcBorders>
          </w:tcPr>
          <w:p w14:paraId="656FAE3D">
            <w:pPr>
              <w:pStyle w:val="4"/>
              <w:spacing w:before="0" w:beforeAutospacing="0" w:after="0" w:afterAutospacing="0" w:line="360" w:lineRule="auto"/>
              <w:rPr>
                <w:rFonts w:ascii="宋体" w:hAnsi="宋体" w:cs="宋体"/>
                <w:color w:val="000000"/>
              </w:rPr>
            </w:pPr>
            <w:r>
              <w:rPr>
                <w:rFonts w:ascii="宋体" w:hAnsi="宋体" w:cs="宋体"/>
                <w:color w:val="000000"/>
              </w:rPr>
              <w:t>备注</w:t>
            </w:r>
          </w:p>
        </w:tc>
      </w:tr>
      <w:tr w14:paraId="74229E0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6E12F1A9"/>
        </w:tc>
        <w:tc>
          <w:tcPr>
            <w:tcW w:w="1500" w:type="dxa"/>
            <w:tcBorders>
              <w:top w:val="single" w:color="000000" w:sz="6" w:space="0"/>
              <w:left w:val="single" w:color="000000" w:sz="6" w:space="0"/>
              <w:bottom w:val="single" w:color="000000" w:sz="6" w:space="0"/>
              <w:right w:val="single" w:color="000000" w:sz="6" w:space="0"/>
            </w:tcBorders>
          </w:tcPr>
          <w:p w14:paraId="28A1FFFD"/>
        </w:tc>
        <w:tc>
          <w:tcPr>
            <w:tcW w:w="1500" w:type="dxa"/>
            <w:tcBorders>
              <w:top w:val="single" w:color="000000" w:sz="6" w:space="0"/>
              <w:left w:val="single" w:color="000000" w:sz="6" w:space="0"/>
              <w:bottom w:val="single" w:color="000000" w:sz="6" w:space="0"/>
              <w:right w:val="single" w:color="000000" w:sz="6" w:space="0"/>
            </w:tcBorders>
          </w:tcPr>
          <w:p w14:paraId="1DF04549"/>
        </w:tc>
        <w:tc>
          <w:tcPr>
            <w:tcW w:w="1500" w:type="dxa"/>
            <w:tcBorders>
              <w:top w:val="single" w:color="000000" w:sz="6" w:space="0"/>
              <w:left w:val="single" w:color="000000" w:sz="6" w:space="0"/>
              <w:bottom w:val="single" w:color="000000" w:sz="6" w:space="0"/>
              <w:right w:val="single" w:color="000000" w:sz="6" w:space="0"/>
            </w:tcBorders>
          </w:tcPr>
          <w:p w14:paraId="60B1A571"/>
        </w:tc>
        <w:tc>
          <w:tcPr>
            <w:tcW w:w="1500" w:type="dxa"/>
            <w:tcBorders>
              <w:top w:val="single" w:color="000000" w:sz="6" w:space="0"/>
              <w:left w:val="single" w:color="000000" w:sz="6" w:space="0"/>
              <w:bottom w:val="single" w:color="000000" w:sz="6" w:space="0"/>
              <w:right w:val="single" w:color="000000" w:sz="6" w:space="0"/>
            </w:tcBorders>
          </w:tcPr>
          <w:p w14:paraId="47101723"/>
        </w:tc>
        <w:tc>
          <w:tcPr>
            <w:tcW w:w="1500" w:type="dxa"/>
            <w:tcBorders>
              <w:top w:val="single" w:color="000000" w:sz="6" w:space="0"/>
              <w:left w:val="single" w:color="000000" w:sz="6" w:space="0"/>
              <w:bottom w:val="single" w:color="000000" w:sz="6" w:space="0"/>
              <w:right w:val="single" w:color="000000" w:sz="6" w:space="0"/>
            </w:tcBorders>
          </w:tcPr>
          <w:p w14:paraId="01BFADB3"/>
        </w:tc>
      </w:tr>
      <w:tr w14:paraId="012F8F5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55BD517F"/>
        </w:tc>
        <w:tc>
          <w:tcPr>
            <w:tcW w:w="1500" w:type="dxa"/>
            <w:tcBorders>
              <w:top w:val="single" w:color="000000" w:sz="6" w:space="0"/>
              <w:left w:val="single" w:color="000000" w:sz="6" w:space="0"/>
              <w:bottom w:val="single" w:color="000000" w:sz="6" w:space="0"/>
              <w:right w:val="single" w:color="000000" w:sz="6" w:space="0"/>
            </w:tcBorders>
          </w:tcPr>
          <w:p w14:paraId="7C7A6B0A"/>
        </w:tc>
        <w:tc>
          <w:tcPr>
            <w:tcW w:w="1500" w:type="dxa"/>
            <w:tcBorders>
              <w:top w:val="single" w:color="000000" w:sz="6" w:space="0"/>
              <w:left w:val="single" w:color="000000" w:sz="6" w:space="0"/>
              <w:bottom w:val="single" w:color="000000" w:sz="6" w:space="0"/>
              <w:right w:val="single" w:color="000000" w:sz="6" w:space="0"/>
            </w:tcBorders>
          </w:tcPr>
          <w:p w14:paraId="54CA345A"/>
        </w:tc>
        <w:tc>
          <w:tcPr>
            <w:tcW w:w="1500" w:type="dxa"/>
            <w:tcBorders>
              <w:top w:val="single" w:color="000000" w:sz="6" w:space="0"/>
              <w:left w:val="single" w:color="000000" w:sz="6" w:space="0"/>
              <w:bottom w:val="single" w:color="000000" w:sz="6" w:space="0"/>
              <w:right w:val="single" w:color="000000" w:sz="6" w:space="0"/>
            </w:tcBorders>
          </w:tcPr>
          <w:p w14:paraId="29BCD284"/>
        </w:tc>
        <w:tc>
          <w:tcPr>
            <w:tcW w:w="1500" w:type="dxa"/>
            <w:tcBorders>
              <w:top w:val="single" w:color="000000" w:sz="6" w:space="0"/>
              <w:left w:val="single" w:color="000000" w:sz="6" w:space="0"/>
              <w:bottom w:val="single" w:color="000000" w:sz="6" w:space="0"/>
              <w:right w:val="single" w:color="000000" w:sz="6" w:space="0"/>
            </w:tcBorders>
          </w:tcPr>
          <w:p w14:paraId="2D40FC3A"/>
        </w:tc>
        <w:tc>
          <w:tcPr>
            <w:tcW w:w="1500" w:type="dxa"/>
            <w:tcBorders>
              <w:top w:val="single" w:color="000000" w:sz="6" w:space="0"/>
              <w:left w:val="single" w:color="000000" w:sz="6" w:space="0"/>
              <w:bottom w:val="single" w:color="000000" w:sz="6" w:space="0"/>
              <w:right w:val="single" w:color="000000" w:sz="6" w:space="0"/>
            </w:tcBorders>
          </w:tcPr>
          <w:p w14:paraId="7C4F6A4E"/>
        </w:tc>
      </w:tr>
      <w:tr w14:paraId="06C7F9D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2732F1D1"/>
        </w:tc>
        <w:tc>
          <w:tcPr>
            <w:tcW w:w="1500" w:type="dxa"/>
            <w:tcBorders>
              <w:top w:val="single" w:color="000000" w:sz="6" w:space="0"/>
              <w:left w:val="single" w:color="000000" w:sz="6" w:space="0"/>
              <w:bottom w:val="single" w:color="000000" w:sz="6" w:space="0"/>
              <w:right w:val="single" w:color="000000" w:sz="6" w:space="0"/>
            </w:tcBorders>
          </w:tcPr>
          <w:p w14:paraId="621E7F82"/>
        </w:tc>
        <w:tc>
          <w:tcPr>
            <w:tcW w:w="1500" w:type="dxa"/>
            <w:tcBorders>
              <w:top w:val="single" w:color="000000" w:sz="6" w:space="0"/>
              <w:left w:val="single" w:color="000000" w:sz="6" w:space="0"/>
              <w:bottom w:val="single" w:color="000000" w:sz="6" w:space="0"/>
              <w:right w:val="single" w:color="000000" w:sz="6" w:space="0"/>
            </w:tcBorders>
          </w:tcPr>
          <w:p w14:paraId="6A096346"/>
        </w:tc>
        <w:tc>
          <w:tcPr>
            <w:tcW w:w="1500" w:type="dxa"/>
            <w:tcBorders>
              <w:top w:val="single" w:color="000000" w:sz="6" w:space="0"/>
              <w:left w:val="single" w:color="000000" w:sz="6" w:space="0"/>
              <w:bottom w:val="single" w:color="000000" w:sz="6" w:space="0"/>
              <w:right w:val="single" w:color="000000" w:sz="6" w:space="0"/>
            </w:tcBorders>
          </w:tcPr>
          <w:p w14:paraId="6D26E42D"/>
        </w:tc>
        <w:tc>
          <w:tcPr>
            <w:tcW w:w="1500" w:type="dxa"/>
            <w:tcBorders>
              <w:top w:val="single" w:color="000000" w:sz="6" w:space="0"/>
              <w:left w:val="single" w:color="000000" w:sz="6" w:space="0"/>
              <w:bottom w:val="single" w:color="000000" w:sz="6" w:space="0"/>
              <w:right w:val="single" w:color="000000" w:sz="6" w:space="0"/>
            </w:tcBorders>
          </w:tcPr>
          <w:p w14:paraId="19B7EC14"/>
        </w:tc>
        <w:tc>
          <w:tcPr>
            <w:tcW w:w="1500" w:type="dxa"/>
            <w:tcBorders>
              <w:top w:val="single" w:color="000000" w:sz="6" w:space="0"/>
              <w:left w:val="single" w:color="000000" w:sz="6" w:space="0"/>
              <w:bottom w:val="single" w:color="000000" w:sz="6" w:space="0"/>
              <w:right w:val="single" w:color="000000" w:sz="6" w:space="0"/>
            </w:tcBorders>
          </w:tcPr>
          <w:p w14:paraId="4A31BD86"/>
        </w:tc>
      </w:tr>
      <w:tr w14:paraId="1433E32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Pr>
          <w:p w14:paraId="64101066"/>
        </w:tc>
        <w:tc>
          <w:tcPr>
            <w:tcW w:w="1500" w:type="dxa"/>
            <w:tcBorders>
              <w:top w:val="single" w:color="000000" w:sz="6" w:space="0"/>
              <w:left w:val="single" w:color="000000" w:sz="6" w:space="0"/>
              <w:bottom w:val="single" w:color="000000" w:sz="6" w:space="0"/>
              <w:right w:val="single" w:color="000000" w:sz="6" w:space="0"/>
            </w:tcBorders>
          </w:tcPr>
          <w:p w14:paraId="6BE954C2"/>
        </w:tc>
        <w:tc>
          <w:tcPr>
            <w:tcW w:w="1500" w:type="dxa"/>
            <w:tcBorders>
              <w:top w:val="single" w:color="000000" w:sz="6" w:space="0"/>
              <w:left w:val="single" w:color="000000" w:sz="6" w:space="0"/>
              <w:bottom w:val="single" w:color="000000" w:sz="6" w:space="0"/>
              <w:right w:val="single" w:color="000000" w:sz="6" w:space="0"/>
            </w:tcBorders>
          </w:tcPr>
          <w:p w14:paraId="5ABF935F"/>
        </w:tc>
        <w:tc>
          <w:tcPr>
            <w:tcW w:w="1500" w:type="dxa"/>
            <w:tcBorders>
              <w:top w:val="single" w:color="000000" w:sz="6" w:space="0"/>
              <w:left w:val="single" w:color="000000" w:sz="6" w:space="0"/>
              <w:bottom w:val="single" w:color="000000" w:sz="6" w:space="0"/>
              <w:right w:val="single" w:color="000000" w:sz="6" w:space="0"/>
            </w:tcBorders>
          </w:tcPr>
          <w:p w14:paraId="494CFD0F"/>
        </w:tc>
        <w:tc>
          <w:tcPr>
            <w:tcW w:w="1500" w:type="dxa"/>
            <w:tcBorders>
              <w:top w:val="single" w:color="000000" w:sz="6" w:space="0"/>
              <w:left w:val="single" w:color="000000" w:sz="6" w:space="0"/>
              <w:bottom w:val="single" w:color="000000" w:sz="6" w:space="0"/>
              <w:right w:val="single" w:color="000000" w:sz="6" w:space="0"/>
            </w:tcBorders>
          </w:tcPr>
          <w:p w14:paraId="6CED053E"/>
        </w:tc>
        <w:tc>
          <w:tcPr>
            <w:tcW w:w="1500" w:type="dxa"/>
            <w:tcBorders>
              <w:top w:val="single" w:color="000000" w:sz="6" w:space="0"/>
              <w:left w:val="single" w:color="000000" w:sz="6" w:space="0"/>
              <w:bottom w:val="single" w:color="000000" w:sz="6" w:space="0"/>
              <w:right w:val="single" w:color="000000" w:sz="6" w:space="0"/>
            </w:tcBorders>
          </w:tcPr>
          <w:p w14:paraId="09CB5495"/>
        </w:tc>
      </w:tr>
      <w:tr w14:paraId="2555EAD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9000" w:type="dxa"/>
            <w:gridSpan w:val="6"/>
            <w:tcBorders>
              <w:top w:val="single" w:color="000000" w:sz="6" w:space="0"/>
              <w:left w:val="single" w:color="000000" w:sz="6" w:space="0"/>
              <w:bottom w:val="single" w:color="000000" w:sz="6" w:space="0"/>
              <w:right w:val="single" w:color="000000" w:sz="6" w:space="0"/>
            </w:tcBorders>
          </w:tcPr>
          <w:p w14:paraId="35BD9DB9">
            <w:pPr>
              <w:pStyle w:val="4"/>
              <w:spacing w:before="0" w:beforeAutospacing="0" w:after="0" w:afterAutospacing="0" w:line="360" w:lineRule="auto"/>
              <w:rPr>
                <w:rFonts w:ascii="宋体" w:hAnsi="宋体" w:cs="宋体"/>
                <w:color w:val="000000"/>
              </w:rPr>
            </w:pPr>
            <w:r>
              <w:rPr>
                <w:rFonts w:ascii="宋体" w:hAnsi="宋体" w:cs="宋体"/>
                <w:color w:val="000000"/>
              </w:rPr>
              <w:t>总计（合同总价款）：人民币（大写）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w:t>
            </w:r>
          </w:p>
        </w:tc>
      </w:tr>
    </w:tbl>
    <w:p w14:paraId="0E2F370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本合同约定价款为含税价格，增值税率</w:t>
      </w:r>
      <w:r>
        <w:rPr>
          <w:rFonts w:ascii="宋体" w:hAnsi="宋体" w:cs="宋体"/>
          <w:color w:val="000000"/>
          <w:u w:val="single"/>
        </w:rPr>
        <w:t>    %（百分之    ）</w:t>
      </w:r>
      <w:r>
        <w:rPr>
          <w:rFonts w:ascii="宋体" w:hAnsi="宋体" w:cs="宋体"/>
          <w:color w:val="000000"/>
        </w:rPr>
        <w:t>。</w:t>
      </w:r>
    </w:p>
    <w:p w14:paraId="55BEA03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付款方式</w:t>
      </w:r>
    </w:p>
    <w:p w14:paraId="72F28BF8">
      <w:pPr>
        <w:pStyle w:val="4"/>
        <w:spacing w:before="0" w:beforeAutospacing="0" w:after="0" w:afterAutospacing="0" w:line="360" w:lineRule="auto"/>
        <w:rPr>
          <w:rFonts w:ascii="宋体" w:hAnsi="宋体" w:cs="宋体"/>
          <w:color w:val="000000"/>
        </w:rPr>
      </w:pPr>
      <w:r>
        <w:rPr>
          <w:rFonts w:ascii="宋体" w:hAnsi="宋体" w:cs="宋体"/>
          <w:color w:val="000000"/>
        </w:rPr>
        <w:t>首笔款：</w:t>
      </w:r>
      <w:r>
        <w:rPr>
          <w:rFonts w:ascii="宋体" w:hAnsi="宋体" w:cs="宋体"/>
          <w:color w:val="000000"/>
          <w:u w:val="single"/>
        </w:rPr>
        <w:t>￥  元，于本合同签订后5个工作日内支付</w:t>
      </w:r>
      <w:r>
        <w:rPr>
          <w:rFonts w:ascii="宋体" w:hAnsi="宋体" w:cs="宋体"/>
          <w:color w:val="000000"/>
        </w:rPr>
        <w:t>。</w:t>
      </w:r>
    </w:p>
    <w:p w14:paraId="7B24B1D3">
      <w:pPr>
        <w:pStyle w:val="4"/>
        <w:spacing w:before="0" w:beforeAutospacing="0" w:after="0" w:afterAutospacing="0" w:line="360" w:lineRule="auto"/>
        <w:rPr>
          <w:rFonts w:ascii="宋体" w:hAnsi="宋体" w:cs="宋体"/>
          <w:color w:val="000000"/>
        </w:rPr>
      </w:pPr>
      <w:r>
        <w:rPr>
          <w:rFonts w:ascii="宋体" w:hAnsi="宋体" w:cs="宋体"/>
          <w:color w:val="000000"/>
        </w:rPr>
        <w:t>尾款：乙方交付货物并经甲方验收通过后的5个工作日内，甲方付清全部合同价款。</w:t>
      </w:r>
    </w:p>
    <w:p w14:paraId="0F4DA49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除本合同明确约定的以外，甲方无需就本合同的履行向乙方支付其他价款或费用。</w:t>
      </w:r>
    </w:p>
    <w:p w14:paraId="1D8EA57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乙方指定收款账号：</w:t>
      </w:r>
    </w:p>
    <w:p w14:paraId="3C221771">
      <w:pPr>
        <w:pStyle w:val="4"/>
        <w:spacing w:before="0" w:beforeAutospacing="0" w:after="0" w:afterAutospacing="0" w:line="360" w:lineRule="auto"/>
        <w:rPr>
          <w:rFonts w:ascii="宋体" w:hAnsi="宋体" w:cs="宋体"/>
          <w:color w:val="000000"/>
        </w:rPr>
      </w:pPr>
      <w:r>
        <w:rPr>
          <w:rFonts w:ascii="宋体" w:hAnsi="宋体" w:cs="宋体"/>
          <w:color w:val="000000"/>
        </w:rPr>
        <w:t>户名：</w:t>
      </w:r>
      <w:r>
        <w:rPr>
          <w:rFonts w:ascii="宋体" w:hAnsi="宋体" w:cs="宋体"/>
          <w:color w:val="000000"/>
          <w:u w:val="single"/>
        </w:rPr>
        <w:t>  </w:t>
      </w:r>
    </w:p>
    <w:p w14:paraId="601755DA">
      <w:pPr>
        <w:pStyle w:val="4"/>
        <w:spacing w:before="0" w:beforeAutospacing="0" w:after="0" w:afterAutospacing="0" w:line="360" w:lineRule="auto"/>
        <w:rPr>
          <w:rFonts w:ascii="宋体" w:hAnsi="宋体" w:cs="宋体"/>
          <w:color w:val="000000"/>
        </w:rPr>
      </w:pPr>
      <w:r>
        <w:rPr>
          <w:rFonts w:ascii="宋体" w:hAnsi="宋体" w:cs="宋体"/>
          <w:color w:val="000000"/>
        </w:rPr>
        <w:t>账号：</w:t>
      </w:r>
      <w:r>
        <w:rPr>
          <w:rFonts w:ascii="宋体" w:hAnsi="宋体" w:cs="宋体"/>
          <w:color w:val="000000"/>
          <w:u w:val="single"/>
        </w:rPr>
        <w:t>  </w:t>
      </w:r>
    </w:p>
    <w:p w14:paraId="074B76AF">
      <w:pPr>
        <w:pStyle w:val="4"/>
        <w:spacing w:before="0" w:beforeAutospacing="0" w:after="0" w:afterAutospacing="0" w:line="360" w:lineRule="auto"/>
        <w:rPr>
          <w:rFonts w:ascii="宋体" w:hAnsi="宋体" w:cs="宋体"/>
          <w:color w:val="000000"/>
        </w:rPr>
      </w:pPr>
      <w:r>
        <w:rPr>
          <w:rFonts w:ascii="宋体" w:hAnsi="宋体" w:cs="宋体"/>
          <w:color w:val="000000"/>
        </w:rPr>
        <w:t>开户行：</w:t>
      </w:r>
      <w:r>
        <w:rPr>
          <w:rFonts w:ascii="宋体" w:hAnsi="宋体" w:cs="宋体"/>
          <w:color w:val="000000"/>
          <w:u w:val="single"/>
        </w:rPr>
        <w:t>  </w:t>
      </w:r>
    </w:p>
    <w:p w14:paraId="4134A6A3">
      <w:pPr>
        <w:pStyle w:val="4"/>
        <w:spacing w:before="0" w:beforeAutospacing="0" w:after="0" w:afterAutospacing="0" w:line="360" w:lineRule="auto"/>
        <w:rPr>
          <w:rFonts w:ascii="宋体" w:hAnsi="宋体" w:cs="宋体"/>
          <w:color w:val="000000"/>
        </w:rPr>
      </w:pPr>
      <w:r>
        <w:rPr>
          <w:rFonts w:ascii="宋体" w:hAnsi="宋体" w:cs="宋体"/>
          <w:color w:val="000000"/>
        </w:rPr>
        <w:t>乙方未授权任何员工、第三方收款；付款方未向指定账号付款导致损失的，乙方不承担任何责任。</w:t>
      </w:r>
    </w:p>
    <w:p w14:paraId="517AE2D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发票</w:t>
      </w:r>
    </w:p>
    <w:p w14:paraId="7DE249E2">
      <w:pPr>
        <w:pStyle w:val="4"/>
        <w:spacing w:before="0" w:beforeAutospacing="0" w:after="0" w:afterAutospacing="0" w:line="360" w:lineRule="auto"/>
        <w:rPr>
          <w:rFonts w:ascii="宋体" w:hAnsi="宋体" w:cs="宋体"/>
          <w:color w:val="000000"/>
        </w:rPr>
      </w:pPr>
      <w:r>
        <w:rPr>
          <w:rFonts w:ascii="宋体" w:hAnsi="宋体" w:cs="宋体"/>
          <w:color w:val="000000"/>
        </w:rPr>
        <w:t>乙方应向甲方开具正规足额增值税专用发票。甲方开票信息如下：</w:t>
      </w:r>
    </w:p>
    <w:p w14:paraId="70C6D982">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35B45CAE">
      <w:pPr>
        <w:pStyle w:val="4"/>
        <w:spacing w:before="0" w:beforeAutospacing="0" w:after="0" w:afterAutospacing="0" w:line="360" w:lineRule="auto"/>
        <w:rPr>
          <w:rFonts w:ascii="宋体" w:hAnsi="宋体" w:cs="宋体"/>
          <w:color w:val="000000"/>
        </w:rPr>
      </w:pPr>
      <w:r>
        <w:rPr>
          <w:rFonts w:ascii="宋体" w:hAnsi="宋体" w:cs="宋体"/>
          <w:color w:val="000000"/>
        </w:rPr>
        <w:t>纳税人识别号：</w:t>
      </w:r>
      <w:r>
        <w:rPr>
          <w:rFonts w:ascii="宋体" w:hAnsi="宋体" w:cs="宋体"/>
          <w:color w:val="000000"/>
          <w:u w:val="single"/>
        </w:rPr>
        <w:t>    </w:t>
      </w:r>
    </w:p>
    <w:p w14:paraId="5E021A62">
      <w:pPr>
        <w:pStyle w:val="4"/>
        <w:spacing w:before="0" w:beforeAutospacing="0" w:after="0" w:afterAutospacing="0" w:line="360" w:lineRule="auto"/>
        <w:rPr>
          <w:rFonts w:ascii="宋体" w:hAnsi="宋体" w:cs="宋体"/>
          <w:color w:val="000000"/>
        </w:rPr>
      </w:pPr>
      <w:r>
        <w:rPr>
          <w:rFonts w:ascii="宋体" w:hAnsi="宋体" w:cs="宋体"/>
          <w:color w:val="000000"/>
        </w:rPr>
        <w:t>地址、电话：</w:t>
      </w:r>
      <w:r>
        <w:rPr>
          <w:rFonts w:ascii="宋体" w:hAnsi="宋体" w:cs="宋体"/>
          <w:color w:val="000000"/>
          <w:u w:val="single"/>
        </w:rPr>
        <w:t>    </w:t>
      </w:r>
    </w:p>
    <w:p w14:paraId="129EB28D">
      <w:pPr>
        <w:pStyle w:val="4"/>
        <w:spacing w:before="0" w:beforeAutospacing="0" w:after="0" w:afterAutospacing="0" w:line="360" w:lineRule="auto"/>
        <w:rPr>
          <w:rFonts w:ascii="宋体" w:hAnsi="宋体" w:cs="宋体"/>
          <w:color w:val="000000"/>
        </w:rPr>
      </w:pPr>
      <w:r>
        <w:rPr>
          <w:rFonts w:ascii="宋体" w:hAnsi="宋体" w:cs="宋体"/>
          <w:color w:val="000000"/>
        </w:rPr>
        <w:t>开户行及账号：</w:t>
      </w:r>
      <w:r>
        <w:rPr>
          <w:rFonts w:ascii="宋体" w:hAnsi="宋体" w:cs="宋体"/>
          <w:color w:val="000000"/>
          <w:u w:val="single"/>
        </w:rPr>
        <w:t>    </w:t>
      </w:r>
    </w:p>
    <w:p w14:paraId="756F3FB5">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质量</w:t>
      </w:r>
    </w:p>
    <w:p w14:paraId="3F2E409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按该货物所适用的国家标准（强制性或推荐性标准）、行业标准、地方标准、生产企业标准执行，并以其中最高的标准为准。</w:t>
      </w:r>
    </w:p>
    <w:p w14:paraId="697551A6">
      <w:pPr>
        <w:pStyle w:val="4"/>
        <w:spacing w:before="0" w:beforeAutospacing="0" w:after="0" w:afterAutospacing="0" w:line="360" w:lineRule="auto"/>
        <w:rPr>
          <w:rFonts w:ascii="宋体" w:hAnsi="宋体" w:cs="宋体"/>
          <w:color w:val="000000"/>
        </w:rPr>
      </w:pPr>
      <w:r>
        <w:rPr>
          <w:rFonts w:ascii="宋体" w:hAnsi="宋体" w:cs="宋体"/>
          <w:color w:val="000000"/>
        </w:rPr>
        <w:t>虽有上述标准，但双方对质量有特殊或更高要求的，应按特殊或更高要求执行，无特别要求的，按上述标准执行。 </w:t>
      </w:r>
    </w:p>
    <w:p w14:paraId="2643ED4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质量应同时符合乙方所提供的产品说明书或相关说明文档中所列明的标准。</w:t>
      </w:r>
    </w:p>
    <w:p w14:paraId="315D30B7">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数量</w:t>
      </w:r>
    </w:p>
    <w:p w14:paraId="420C447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交货数量正负差在</w:t>
      </w:r>
      <w:r>
        <w:rPr>
          <w:rFonts w:ascii="宋体" w:hAnsi="宋体" w:cs="宋体"/>
          <w:color w:val="000000"/>
          <w:u w:val="single"/>
        </w:rPr>
        <w:t>    %（百分之    ）</w:t>
      </w:r>
      <w:r>
        <w:rPr>
          <w:rFonts w:ascii="宋体" w:hAnsi="宋体" w:cs="宋体"/>
          <w:color w:val="000000"/>
        </w:rPr>
        <w:t>范围内时，甲方仍应正常收货，并按实际交付数量结算费用。交货数量正负差超出该范围时，甲方有权拒绝收货。</w:t>
      </w:r>
    </w:p>
    <w:p w14:paraId="56B3ECD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双方实际确认的交货数量与约定不一致的，应根据实际交货数量来结算货款。</w:t>
      </w:r>
    </w:p>
    <w:p w14:paraId="178EF8D1">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配套资料</w:t>
      </w:r>
    </w:p>
    <w:p w14:paraId="7866787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乙方交货时应同时提交货物的产品合格证书、保修单、使用说明书等随附单证。</w:t>
      </w:r>
    </w:p>
    <w:p w14:paraId="40D97CF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乙方交货时应同时提供下列资料：</w:t>
      </w:r>
      <w:r>
        <w:rPr>
          <w:rFonts w:ascii="宋体" w:hAnsi="宋体" w:cs="宋体"/>
          <w:color w:val="000000"/>
          <w:u w:val="single"/>
        </w:rPr>
        <w:t>请填充</w:t>
      </w:r>
      <w:r>
        <w:rPr>
          <w:rFonts w:ascii="宋体" w:hAnsi="宋体" w:cs="宋体"/>
          <w:color w:val="000000"/>
        </w:rPr>
        <w:t>。</w:t>
      </w:r>
    </w:p>
    <w:p w14:paraId="7C9EB8C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配套资料的交付与否不影响货物的所有权与风险转移。</w:t>
      </w:r>
    </w:p>
    <w:p w14:paraId="7698821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包装</w:t>
      </w:r>
    </w:p>
    <w:p w14:paraId="7208309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乙方应按如下标准包装：必须进行妥善包装，并确保其适合长途运输、防潮、防湿、防锈、耐野蛮装卸，以确保货物不受损。包装费用由乙方自行承担。</w:t>
      </w:r>
    </w:p>
    <w:p w14:paraId="172EA05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包装物回收：甲方自行处置，乙方不进行回收。</w:t>
      </w:r>
    </w:p>
    <w:p w14:paraId="175F091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运输</w:t>
      </w:r>
    </w:p>
    <w:p w14:paraId="1B5707A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运输方式：乙方应选择最适合于保护货物的运输方式进行运输。如甲方对运输方式有特别要求，乙方应按甲方要求运输。</w:t>
      </w:r>
    </w:p>
    <w:p w14:paraId="7C31BC7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运费承担：运输到交货地点的运输费用由乙方自行承担；本合同另有约定的除外。</w:t>
      </w:r>
    </w:p>
    <w:p w14:paraId="7DF05DFD">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交货</w:t>
      </w:r>
    </w:p>
    <w:p w14:paraId="089AD5F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交货时间：</w:t>
      </w:r>
      <w:r>
        <w:rPr>
          <w:rFonts w:ascii="宋体" w:hAnsi="宋体" w:cs="宋体"/>
          <w:color w:val="000000"/>
          <w:u w:val="single"/>
        </w:rPr>
        <w:t>自    年    月    日起（含当日）至    年    月    日（含当日）止</w:t>
      </w:r>
      <w:r>
        <w:rPr>
          <w:rFonts w:ascii="宋体" w:hAnsi="宋体" w:cs="宋体"/>
          <w:color w:val="000000"/>
        </w:rPr>
        <w:t>，具体交货时间由乙方在指定期限内安排，但必须至少提前3天通知甲方。</w:t>
      </w:r>
    </w:p>
    <w:p w14:paraId="5BB5CA8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交货地点：由甲方指定，但必须在</w:t>
      </w:r>
      <w:r>
        <w:rPr>
          <w:rFonts w:ascii="宋体" w:hAnsi="宋体" w:cs="宋体"/>
          <w:color w:val="000000"/>
          <w:u w:val="single"/>
        </w:rPr>
        <w:t>    省    市</w:t>
      </w:r>
      <w:r>
        <w:rPr>
          <w:rFonts w:ascii="宋体" w:hAnsi="宋体" w:cs="宋体"/>
          <w:color w:val="000000"/>
        </w:rPr>
        <w:t>范围内。</w:t>
      </w:r>
    </w:p>
    <w:p w14:paraId="3FA5037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甲方变更交货地点导致乙方增加费用的，该增加的费用由甲方承担。</w:t>
      </w:r>
    </w:p>
    <w:p w14:paraId="029C277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验收：交货当时进行外观、数量验收；交货后5日内进行质量验收。验收期内未提出异议的，视为质量无问题、验收通过。</w:t>
      </w:r>
    </w:p>
    <w:p w14:paraId="34A084F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货物毁损、灭失的风险自交货之日起转移；采取代办托运方式的，自乙方将货物交付给第一承运人后风险转移。</w:t>
      </w:r>
    </w:p>
    <w:p w14:paraId="37A7B35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货物所有权自交货之日起转移；采取代办托运方式的，自乙方将货物交付给第一承运人后所有权转移。</w:t>
      </w:r>
    </w:p>
    <w:p w14:paraId="5E7255E9">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安装：乙方仅负责在约定交货地点卸货，不负责安装。</w:t>
      </w:r>
    </w:p>
    <w:p w14:paraId="7255A35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质保期</w:t>
      </w:r>
    </w:p>
    <w:p w14:paraId="5A7D79E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质保期为：</w:t>
      </w:r>
      <w:r>
        <w:rPr>
          <w:rFonts w:ascii="宋体" w:hAnsi="宋体" w:cs="宋体"/>
          <w:color w:val="000000"/>
          <w:u w:val="single"/>
        </w:rPr>
        <w:t>  个月</w:t>
      </w:r>
      <w:r>
        <w:rPr>
          <w:rFonts w:ascii="宋体" w:hAnsi="宋体" w:cs="宋体"/>
          <w:color w:val="000000"/>
        </w:rPr>
        <w:t>；自乙方交货并经甲方验收通过之日起算。</w:t>
      </w:r>
    </w:p>
    <w:p w14:paraId="79CBCA8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质保期内，乙方应承担如下责任：</w:t>
      </w:r>
    </w:p>
    <w:p w14:paraId="6C404F7B">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质保期内，如货物不能正常使用，乙方应按甲方要求免费为其更换或修理并承担相应费用。质保期自更换或修理完毕后重新计算。本合同约定质保期的期限与责任低于乙方承诺或国家、行业标准的，以较高要求为准。</w:t>
      </w:r>
    </w:p>
    <w:p w14:paraId="3C31467A">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交货后因使用、保管不当导致货物出现的质量问题或不能正常使用，乙方不承担质保责任。</w:t>
      </w:r>
    </w:p>
    <w:p w14:paraId="2DB40CF7">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知识产权</w:t>
      </w:r>
    </w:p>
    <w:p w14:paraId="3228D6AB">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保证享有所提供货物所需的完整知识产权，并保证甲方及甲方客户在世界范围内使用（包括但不限于单独使用、结合使用、连接使用、嵌入使用、贴附使用、拼拆使用，下合称“使用”）、生产、销售、许诺销售、运输、仓储、进口、出口货物不会侵犯任何第三方知识产权。</w:t>
      </w:r>
    </w:p>
    <w:p w14:paraId="02B86BC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除上述情形以外，本合同的签订与履行不意味着知识产权的转让或许可。</w:t>
      </w:r>
    </w:p>
    <w:p w14:paraId="0723A6FC">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违约责任</w:t>
      </w:r>
    </w:p>
    <w:p w14:paraId="3CA9695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甲方逾期付款的，每逾期一天，应按逾期金额的</w:t>
      </w:r>
      <w:r>
        <w:rPr>
          <w:rFonts w:ascii="宋体" w:hAnsi="宋体" w:cs="宋体"/>
          <w:color w:val="000000"/>
          <w:u w:val="single"/>
        </w:rPr>
        <w:t>5‱（万分之五）</w:t>
      </w:r>
      <w:r>
        <w:rPr>
          <w:rFonts w:ascii="宋体" w:hAnsi="宋体" w:cs="宋体"/>
          <w:color w:val="000000"/>
        </w:rPr>
        <w:t>向乙方支付违约金，同时仍应履行付款义务。</w:t>
      </w:r>
    </w:p>
    <w:p w14:paraId="7527C4F1">
      <w:pPr>
        <w:pStyle w:val="4"/>
        <w:spacing w:before="0" w:beforeAutospacing="0" w:after="0" w:afterAutospacing="0" w:line="360" w:lineRule="auto"/>
        <w:rPr>
          <w:rFonts w:ascii="宋体" w:hAnsi="宋体" w:cs="宋体"/>
          <w:color w:val="000000"/>
        </w:rPr>
      </w:pPr>
      <w:r>
        <w:rPr>
          <w:rFonts w:ascii="宋体" w:hAnsi="宋体" w:cs="宋体"/>
          <w:color w:val="000000"/>
        </w:rPr>
        <w:t>逾期超过15日的，乙方有权解除本合同。</w:t>
      </w:r>
    </w:p>
    <w:p w14:paraId="5E8C790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乙方逾期交货的，每逾期一天，应按相应货款金额的</w:t>
      </w:r>
      <w:r>
        <w:rPr>
          <w:rFonts w:ascii="宋体" w:hAnsi="宋体" w:cs="宋体"/>
          <w:color w:val="000000"/>
          <w:u w:val="single"/>
        </w:rPr>
        <w:t>1%（百分之一）</w:t>
      </w:r>
      <w:r>
        <w:rPr>
          <w:rFonts w:ascii="宋体" w:hAnsi="宋体" w:cs="宋体"/>
          <w:color w:val="000000"/>
        </w:rPr>
        <w:t>向甲方支付违约金，同时仍应履行交货义务。甲方有权从应向乙方支付的货款金额中扣除该违约金。</w:t>
      </w:r>
    </w:p>
    <w:p w14:paraId="5F792C1B">
      <w:pPr>
        <w:pStyle w:val="4"/>
        <w:spacing w:before="0" w:beforeAutospacing="0" w:after="0" w:afterAutospacing="0" w:line="360" w:lineRule="auto"/>
        <w:rPr>
          <w:rFonts w:ascii="宋体" w:hAnsi="宋体" w:cs="宋体"/>
          <w:color w:val="000000"/>
        </w:rPr>
      </w:pPr>
      <w:r>
        <w:rPr>
          <w:rFonts w:ascii="宋体" w:hAnsi="宋体" w:cs="宋体"/>
          <w:color w:val="000000"/>
        </w:rPr>
        <w:t>逾期超过15天的，甲方有权解除本合同。</w:t>
      </w:r>
    </w:p>
    <w:p w14:paraId="74A25A0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甲方违约解除责任</w:t>
      </w:r>
    </w:p>
    <w:p w14:paraId="69ACAE85">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甲方有下列情形之一的，乙方有权解除本合同：</w:t>
      </w:r>
    </w:p>
    <w:p w14:paraId="350AF9F4">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甲方违反本合同约定的，经乙方提出后10个工作日内仍不改正的；</w:t>
      </w:r>
    </w:p>
    <w:p w14:paraId="0B5D2B61">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双方约定或法律规定的其他情形。</w:t>
      </w:r>
    </w:p>
    <w:p w14:paraId="3C2AC990">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甲方违约提前解除本合同或因甲方违约导致乙方解除本合同的，乙方有权要求甲方同时承担如下责任：</w:t>
      </w:r>
    </w:p>
    <w:p w14:paraId="0C9876B8">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立即退还乙方交付的全部货物、设备与材料；</w:t>
      </w:r>
    </w:p>
    <w:p w14:paraId="75532690">
      <w:pPr>
        <w:pStyle w:val="4"/>
        <w:spacing w:before="0" w:beforeAutospacing="0" w:after="0" w:afterAutospacing="0" w:line="360" w:lineRule="auto"/>
        <w:rPr>
          <w:rFonts w:ascii="宋体" w:hAnsi="宋体" w:cs="宋体"/>
          <w:color w:val="000000"/>
        </w:rPr>
      </w:pPr>
      <w:r>
        <w:rPr>
          <w:rFonts w:ascii="宋体" w:hAnsi="宋体" w:cs="宋体"/>
          <w:color w:val="000000"/>
        </w:rPr>
        <w:t>甲方未能立即归还乙方货物、设备的，应按</w:t>
      </w:r>
      <w:r>
        <w:rPr>
          <w:rFonts w:ascii="宋体" w:hAnsi="宋体" w:cs="宋体"/>
          <w:color w:val="000000"/>
          <w:u w:val="single"/>
        </w:rPr>
        <w:t>该货物、设备的正常租金标准的2倍</w:t>
      </w:r>
      <w:r>
        <w:rPr>
          <w:rFonts w:ascii="宋体" w:hAnsi="宋体" w:cs="宋体"/>
          <w:color w:val="000000"/>
        </w:rPr>
        <w:t>向乙方支付占用费，直至实际归还之日。</w:t>
      </w:r>
    </w:p>
    <w:p w14:paraId="367E5181">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按照</w:t>
      </w:r>
      <w:r>
        <w:rPr>
          <w:rFonts w:ascii="宋体" w:hAnsi="宋体" w:cs="宋体"/>
          <w:color w:val="000000"/>
          <w:u w:val="single"/>
        </w:rPr>
        <w:t>合同价款的20%</w:t>
      </w:r>
      <w:r>
        <w:rPr>
          <w:rFonts w:ascii="宋体" w:hAnsi="宋体" w:cs="宋体"/>
          <w:color w:val="000000"/>
        </w:rPr>
        <w:t>向乙方支付违约金；</w:t>
      </w:r>
    </w:p>
    <w:p w14:paraId="203EDD23">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违约金不足以赔偿乙方损失的，甲方还应赔偿乙方全部损失。</w:t>
      </w:r>
    </w:p>
    <w:p w14:paraId="060774B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乙方违约提前解除本合同或因乙方违约导致甲方解除本合同的，甲方有权要求乙方退还甲方支付的全部款项，并要求乙方按照</w:t>
      </w:r>
      <w:r>
        <w:rPr>
          <w:rFonts w:ascii="宋体" w:hAnsi="宋体" w:cs="宋体"/>
          <w:color w:val="000000"/>
          <w:u w:val="single"/>
        </w:rPr>
        <w:t>合同价款的20%</w:t>
      </w:r>
      <w:r>
        <w:rPr>
          <w:rFonts w:ascii="宋体" w:hAnsi="宋体" w:cs="宋体"/>
          <w:color w:val="000000"/>
        </w:rPr>
        <w:t>向甲方支付违约金。违约金不足以赔偿甲方损失的，乙方还应赔偿甲方全部损失。 </w:t>
      </w:r>
    </w:p>
    <w:p w14:paraId="1F20EFC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任何一方有其他违反本合同情形的，应赔偿守约方全部损失。</w:t>
      </w:r>
    </w:p>
    <w:p w14:paraId="799C11B9">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其他约定</w:t>
      </w:r>
    </w:p>
    <w:p w14:paraId="271C316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不可抗力</w:t>
      </w:r>
    </w:p>
    <w:p w14:paraId="05CCC22A">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3924AEC8">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不可抗力的后果：</w:t>
      </w:r>
    </w:p>
    <w:p w14:paraId="63CFD58C">
      <w:pPr>
        <w:pStyle w:val="4"/>
        <w:spacing w:before="0" w:beforeAutospacing="0" w:after="0" w:afterAutospacing="0" w:line="360" w:lineRule="auto"/>
        <w:rPr>
          <w:rFonts w:ascii="宋体" w:hAnsi="宋体" w:cs="宋体"/>
          <w:color w:val="000000"/>
        </w:rPr>
      </w:pPr>
      <w:r>
        <w:rPr>
          <w:rFonts w:ascii="宋体" w:hAnsi="宋体" w:cs="宋体"/>
          <w:color w:val="000000"/>
        </w:rPr>
        <w:t>（1）如果发生不可抗力事件，影响一方履行其在本合同项下的义务，则在不可抗力造成的延误期内中止履行，而不视为违约。</w:t>
      </w:r>
    </w:p>
    <w:p w14:paraId="7A815DA6">
      <w:pPr>
        <w:pStyle w:val="4"/>
        <w:spacing w:before="0" w:beforeAutospacing="0" w:after="0" w:afterAutospacing="0" w:line="360" w:lineRule="auto"/>
        <w:rPr>
          <w:rFonts w:ascii="宋体" w:hAnsi="宋体" w:cs="宋体"/>
          <w:color w:val="000000"/>
        </w:rPr>
      </w:pPr>
      <w:r>
        <w:rPr>
          <w:rFonts w:ascii="宋体" w:hAnsi="宋体" w:cs="宋体"/>
          <w:color w:val="000000"/>
        </w:rPr>
        <w:t>（2）宣称发生不可抗力的一方应迅速书面通知其他各方，并在其后的十五(15)天内提供证明不可抗力发生及其持续时间的足够证据。</w:t>
      </w:r>
    </w:p>
    <w:p w14:paraId="43254028">
      <w:pPr>
        <w:pStyle w:val="4"/>
        <w:spacing w:before="0" w:beforeAutospacing="0" w:after="0" w:afterAutospacing="0" w:line="360" w:lineRule="auto"/>
        <w:rPr>
          <w:rFonts w:ascii="宋体" w:hAnsi="宋体" w:cs="宋体"/>
          <w:color w:val="000000"/>
        </w:rPr>
      </w:pPr>
      <w:r>
        <w:rPr>
          <w:rFonts w:ascii="宋体" w:hAnsi="宋体" w:cs="宋体"/>
          <w:color w:val="000000"/>
        </w:rPr>
        <w:t>（3）如果发生不可抗力事件，各方应立即互相协商，以找到公平的解决办法，并且应尽一切合理努力将不可抗力的影响减少到最低限度。</w:t>
      </w:r>
    </w:p>
    <w:p w14:paraId="6F259F1F">
      <w:pPr>
        <w:pStyle w:val="4"/>
        <w:spacing w:before="0" w:beforeAutospacing="0" w:after="0" w:afterAutospacing="0" w:line="360" w:lineRule="auto"/>
        <w:rPr>
          <w:rFonts w:ascii="宋体" w:hAnsi="宋体" w:cs="宋体"/>
          <w:color w:val="000000"/>
        </w:rPr>
      </w:pPr>
      <w:r>
        <w:rPr>
          <w:rFonts w:ascii="宋体" w:hAnsi="宋体" w:cs="宋体"/>
          <w:color w:val="000000"/>
        </w:rPr>
        <w:t>（4）金钱债务的迟延责任不得因不可抗力而免除。</w:t>
      </w:r>
    </w:p>
    <w:p w14:paraId="2A216F05">
      <w:pPr>
        <w:pStyle w:val="4"/>
        <w:spacing w:before="0" w:beforeAutospacing="0" w:after="0" w:afterAutospacing="0" w:line="360" w:lineRule="auto"/>
        <w:rPr>
          <w:rFonts w:ascii="宋体" w:hAnsi="宋体" w:cs="宋体"/>
          <w:color w:val="000000"/>
        </w:rPr>
      </w:pPr>
      <w:r>
        <w:rPr>
          <w:rFonts w:ascii="宋体" w:hAnsi="宋体" w:cs="宋体"/>
          <w:color w:val="000000"/>
        </w:rPr>
        <w:t>（5）迟延履行期间发生的不可抗力不具有免责效力。</w:t>
      </w:r>
    </w:p>
    <w:p w14:paraId="7297451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部分无效处理</w:t>
      </w:r>
    </w:p>
    <w:p w14:paraId="65F5D01A">
      <w:pPr>
        <w:pStyle w:val="4"/>
        <w:spacing w:before="0" w:beforeAutospacing="0" w:after="0" w:afterAutospacing="0" w:line="360" w:lineRule="auto"/>
        <w:rPr>
          <w:rFonts w:ascii="宋体" w:hAnsi="宋体" w:cs="宋体"/>
          <w:color w:val="000000"/>
        </w:rPr>
      </w:pPr>
      <w:r>
        <w:rPr>
          <w:rFonts w:ascii="宋体" w:hAnsi="宋体" w:cs="宋体"/>
          <w:color w:val="000000"/>
        </w:rPr>
        <w:t>如任何法院或有权机关认为本合同的任何部分无效、不合法或不可执行，则该部分不应被认为构成本合同的一部分，但不应影响本合同其余部分的合法有效性及可执行性。</w:t>
      </w:r>
    </w:p>
    <w:p w14:paraId="6C1C891B">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反商业贿赂</w:t>
      </w:r>
    </w:p>
    <w:p w14:paraId="006E8080">
      <w:pPr>
        <w:pStyle w:val="4"/>
        <w:spacing w:before="0" w:beforeAutospacing="0" w:after="0" w:afterAutospacing="0" w:line="360" w:lineRule="auto"/>
        <w:rPr>
          <w:rFonts w:ascii="宋体" w:hAnsi="宋体" w:cs="宋体"/>
          <w:color w:val="000000"/>
        </w:rPr>
      </w:pPr>
      <w:r>
        <w:rPr>
          <w:rFonts w:ascii="宋体" w:hAnsi="宋体" w:cs="宋体"/>
          <w:color w:val="000000"/>
        </w:rPr>
        <w:t>双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14:paraId="0DD8E85B">
      <w:pPr>
        <w:pStyle w:val="3"/>
        <w:numPr>
          <w:ilvl w:val="0"/>
          <w:numId w:val="1"/>
        </w:numPr>
        <w:spacing w:before="0" w:beforeAutospacing="0" w:after="0" w:afterAutospacing="0" w:line="360" w:lineRule="auto"/>
        <w:rPr>
          <w:rFonts w:ascii="宋体" w:hAnsi="宋体" w:cs="宋体"/>
          <w:color w:val="000000"/>
        </w:rPr>
      </w:pPr>
      <w:r>
        <w:rPr>
          <w:rFonts w:ascii="宋体" w:hAnsi="宋体" w:cs="宋体"/>
          <w:b/>
        </w:rPr>
        <w:t>合同联系方式</w:t>
      </w:r>
    </w:p>
    <w:p w14:paraId="3DD8732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为更好的履行本合同，双方提供如下联系方式：</w:t>
      </w:r>
    </w:p>
    <w:p w14:paraId="7D7AFB8E">
      <w:pPr>
        <w:pStyle w:val="4"/>
        <w:spacing w:before="0" w:beforeAutospacing="0" w:after="0" w:afterAutospacing="0" w:line="360" w:lineRule="auto"/>
        <w:rPr>
          <w:rFonts w:ascii="宋体" w:hAnsi="宋体" w:cs="宋体"/>
          <w:color w:val="000000"/>
        </w:rPr>
      </w:pPr>
      <w:r>
        <w:rPr>
          <w:rFonts w:ascii="宋体" w:hAnsi="宋体" w:cs="宋体"/>
          <w:color w:val="000000"/>
        </w:rPr>
        <w:t>（1）甲方联系方式</w:t>
      </w:r>
    </w:p>
    <w:p w14:paraId="273A376E">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6D904E1E">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5E629EF9">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2BB3008B">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3BFD059E">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307411B8">
      <w:pPr>
        <w:pStyle w:val="4"/>
        <w:spacing w:before="0" w:beforeAutospacing="0" w:after="0" w:afterAutospacing="0" w:line="360" w:lineRule="auto"/>
        <w:rPr>
          <w:rFonts w:ascii="宋体" w:hAnsi="宋体" w:cs="宋体"/>
          <w:color w:val="000000"/>
        </w:rPr>
      </w:pPr>
      <w:r>
        <w:rPr>
          <w:rFonts w:ascii="宋体" w:hAnsi="宋体" w:cs="宋体"/>
          <w:color w:val="000000"/>
        </w:rPr>
        <w:t>（2）乙方联系方式</w:t>
      </w:r>
    </w:p>
    <w:p w14:paraId="205985E2">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345398D1">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4F58ACEE">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7C6A4D4E">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597DC212">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67A993C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通过电子邮箱及其它电子方式送达时，发出之日即视为有效送达。</w:t>
      </w:r>
    </w:p>
    <w:p w14:paraId="328D4BE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通过快递等方式送达时，对方签收之日视为有效送达；对方拒收或退回的，视为签收。</w:t>
      </w:r>
    </w:p>
    <w:p w14:paraId="139EF21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上述联系方式同时作为有效司法送达地址。</w:t>
      </w:r>
    </w:p>
    <w:p w14:paraId="0502FB6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一方变更联系方式，应以书面形式通知对方；否则，该联系方式仍视为有效，由未通知方承担由此而引起的相关责任。</w:t>
      </w:r>
    </w:p>
    <w:p w14:paraId="5C1F99D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本联系方式条款为独立条款，不受合同整体或其他条款的效力影响，始终有效。</w:t>
      </w:r>
    </w:p>
    <w:p w14:paraId="3A6C8CCA">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争议解决</w:t>
      </w:r>
    </w:p>
    <w:p w14:paraId="2925274F">
      <w:pPr>
        <w:pStyle w:val="4"/>
        <w:spacing w:before="0" w:beforeAutospacing="0" w:after="0" w:afterAutospacing="0" w:line="360" w:lineRule="auto"/>
        <w:rPr>
          <w:rFonts w:ascii="宋体" w:hAnsi="宋体" w:cs="宋体"/>
          <w:color w:val="000000"/>
        </w:rPr>
      </w:pPr>
      <w:r>
        <w:rPr>
          <w:rFonts w:ascii="宋体" w:hAnsi="宋体" w:cs="宋体"/>
          <w:color w:val="000000"/>
        </w:rPr>
        <w:t>因本合同以及本合同项下订单/附件/补充协议等（如有）引起或有关的任何争议，由合同各方协商解决，也可由有关部门调解。协商或调解不成的，应向</w:t>
      </w:r>
      <w:r>
        <w:rPr>
          <w:rFonts w:ascii="宋体" w:hAnsi="宋体" w:cs="宋体"/>
          <w:color w:val="000000"/>
          <w:u w:val="single"/>
        </w:rPr>
        <w:t>    所在地</w:t>
      </w:r>
      <w:r>
        <w:rPr>
          <w:rFonts w:ascii="宋体" w:hAnsi="宋体" w:cs="宋体"/>
          <w:color w:val="000000"/>
        </w:rPr>
        <w:t>有管辖权的人民法院起诉。</w:t>
      </w:r>
    </w:p>
    <w:p w14:paraId="04A730B2">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附则</w:t>
      </w:r>
    </w:p>
    <w:p w14:paraId="74CF176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本合同一式二份，合同各方各执一份。各份合同文本具有同等法律效力。</w:t>
      </w:r>
    </w:p>
    <w:p w14:paraId="156ECB6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本合同未尽事宜，双方应另行协商并签订补充协议。</w:t>
      </w:r>
    </w:p>
    <w:p w14:paraId="48A5B8E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本合同经各方签名或盖章后生效。</w:t>
      </w:r>
    </w:p>
    <w:p w14:paraId="0DA12B94">
      <w:pPr>
        <w:pStyle w:val="4"/>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5B86C30F">
      <w:pPr>
        <w:pStyle w:val="4"/>
        <w:spacing w:before="0" w:beforeAutospacing="0" w:after="0" w:afterAutospacing="0" w:line="360" w:lineRule="auto"/>
        <w:rPr>
          <w:rFonts w:ascii="宋体" w:hAnsi="宋体" w:cs="宋体"/>
          <w:color w:val="000000"/>
        </w:rPr>
      </w:pPr>
      <w:r>
        <w:rPr>
          <w:rFonts w:ascii="宋体" w:hAnsi="宋体" w:cs="宋体"/>
          <w:color w:val="000000"/>
        </w:rPr>
        <w:t>签订时间：    年    月    日</w:t>
      </w:r>
    </w:p>
    <w:p w14:paraId="160B5BCC">
      <w:pPr>
        <w:pStyle w:val="4"/>
        <w:spacing w:before="0" w:beforeAutospacing="0" w:after="0" w:afterAutospacing="0" w:line="360" w:lineRule="auto"/>
        <w:rPr>
          <w:rFonts w:ascii="宋体" w:hAnsi="宋体" w:cs="宋体"/>
          <w:color w:val="000000"/>
        </w:rPr>
      </w:pPr>
      <w:r>
        <w:rPr>
          <w:rFonts w:ascii="宋体" w:hAnsi="宋体" w:cs="宋体"/>
          <w:b/>
          <w:color w:val="000000"/>
        </w:rPr>
        <w:t>甲方（盖章）：</w:t>
      </w:r>
    </w:p>
    <w:p w14:paraId="042B428A">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302E6D31">
      <w:pPr>
        <w:pStyle w:val="4"/>
        <w:spacing w:before="0" w:beforeAutospacing="0" w:after="0" w:afterAutospacing="0" w:line="360" w:lineRule="auto"/>
        <w:rPr>
          <w:rFonts w:ascii="宋体" w:hAnsi="宋体" w:cs="宋体"/>
          <w:color w:val="000000"/>
        </w:rPr>
      </w:pPr>
      <w:r>
        <w:rPr>
          <w:rFonts w:ascii="宋体" w:hAnsi="宋体" w:cs="宋体"/>
          <w:b/>
          <w:color w:val="000000"/>
        </w:rPr>
        <w:t>乙方（盖章）：</w:t>
      </w:r>
    </w:p>
    <w:p w14:paraId="3BF470D2">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AMGDT"/>
    <w:panose1 w:val="00000000000000000000"/>
    <w:charset w:val="00"/>
    <w:family w:val="auto"/>
    <w:pitch w:val="default"/>
    <w:sig w:usb0="00000000" w:usb1="00000000" w:usb2="00000000" w:usb3="00000000" w:csb0="00000000" w:csb1="00000000"/>
  </w:font>
  <w:font w:name="Msy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459E1">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compat>
    <w:useFELayout/>
    <w:compatSetting w:name="compatibilityMode" w:uri="http://schemas.microsoft.com/office/word" w:val="15"/>
  </w:compat>
  <w:rsids>
    <w:rsidRoot w:val="00000000"/>
    <w:rsid w:val="07721E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99"/>
    <w:pPr>
      <w:spacing w:before="100" w:beforeAutospacing="1" w:after="100" w:afterAutospacing="1"/>
    </w:pPr>
    <w:rPr>
      <w:sz w:val="24"/>
    </w:rPr>
  </w:style>
  <w:style w:type="table" w:customStyle="1" w:styleId="7">
    <w:name w:val="Table Normal"/>
    <w:uiPriority w:val="59"/>
    <w:tblPr>
      <w:tblCellMar>
        <w:top w:w="0" w:type="dxa"/>
        <w:left w:w="108" w:type="dxa"/>
        <w:bottom w:w="0" w:type="dxa"/>
        <w:right w:w="108" w:type="dxa"/>
      </w:tblCellMar>
    </w:tblPr>
  </w:style>
  <w:style w:type="paragraph" w:customStyle="1" w:styleId="8">
    <w:name w:val="font-fangsong *"/>
    <w:basedOn w:val="1"/>
    <w:uiPriority w:val="0"/>
    <w:pPr>
      <w:spacing w:before="100" w:beforeAutospacing="1" w:after="100" w:afterAutospacing="1"/>
    </w:pPr>
    <w:rPr>
      <w:rFonts w:ascii="Simfang" w:hAnsi="Simfang" w:cs="Simfang"/>
      <w:sz w:val="24"/>
    </w:rPr>
  </w:style>
  <w:style w:type="paragraph" w:customStyle="1" w:styleId="9">
    <w:name w:val="font-song *"/>
    <w:basedOn w:val="1"/>
    <w:uiPriority w:val="0"/>
    <w:pPr>
      <w:spacing w:before="100" w:beforeAutospacing="1" w:after="100" w:afterAutospacing="1"/>
    </w:pPr>
    <w:rPr>
      <w:rFonts w:ascii="宋体" w:hAnsi="宋体" w:cs="宋体"/>
      <w:sz w:val="24"/>
    </w:rPr>
  </w:style>
  <w:style w:type="paragraph" w:customStyle="1" w:styleId="10">
    <w:name w:val="font-yahei *"/>
    <w:basedOn w:val="1"/>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3110</Words>
  <Characters>3121</Characters>
  <TotalTime>0</TotalTime>
  <ScaleCrop>false</ScaleCrop>
  <LinksUpToDate>false</LinksUpToDate>
  <CharactersWithSpaces>3259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2026-02-10T08:40:40Z</dcterms:created>
  <dc:creator>法天使</dc:creator>
  <cp:lastModifiedBy>拉窗帘的冬雨</cp:lastModifiedBy>
  <dcterms:modified xsi:type="dcterms:W3CDTF">2026-02-10T08:40:46Z</dcterms:modified>
  <dc:title>一般商品买卖合同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830A85D7BA57442C850CA91BAEE5A0A7_13</vt:lpwstr>
  </property>
</Properties>
</file>