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长沙理工大学</w:t>
      </w:r>
      <w:r>
        <w:rPr>
          <w:rFonts w:hint="eastAsia"/>
          <w:b/>
          <w:bCs/>
          <w:sz w:val="36"/>
          <w:lang w:val="en-US" w:eastAsia="zh-CN"/>
        </w:rPr>
        <w:t>期中</w:t>
      </w:r>
      <w:r>
        <w:rPr>
          <w:b/>
          <w:bCs/>
          <w:sz w:val="36"/>
        </w:rPr>
        <w:t>考试试卷</w:t>
      </w:r>
    </w:p>
    <w:p>
      <w:pPr>
        <w:jc w:val="center"/>
        <w:rPr>
          <w:b/>
          <w:bCs/>
          <w:sz w:val="36"/>
        </w:rPr>
      </w:pPr>
    </w:p>
    <w:p>
      <w:pPr>
        <w:rPr>
          <w:b/>
          <w:bCs/>
          <w:sz w:val="36"/>
        </w:rPr>
      </w:pPr>
      <w:r>
        <w:t>试卷编号</w:t>
      </w:r>
      <w:r>
        <w:rPr>
          <w:rFonts w:hint="eastAsia"/>
          <w:lang w:val="en-US"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1  </w:t>
      </w:r>
      <w:r>
        <w:rPr>
          <w:u w:val="single"/>
        </w:rPr>
        <w:t xml:space="preserve"> </w:t>
      </w:r>
      <w:r>
        <w:t>拟题教研室（或教师）签名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王艳华</w:t>
      </w:r>
      <w:r>
        <w:rPr>
          <w:u w:val="single"/>
        </w:rPr>
        <w:t xml:space="preserve">      </w:t>
      </w:r>
      <w:r>
        <w:t>教研室主任签名</w:t>
      </w:r>
      <w:r>
        <w:rPr>
          <w:u w:val="single"/>
        </w:rPr>
        <w:t xml:space="preserve">           </w:t>
      </w:r>
    </w:p>
    <w:p>
      <w:pPr>
        <w:spacing w:line="260" w:lineRule="exact"/>
        <w:rPr>
          <w:b/>
          <w:bCs/>
        </w:rPr>
      </w:pPr>
      <w:r>
        <w:t>………………………………………………………………………………………………………</w:t>
      </w:r>
    </w:p>
    <w:p>
      <w:pPr>
        <w:spacing w:line="260" w:lineRule="exact"/>
        <w:rPr>
          <w:u w:val="single"/>
        </w:rPr>
      </w:pPr>
      <w:r>
        <w:rPr>
          <w:b/>
          <w:bCs/>
        </w:rPr>
        <w:t>课程名称</w:t>
      </w:r>
      <w:r>
        <w:t>（含档次）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接口技术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t xml:space="preserve">          课程代号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rFonts w:hAnsi="宋体" w:cs="华文仿宋"/>
          <w:bCs/>
          <w:sz w:val="24"/>
          <w:szCs w:val="28"/>
          <w:u w:val="single"/>
        </w:rPr>
        <w:t>0812000686</w:t>
      </w:r>
      <w:r>
        <w:rPr>
          <w:u w:val="single"/>
        </w:rPr>
        <w:t xml:space="preserve">      </w:t>
      </w:r>
    </w:p>
    <w:p>
      <w:pPr>
        <w:spacing w:line="260" w:lineRule="exact"/>
        <w:rPr>
          <w:u w:val="single"/>
        </w:rPr>
      </w:pPr>
    </w:p>
    <w:p>
      <w:r>
        <w:t>专    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>计科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  <w:r>
        <w:t>层次（本、专）</w:t>
      </w:r>
      <w:r>
        <w:rPr>
          <w:u w:val="single"/>
        </w:rPr>
        <w:t xml:space="preserve">   本</w:t>
      </w:r>
      <w:r>
        <w:rPr>
          <w:rFonts w:hint="eastAsia"/>
          <w:u w:val="single"/>
        </w:rPr>
        <w:t>科</w:t>
      </w:r>
      <w:r>
        <w:rPr>
          <w:u w:val="single"/>
        </w:rPr>
        <w:t xml:space="preserve">   </w:t>
      </w:r>
      <w:r>
        <w:t xml:space="preserve"> 考试方式（开、闭卷）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开</w:t>
      </w:r>
      <w:r>
        <w:rPr>
          <w:u w:val="single"/>
        </w:rPr>
        <w:t>卷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p>
      <w:pPr>
        <w:rPr>
          <w:rFonts w:hint="eastAsia"/>
          <w:sz w:val="28"/>
        </w:rPr>
      </w:pPr>
    </w:p>
    <w:p>
      <w:pPr>
        <w:rPr>
          <w:rFonts w:hint="eastAsia"/>
        </w:rPr>
      </w:pPr>
      <w:r>
        <w:rPr>
          <w:rFonts w:hint="eastAsia" w:eastAsia="黑体"/>
          <w:sz w:val="24"/>
        </w:rPr>
        <w:t>一、单选题（10小题，每小题2分，共20分）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1、微型计算机的字长是(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)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A．计算机一次可以直接处理的二进制位数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B．CPU数据总线的宽度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C．一个字节的长度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D．CPU地址总线的宽度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2、当CPU与打印机以程序查询方式传送数据时，CPU大部分时间用于(</w:t>
      </w:r>
      <w:r>
        <w:rPr>
          <w:sz w:val="21"/>
          <w:szCs w:val="21"/>
        </w:rPr>
        <w:t xml:space="preserve">  )。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A．读取判断打印机状态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B．向打印机传送数据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C．CPU停机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D．CPU执行运算指令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3、对可编程接口芯片进行读写操作的必要条件是(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)。</w:t>
      </w:r>
    </w:p>
    <w:p>
      <w:pPr>
        <w:snapToGrid w:val="0"/>
        <w:rPr>
          <w:rFonts w:hint="eastAsia" w:ascii="宋体" w:hAnsi="宋体"/>
          <w:b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A．</w:t>
      </w:r>
      <w:r>
        <w:rPr>
          <w:rFonts w:ascii="宋体" w:hAnsi="宋体"/>
          <w:b/>
          <w:sz w:val="21"/>
          <w:szCs w:val="21"/>
        </w:rPr>
        <w:object>
          <v:shape id="_x0000_i1025" o:spt="75" type="#_x0000_t75" style="height:16.15pt;width:20.6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宋体" w:hAnsi="宋体"/>
          <w:b/>
          <w:sz w:val="21"/>
          <w:szCs w:val="21"/>
        </w:rPr>
        <w:t>=</w:t>
      </w:r>
      <w:r>
        <w:rPr>
          <w:rFonts w:hint="eastAsia" w:ascii="宋体" w:hAnsi="宋体"/>
          <w:b/>
          <w:sz w:val="21"/>
          <w:szCs w:val="21"/>
          <w:lang w:val="en-US" w:eastAsia="zh-CN"/>
        </w:rPr>
        <w:t>0</w:t>
      </w:r>
    </w:p>
    <w:p>
      <w:pPr>
        <w:snapToGrid w:val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B．</w:t>
      </w:r>
      <w:r>
        <w:rPr>
          <w:rFonts w:ascii="宋体" w:hAnsi="宋体"/>
          <w:b/>
          <w:sz w:val="21"/>
          <w:szCs w:val="21"/>
        </w:rPr>
        <w:object>
          <v:shape id="_x0000_i1026" o:spt="75" type="#_x0000_t75" style="height:15pt;width:20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ascii="宋体" w:hAnsi="宋体"/>
          <w:b/>
          <w:sz w:val="21"/>
          <w:szCs w:val="21"/>
        </w:rPr>
        <w:t>=</w:t>
      </w:r>
      <w:r>
        <w:rPr>
          <w:rFonts w:hint="eastAsia" w:ascii="宋体" w:hAnsi="宋体"/>
          <w:b/>
          <w:sz w:val="21"/>
          <w:szCs w:val="21"/>
          <w:lang w:val="en-US" w:eastAsia="zh-CN"/>
        </w:rPr>
        <w:t>0</w:t>
      </w:r>
    </w:p>
    <w:p>
      <w:pPr>
        <w:snapToGrid w:val="0"/>
        <w:rPr>
          <w:rFonts w:hint="eastAsia" w:ascii="宋体" w:hAnsi="宋体"/>
          <w:b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C．</w:t>
      </w:r>
      <w:r>
        <w:rPr>
          <w:rFonts w:ascii="宋体" w:hAnsi="宋体"/>
          <w:b/>
          <w:sz w:val="21"/>
          <w:szCs w:val="21"/>
        </w:rPr>
        <w:object>
          <v:shape id="_x0000_i1027" o:spt="75" type="#_x0000_t75" style="height:13.9pt;width:20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ascii="宋体" w:hAnsi="宋体"/>
          <w:b/>
          <w:sz w:val="21"/>
          <w:szCs w:val="21"/>
        </w:rPr>
        <w:t>=</w:t>
      </w:r>
      <w:r>
        <w:rPr>
          <w:rFonts w:hint="eastAsia" w:ascii="宋体" w:hAnsi="宋体"/>
          <w:b/>
          <w:sz w:val="21"/>
          <w:szCs w:val="21"/>
          <w:lang w:val="en-US" w:eastAsia="zh-CN"/>
        </w:rPr>
        <w:t>0</w:t>
      </w:r>
    </w:p>
    <w:p>
      <w:pPr>
        <w:snapToGrid w:val="0"/>
        <w:rPr>
          <w:rFonts w:hint="eastAsia" w:eastAsia="宋体"/>
          <w:sz w:val="21"/>
          <w:szCs w:val="21"/>
          <w:lang w:eastAsia="zh-CN"/>
        </w:rPr>
      </w:pPr>
      <w:r>
        <w:rPr>
          <w:rFonts w:hint="eastAsia"/>
          <w:sz w:val="21"/>
          <w:szCs w:val="21"/>
        </w:rPr>
        <w:t>D．</w:t>
      </w:r>
      <w:r>
        <w:rPr>
          <w:rFonts w:ascii="宋体" w:hAnsi="宋体"/>
          <w:b/>
          <w:sz w:val="21"/>
          <w:szCs w:val="21"/>
        </w:rPr>
        <w:object>
          <v:shape id="_x0000_i1028" o:spt="75" type="#_x0000_t75" style="height:15pt;width:20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ascii="宋体" w:hAnsi="宋体"/>
          <w:b/>
          <w:sz w:val="21"/>
          <w:szCs w:val="21"/>
        </w:rPr>
        <w:t>=</w:t>
      </w:r>
      <w:r>
        <w:rPr>
          <w:rFonts w:hint="eastAsia" w:ascii="宋体" w:hAnsi="宋体"/>
          <w:b/>
          <w:sz w:val="21"/>
          <w:szCs w:val="21"/>
          <w:lang w:val="en-US" w:eastAsia="zh-CN"/>
        </w:rPr>
        <w:t>0</w:t>
      </w:r>
      <w:r>
        <w:rPr>
          <w:rFonts w:hint="eastAsia" w:ascii="宋体" w:hAnsi="宋体"/>
          <w:b/>
          <w:sz w:val="21"/>
          <w:szCs w:val="21"/>
        </w:rPr>
        <w:t>或</w:t>
      </w:r>
      <w:r>
        <w:rPr>
          <w:rFonts w:ascii="宋体" w:hAnsi="宋体"/>
          <w:b/>
          <w:sz w:val="21"/>
          <w:szCs w:val="21"/>
        </w:rPr>
        <w:object>
          <v:shape id="_x0000_i1029" o:spt="75" type="#_x0000_t75" style="height:13.9pt;width:20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ascii="宋体" w:hAnsi="宋体"/>
          <w:b/>
          <w:sz w:val="21"/>
          <w:szCs w:val="21"/>
        </w:rPr>
        <w:t>=</w:t>
      </w:r>
      <w:r>
        <w:rPr>
          <w:rFonts w:hint="eastAsia" w:ascii="宋体" w:hAnsi="宋体"/>
          <w:b/>
          <w:sz w:val="21"/>
          <w:szCs w:val="21"/>
          <w:lang w:val="en-US" w:eastAsia="zh-CN"/>
        </w:rPr>
        <w:t>0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4、8086微处理器可寻址访问的最大I/O空间是(</w:t>
      </w:r>
      <w:r>
        <w:rPr>
          <w:sz w:val="21"/>
          <w:szCs w:val="21"/>
        </w:rPr>
        <w:t xml:space="preserve">  )</w:t>
      </w:r>
      <w:r>
        <w:rPr>
          <w:rFonts w:hint="eastAsia"/>
          <w:sz w:val="21"/>
          <w:szCs w:val="21"/>
        </w:rPr>
        <w:t>。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A．1KB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64KB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>640KB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D．</w:t>
      </w:r>
      <w:r>
        <w:rPr>
          <w:sz w:val="21"/>
          <w:szCs w:val="21"/>
        </w:rPr>
        <w:t>1MB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5、在I/O端口中，由于外设和CPU的速度不一致，通常在I/O逻辑中选用(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)器件完成数据传送功能</w:t>
      </w:r>
      <w:r>
        <w:rPr>
          <w:sz w:val="21"/>
          <w:szCs w:val="21"/>
        </w:rPr>
        <w:t>。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A．移位器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B．译码器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C．锁存器</w:t>
      </w:r>
    </w:p>
    <w:p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D．缓冲器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6、堆栈操作的原则是(  )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A．先进后出的原则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B．存多少取多少的原则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C．栈指针以下（对向下生成的栈）为无效栈顶的原则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D．只进不出的原则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7、CPU的控制总线提供(  )。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A．数据信号流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B．所有存储器和I/O设备的时序信号及控制信号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C．来自I/O设备和存储器的响应信号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D．B和C两项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8、8086/8088中断是向量中断，其中断服务程序的入口地址是(  )提供。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A．外设中断源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B．CPU中断逻辑电路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C．从中断控制器读回中断类型号左移2位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D．由中断类型号指向的中断向量表中读回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9、不属于UART通信错误标志的是(  )。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A．奇偶错误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B．帧错误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C．溢出错误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D．循环错误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10、所谓“端口”是指一些可以由CPU读或写的(  )。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A．RAM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B．ROM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C．寄存器</w:t>
      </w:r>
    </w:p>
    <w:p>
      <w:pPr>
        <w:snapToGrid w:val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D．缓冲器</w:t>
      </w:r>
    </w:p>
    <w:p>
      <w:pPr>
        <w:rPr>
          <w:rFonts w:hint="eastAsia"/>
        </w:rPr>
      </w:pPr>
      <w:r>
        <w:rPr>
          <w:rFonts w:hint="eastAsia" w:eastAsia="黑体"/>
          <w:sz w:val="24"/>
        </w:rPr>
        <w:t>二、填空题（5小题，每小题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hint="eastAsia" w:eastAsia="黑体"/>
          <w:sz w:val="24"/>
        </w:rPr>
        <w:t>分，共</w:t>
      </w:r>
      <w:r>
        <w:rPr>
          <w:rFonts w:hint="eastAsia" w:eastAsia="黑体"/>
          <w:sz w:val="24"/>
          <w:lang w:val="en-US" w:eastAsia="zh-CN"/>
        </w:rPr>
        <w:t>2</w:t>
      </w:r>
      <w:r>
        <w:rPr>
          <w:rFonts w:hint="eastAsia" w:eastAsia="黑体"/>
          <w:sz w:val="24"/>
        </w:rPr>
        <w:t>0分）</w:t>
      </w:r>
    </w:p>
    <w:p>
      <w:pPr>
        <w:snapToGrid w:val="0"/>
      </w:pPr>
      <w:r>
        <w:rPr>
          <w:rFonts w:hint="eastAsia"/>
          <w:sz w:val="28"/>
        </w:rPr>
        <w:t>1、</w:t>
      </w:r>
      <w:r>
        <w:rPr>
          <w:rFonts w:hint="eastAsia"/>
        </w:rPr>
        <w:t>I/O地址译码方法包括全译码、部分译码和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  <w:sz w:val="28"/>
        </w:rPr>
        <w:t>2、</w:t>
      </w:r>
      <w:r>
        <w:rPr>
          <w:rFonts w:hint="eastAsia"/>
        </w:rPr>
        <w:t>在8259A中，用于存放欲请求服务的所有中断请求信号的寄存器为IRR；用于存放正在被服务的中断优先级的寄存器为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  <w:sz w:val="28"/>
        </w:rPr>
        <w:t>3、</w:t>
      </w:r>
      <w:r>
        <w:rPr>
          <w:rFonts w:hint="eastAsia"/>
        </w:rPr>
        <w:t>中断服务程序的入口地址由服务程序的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和偏移地址IP两部分组成。</w:t>
      </w:r>
    </w:p>
    <w:p>
      <w:pPr>
        <w:snapToGrid w:val="0"/>
      </w:pPr>
      <w:r>
        <w:rPr>
          <w:sz w:val="28"/>
        </w:rPr>
        <w:t>4</w:t>
      </w:r>
      <w:r>
        <w:rPr>
          <w:rFonts w:hint="eastAsia"/>
          <w:sz w:val="28"/>
        </w:rPr>
        <w:t>、</w:t>
      </w:r>
      <w:bookmarkStart w:id="0" w:name="_Hlk9701234"/>
      <w:r>
        <w:rPr>
          <w:rFonts w:hint="eastAsia"/>
        </w:rPr>
        <w:t>外设准备就绪时，它就通过接口向D</w:t>
      </w:r>
      <w:r>
        <w:t>MAC</w:t>
      </w:r>
      <w:r>
        <w:rPr>
          <w:rFonts w:hint="eastAsia"/>
        </w:rPr>
        <w:t>发出一个D</w:t>
      </w:r>
      <w:r>
        <w:t>MA</w:t>
      </w:r>
      <w:r>
        <w:rPr>
          <w:rFonts w:hint="eastAsia"/>
        </w:rPr>
        <w:t>请求，该请求信号是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</w:t>
      </w:r>
      <w:r>
        <w:rPr>
          <w:rFonts w:hint="eastAsia"/>
        </w:rPr>
        <w:t>。</w:t>
      </w:r>
      <w:bookmarkEnd w:id="0"/>
    </w:p>
    <w:p>
      <w:pPr>
        <w:snapToGrid w:val="0"/>
      </w:pPr>
      <w:r>
        <w:rPr>
          <w:sz w:val="28"/>
        </w:rPr>
        <w:t>5</w:t>
      </w:r>
      <w:r>
        <w:rPr>
          <w:rFonts w:hint="eastAsia"/>
          <w:sz w:val="28"/>
        </w:rPr>
        <w:t>、</w:t>
      </w:r>
      <w:r>
        <w:rPr>
          <w:rFonts w:hint="eastAsia"/>
        </w:rPr>
        <w:t>模/数转换期间要求模拟信号保持稳定，因此当输入信号变化速率较快时，都应采用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  <w:color w:val="000000"/>
          <w:szCs w:val="21"/>
          <w:lang w:val="en-US" w:eastAsia="zh-CN"/>
        </w:rPr>
        <w:t>6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8</w:t>
      </w:r>
      <w:r>
        <w:t>2C54A</w:t>
      </w:r>
      <w:r>
        <w:rPr>
          <w:rFonts w:hint="eastAsia"/>
        </w:rPr>
        <w:t>采用BCD码</w:t>
      </w:r>
      <w:r>
        <w:t>计数时，其最大计数值为</w:t>
      </w:r>
      <w:r>
        <w:rPr>
          <w:rFonts w:hint="eastAsia"/>
        </w:rPr>
        <w:t>10000，</w:t>
      </w:r>
      <w:r>
        <w:t>此</w:t>
      </w:r>
      <w:r>
        <w:rPr>
          <w:rFonts w:hint="eastAsia"/>
        </w:rPr>
        <w:t>时的</w:t>
      </w:r>
      <w:r>
        <w:t>计数初值为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  <w:color w:val="000000"/>
          <w:szCs w:val="21"/>
          <w:lang w:val="en-US" w:eastAsia="zh-CN"/>
        </w:rPr>
        <w:t>7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在8086/8088系统中，“保护现场”用的指令是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，“恢复现场”用的指令是POP。</w:t>
      </w:r>
    </w:p>
    <w:p>
      <w:pPr>
        <w:snapToGrid w:val="0"/>
      </w:pPr>
      <w:r>
        <w:rPr>
          <w:rFonts w:hint="eastAsia"/>
          <w:color w:val="000000"/>
          <w:szCs w:val="21"/>
          <w:lang w:val="en-US" w:eastAsia="zh-CN"/>
        </w:rPr>
        <w:t>8</w:t>
      </w:r>
      <w:r>
        <w:rPr>
          <w:rFonts w:hint="eastAsia"/>
          <w:color w:val="000000"/>
          <w:szCs w:val="21"/>
        </w:rPr>
        <w:t>、</w:t>
      </w:r>
      <w:r>
        <w:t>8259A</w:t>
      </w:r>
      <w:r>
        <w:rPr>
          <w:rFonts w:hint="eastAsia"/>
        </w:rPr>
        <w:t>作为</w:t>
      </w:r>
      <w:r>
        <w:t>主片时，其引脚</w:t>
      </w:r>
      <w:r>
        <w:rPr>
          <w:rFonts w:hint="eastAsia"/>
        </w:rPr>
        <w:t>CAS0</w:t>
      </w:r>
      <w:r>
        <w:t>-CAS2</w:t>
      </w:r>
      <w:r>
        <w:rPr>
          <w:rFonts w:hint="eastAsia"/>
        </w:rPr>
        <w:t>的</w:t>
      </w:r>
      <w:r>
        <w:t>信息传送方向是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>
      <w:pPr>
        <w:snapToGrid w:val="0"/>
      </w:pPr>
      <w:r>
        <w:rPr>
          <w:rFonts w:hint="eastAsia"/>
          <w:color w:val="000000"/>
          <w:szCs w:val="21"/>
          <w:lang w:val="en-US" w:eastAsia="zh-CN"/>
        </w:rPr>
        <w:t>9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中断传输用于传输总线中的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相关数据。</w:t>
      </w:r>
    </w:p>
    <w:p>
      <w:pPr>
        <w:snapToGrid w:val="0"/>
      </w:pPr>
      <w:r>
        <w:rPr>
          <w:rFonts w:hint="eastAsia"/>
          <w:color w:val="000000"/>
          <w:szCs w:val="21"/>
          <w:lang w:val="en-US" w:eastAsia="zh-CN"/>
        </w:rPr>
        <w:t>10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整个DMA的工作过程可以分为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、DMA的数据传送、DMA传送结束等三个阶段。</w:t>
      </w:r>
    </w:p>
    <w:p>
      <w:pPr>
        <w:rPr>
          <w:rFonts w:hint="eastAsia" w:eastAsia="黑体"/>
          <w:sz w:val="24"/>
        </w:rPr>
      </w:pPr>
      <w:r>
        <w:rPr>
          <w:rFonts w:hint="eastAsia" w:eastAsia="黑体"/>
          <w:sz w:val="24"/>
          <w:lang w:val="en-US" w:eastAsia="zh-CN"/>
        </w:rPr>
        <w:t>三</w:t>
      </w:r>
      <w:r>
        <w:rPr>
          <w:rFonts w:hint="eastAsia" w:eastAsia="黑体"/>
          <w:sz w:val="24"/>
        </w:rPr>
        <w:t>、</w:t>
      </w:r>
      <w:r>
        <w:rPr>
          <w:rFonts w:hint="eastAsia" w:eastAsia="黑体"/>
          <w:sz w:val="24"/>
          <w:lang w:val="en-US" w:eastAsia="zh-CN"/>
        </w:rPr>
        <w:t>综合</w:t>
      </w:r>
      <w:r>
        <w:rPr>
          <w:rFonts w:hint="eastAsia" w:eastAsia="黑体"/>
          <w:sz w:val="24"/>
        </w:rPr>
        <w:t>应用题（</w:t>
      </w:r>
      <w:r>
        <w:rPr>
          <w:rFonts w:hint="eastAsia" w:eastAsia="黑体"/>
          <w:sz w:val="24"/>
          <w:lang w:val="en-US" w:eastAsia="zh-CN"/>
        </w:rPr>
        <w:t>5</w:t>
      </w:r>
      <w:r>
        <w:rPr>
          <w:rFonts w:hint="eastAsia" w:eastAsia="黑体"/>
          <w:sz w:val="24"/>
        </w:rPr>
        <w:t>小题，共</w:t>
      </w:r>
      <w:r>
        <w:rPr>
          <w:rFonts w:hint="eastAsia" w:eastAsia="黑体"/>
          <w:sz w:val="24"/>
          <w:lang w:val="en-US" w:eastAsia="zh-CN"/>
        </w:rPr>
        <w:t>6</w:t>
      </w:r>
      <w:r>
        <w:rPr>
          <w:rFonts w:hint="eastAsia" w:eastAsia="黑体"/>
          <w:sz w:val="24"/>
        </w:rPr>
        <w:t>0分）</w:t>
      </w:r>
    </w:p>
    <w:p>
      <w:pPr>
        <w:snapToGrid w:val="0"/>
        <w:rPr>
          <w:rFonts w:hint="default" w:eastAsia="宋体"/>
          <w:lang w:val="en-US" w:eastAsia="zh-CN"/>
        </w:rPr>
      </w:pPr>
      <w:r>
        <w:rPr>
          <w:rFonts w:hint="eastAsia"/>
        </w:rPr>
        <w:t>1、</w:t>
      </w:r>
      <w:bookmarkStart w:id="1" w:name="_Hlk9758800"/>
      <w:r>
        <w:rPr>
          <w:rFonts w:hint="eastAsia"/>
        </w:rPr>
        <w:t>为某应用系统配置一个并行打印机接口，使用并行接口的PC2选通打印机接口，使用并行接口的PC7查询打印机接口状态，进行打印机接口电路设计，绘出电路图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并给出82C55A的初始化程序段</w:t>
      </w:r>
      <w:r>
        <w:rPr>
          <w:rFonts w:hint="eastAsia"/>
        </w:rPr>
        <w:t>。</w:t>
      </w:r>
      <w:bookmarkEnd w:id="1"/>
      <w:r>
        <w:rPr>
          <w:rFonts w:hint="eastAsia"/>
          <w:lang w:val="en-US" w:eastAsia="zh-CN"/>
        </w:rPr>
        <w:t>12分</w:t>
      </w:r>
    </w:p>
    <w:p>
      <w:pPr>
        <w:snapToGrid w:val="0"/>
        <w:rPr>
          <w:rFonts w:hint="default" w:eastAsia="宋体"/>
          <w:lang w:val="en-US" w:eastAsia="zh-CN"/>
        </w:rPr>
      </w:pPr>
      <w:r>
        <w:rPr>
          <w:rFonts w:hint="eastAsia"/>
        </w:rPr>
        <w:t>2、某系统中有3片8259A级联使用，1片为8259A主片，2片为8259A从片，从片接入8259A主片的IR2和IR5端，并且当前8259A主片的IR3及两片8259A从片的IR4各接有一个外部中断源。请绘制硬件连接图。</w:t>
      </w:r>
      <w:r>
        <w:rPr>
          <w:rFonts w:hint="eastAsia"/>
          <w:lang w:val="en-US" w:eastAsia="zh-CN"/>
        </w:rPr>
        <w:t>10分</w:t>
      </w:r>
    </w:p>
    <w:p>
      <w:pPr>
        <w:snapToGrid w:val="0"/>
        <w:rPr>
          <w:rFonts w:hint="eastAsia"/>
        </w:rPr>
      </w:pPr>
      <w:r>
        <w:rPr>
          <w:rFonts w:hint="eastAsia"/>
        </w:rPr>
        <w:t>3、下图中，AD7~AD0 为8086/8088CPU 低八位地址总线。</w:t>
      </w:r>
    </w:p>
    <w:p>
      <w:pPr>
        <w:snapToGrid w:val="0"/>
        <w:jc w:val="center"/>
      </w:pPr>
      <w:r>
        <w:drawing>
          <wp:inline distT="0" distB="0" distL="0" distR="0">
            <wp:extent cx="5274310" cy="1713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hint="default" w:eastAsia="宋体"/>
          <w:lang w:val="en-US" w:eastAsia="zh-CN"/>
        </w:rPr>
      </w:pPr>
      <w:r>
        <w:rPr>
          <w:rFonts w:hint="eastAsia"/>
        </w:rPr>
        <w:t>试分析，8259A占用了几个端口地址，分别为什么？其中ICW1 的地址是什么？</w:t>
      </w:r>
      <w:r>
        <w:rPr>
          <w:rFonts w:hint="eastAsia"/>
          <w:lang w:val="en-US" w:eastAsia="zh-CN"/>
        </w:rPr>
        <w:t>12分</w:t>
      </w:r>
    </w:p>
    <w:p>
      <w:pPr>
        <w:snapToGrid w:val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、某罐头</w:t>
      </w:r>
      <w:r>
        <w:rPr>
          <w:rFonts w:hint="eastAsia"/>
          <w:lang w:val="en-US" w:eastAsia="zh-CN"/>
        </w:rPr>
        <w:t>包装</w:t>
      </w:r>
      <w:r>
        <w:rPr>
          <w:rFonts w:hint="eastAsia"/>
        </w:rPr>
        <w:t>流水线系统电路结构原理如下图所示。一个包装箱能装12罐，要求每通过12罐，流水线要暂停5秒，等待封箱打包完毕，然后重启流水线，继续装箱。</w:t>
      </w:r>
      <w:r>
        <w:rPr>
          <w:rFonts w:hint="eastAsia"/>
          <w:lang w:val="en-US" w:eastAsia="zh-CN"/>
        </w:rPr>
        <w:t>8253</w:t>
      </w:r>
      <w:r>
        <w:rPr>
          <w:rFonts w:hint="eastAsia"/>
        </w:rPr>
        <w:t>的端口地址为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0H~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3H。图中虚线框是流水线工作台示意图，罐头从光源和光敏电阻（R）之间通过时，在晶体管（T）发射极上会产生罐头的脉冲信号，此脉冲信号作为计数脉冲，接到CLK0，对罐头进行计数。</w:t>
      </w:r>
    </w:p>
    <w:p>
      <w:pPr>
        <w:snapToGrid w:val="0"/>
        <w:rPr>
          <w:rFonts w:hint="default" w:eastAsia="宋体"/>
          <w:lang w:val="en-US" w:eastAsia="zh-CN"/>
        </w:rPr>
      </w:pPr>
      <w:r>
        <w:rPr>
          <w:rFonts w:hint="eastAsia"/>
        </w:rPr>
        <w:t>通道0作为计数器工作于方式2，当计数满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罐，OUT0变低，触发通道1的定时操作。通道1作为定时器工作于方式1，OUT1的下跳沿流水线暂停，通道0也停止计数。5秒钟后，OUT1上升沿使流水线重新启动，继续工作，通道0又开始计数。请编写82</w:t>
      </w:r>
      <w:r>
        <w:rPr>
          <w:rFonts w:hint="eastAsia"/>
          <w:lang w:val="en-US" w:eastAsia="zh-CN"/>
        </w:rPr>
        <w:t>53</w:t>
      </w:r>
      <w:bookmarkStart w:id="3" w:name="_GoBack"/>
      <w:bookmarkEnd w:id="3"/>
      <w:r>
        <w:rPr>
          <w:rFonts w:hint="eastAsia"/>
        </w:rPr>
        <w:t>控制程序。</w:t>
      </w:r>
      <w:r>
        <w:rPr>
          <w:rFonts w:hint="eastAsia"/>
          <w:lang w:val="en-US" w:eastAsia="zh-CN"/>
        </w:rPr>
        <w:t>12分</w:t>
      </w: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4596130" cy="1871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613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center"/>
      </w:pPr>
    </w:p>
    <w:p>
      <w:pPr>
        <w:numPr>
          <w:ilvl w:val="0"/>
          <w:numId w:val="0"/>
        </w:numPr>
        <w:snapToGrid w:val="0"/>
        <w:rPr>
          <w:rFonts w:hint="default"/>
          <w:lang w:val="en-US"/>
        </w:rPr>
      </w:pPr>
      <w:bookmarkStart w:id="2" w:name="_Hlk9759249"/>
      <w:r>
        <w:rPr>
          <w:rFonts w:hint="eastAsia"/>
          <w:lang w:val="en-US" w:eastAsia="zh-CN"/>
        </w:rPr>
        <w:t>5、</w:t>
      </w:r>
      <w:r>
        <w:rPr>
          <w:rFonts w:hint="eastAsia"/>
        </w:rPr>
        <w:t>为某应用系统配置一个并行打印机接口，使用并行接口的P</w:t>
      </w:r>
      <w:r>
        <w:t>C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选通打印机接口，使用并行接口的P</w:t>
      </w:r>
      <w:r>
        <w:t>C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查询打印机接口状态，</w:t>
      </w:r>
      <w:r>
        <w:rPr>
          <w:rFonts w:hint="eastAsia"/>
          <w:lang w:val="en-US" w:eastAsia="zh-CN"/>
        </w:rPr>
        <w:t>参照本试卷三（1）的电路设计，</w:t>
      </w:r>
      <w:r>
        <w:rPr>
          <w:rFonts w:hint="eastAsia"/>
        </w:rPr>
        <w:t>编写程序实现将buffer缓冲区的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>个字符送打印机输出。</w:t>
      </w:r>
      <w:bookmarkEnd w:id="2"/>
      <w:r>
        <w:rPr>
          <w:rFonts w:hint="eastAsia"/>
          <w:lang w:val="en-US" w:eastAsia="zh-CN"/>
        </w:rPr>
        <w:t>(假设并行接口的端口地址为378H~37BH.) 14分</w:t>
      </w:r>
    </w:p>
    <w:p>
      <w:pPr>
        <w:numPr>
          <w:ilvl w:val="0"/>
          <w:numId w:val="0"/>
        </w:numPr>
        <w:snapToGrid w:val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altName w:val="仿宋"/>
    <w:panose1 w:val="00000000000000000000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5A9"/>
    <w:rsid w:val="00182B0B"/>
    <w:rsid w:val="00D375A9"/>
    <w:rsid w:val="129A1EE8"/>
    <w:rsid w:val="455279F1"/>
    <w:rsid w:val="68041C85"/>
    <w:rsid w:val="6DC9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e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345</Words>
  <Characters>1969</Characters>
  <Lines>16</Lines>
  <Paragraphs>4</Paragraphs>
  <TotalTime>22</TotalTime>
  <ScaleCrop>false</ScaleCrop>
  <LinksUpToDate>false</LinksUpToDate>
  <CharactersWithSpaces>2310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2019-05-26T03:01:00Z</dcterms:created>
  <dc:creator>1379946299@qq.com</dc:creator>
  <cp:lastModifiedBy>碧荷</cp:lastModifiedBy>
  <dcterms:modified xsi:type="dcterms:W3CDTF">2020-06-04T00:06:57Z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