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6C3" w:rsidRDefault="001856C3" w:rsidP="001F0F3D">
      <w:pPr>
        <w:spacing w:before="100" w:beforeAutospacing="1" w:after="100" w:afterAutospacing="1"/>
        <w:rPr>
          <w:rFonts w:ascii="黑体" w:eastAsia="黑体" w:hAnsi="黑体" w:hint="eastAsia"/>
          <w:sz w:val="32"/>
          <w:szCs w:val="32"/>
        </w:rPr>
      </w:pPr>
      <w:r w:rsidRPr="001856C3">
        <w:rPr>
          <w:rFonts w:ascii="黑体" w:eastAsia="黑体" w:hAnsi="黑体" w:hint="eastAsia"/>
          <w:sz w:val="32"/>
          <w:szCs w:val="32"/>
        </w:rPr>
        <w:t>题目</w:t>
      </w:r>
      <w:proofErr w:type="gramStart"/>
      <w:r w:rsidRPr="001856C3">
        <w:rPr>
          <w:rFonts w:ascii="黑体" w:eastAsia="黑体" w:hAnsi="黑体" w:hint="eastAsia"/>
          <w:sz w:val="32"/>
          <w:szCs w:val="32"/>
        </w:rPr>
        <w:t>一</w:t>
      </w:r>
      <w:proofErr w:type="gramEnd"/>
      <w:r w:rsidRPr="001856C3">
        <w:rPr>
          <w:rFonts w:ascii="黑体" w:eastAsia="黑体" w:hAnsi="黑体" w:hint="eastAsia"/>
          <w:sz w:val="32"/>
          <w:szCs w:val="32"/>
        </w:rPr>
        <w:t>：</w:t>
      </w:r>
      <w:r w:rsidR="00CB1F07">
        <w:rPr>
          <w:rFonts w:ascii="黑体" w:eastAsia="黑体" w:hAnsi="黑体" w:hint="eastAsia"/>
          <w:sz w:val="32"/>
          <w:szCs w:val="32"/>
        </w:rPr>
        <w:t>（5</w:t>
      </w:r>
      <w:r w:rsidR="001F0F3D">
        <w:rPr>
          <w:rFonts w:ascii="黑体" w:eastAsia="黑体" w:hAnsi="黑体" w:hint="eastAsia"/>
          <w:sz w:val="32"/>
          <w:szCs w:val="32"/>
        </w:rPr>
        <w:t>5</w:t>
      </w:r>
      <w:r w:rsidR="00CB1F07">
        <w:rPr>
          <w:rFonts w:ascii="黑体" w:eastAsia="黑体" w:hAnsi="黑体" w:hint="eastAsia"/>
          <w:sz w:val="32"/>
          <w:szCs w:val="32"/>
        </w:rPr>
        <w:t>分）</w:t>
      </w:r>
    </w:p>
    <w:p w:rsidR="00A94E64" w:rsidRDefault="00A94E64" w:rsidP="00A94E64">
      <w:pPr>
        <w:spacing w:before="100" w:beforeAutospacing="1" w:after="100" w:afterAutospacing="1"/>
        <w:jc w:val="left"/>
        <w:rPr>
          <w:rFonts w:ascii="黑体" w:eastAsia="黑体" w:hAnsi="黑体"/>
          <w:sz w:val="32"/>
          <w:szCs w:val="32"/>
        </w:rPr>
      </w:pPr>
      <w:r>
        <w:rPr>
          <w:rFonts w:ascii="黑体" w:eastAsia="黑体" w:hAnsi="黑体" w:hint="eastAsia"/>
          <w:sz w:val="32"/>
          <w:szCs w:val="32"/>
        </w:rPr>
        <w:t>原图下载地址</w:t>
      </w:r>
      <w:hyperlink r:id="rId8" w:history="1">
        <w:r w:rsidRPr="00A94E64">
          <w:rPr>
            <w:rStyle w:val="a3"/>
            <w:rFonts w:ascii="黑体" w:eastAsia="黑体" w:hAnsi="黑体"/>
            <w:sz w:val="22"/>
            <w:szCs w:val="32"/>
          </w:rPr>
          <w:t>https://github.com/LiGuiye/docs/blob/master/</w:t>
        </w:r>
        <w:r w:rsidRPr="00A94E64">
          <w:rPr>
            <w:rStyle w:val="a3"/>
            <w:rFonts w:ascii="黑体" w:eastAsia="黑体" w:hAnsi="黑体" w:hint="eastAsia"/>
            <w:sz w:val="22"/>
            <w:szCs w:val="32"/>
          </w:rPr>
          <w:t>土地利用总体规划</w:t>
        </w:r>
        <w:bookmarkStart w:id="0" w:name="_GoBack"/>
        <w:bookmarkEnd w:id="0"/>
        <w:r w:rsidRPr="00A94E64">
          <w:rPr>
            <w:rStyle w:val="a3"/>
            <w:rFonts w:ascii="黑体" w:eastAsia="黑体" w:hAnsi="黑体" w:hint="eastAsia"/>
            <w:sz w:val="22"/>
            <w:szCs w:val="32"/>
          </w:rPr>
          <w:t>_</w:t>
        </w:r>
        <w:r w:rsidRPr="00A94E64">
          <w:rPr>
            <w:rStyle w:val="a3"/>
            <w:rFonts w:ascii="黑体" w:eastAsia="黑体" w:hAnsi="黑体" w:hint="eastAsia"/>
            <w:sz w:val="22"/>
            <w:szCs w:val="32"/>
          </w:rPr>
          <w:t>李桂叶</w:t>
        </w:r>
        <w:r w:rsidRPr="00A94E64">
          <w:rPr>
            <w:rStyle w:val="a3"/>
            <w:rFonts w:ascii="黑体" w:eastAsia="黑体" w:hAnsi="黑体"/>
            <w:sz w:val="22"/>
            <w:szCs w:val="32"/>
          </w:rPr>
          <w:t>.png</w:t>
        </w:r>
      </w:hyperlink>
    </w:p>
    <w:p w:rsidR="001D4AC2" w:rsidRDefault="001D4AC2" w:rsidP="001D4AC2">
      <w:pPr>
        <w:keepNext/>
        <w:spacing w:before="100" w:beforeAutospacing="1" w:after="100" w:afterAutospacing="1"/>
        <w:jc w:val="center"/>
      </w:pPr>
      <w:r>
        <w:rPr>
          <w:rFonts w:ascii="黑体" w:eastAsia="黑体" w:hAnsi="黑体"/>
          <w:noProof/>
          <w:sz w:val="32"/>
          <w:szCs w:val="32"/>
        </w:rPr>
        <w:drawing>
          <wp:inline distT="0" distB="0" distL="0" distR="0" wp14:anchorId="4C25EB5A" wp14:editId="65C2ACE1">
            <wp:extent cx="2004973" cy="3610098"/>
            <wp:effectExtent l="0" t="0" r="0" b="0"/>
            <wp:docPr id="1" name="图片 1" descr="C:\Users\Administrator\Documents\Tencent Files\1171116470\FileRecv\MobileFile\土地利用总体规划_李桂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Administrator\Documents\Tencent Files\1171116470\FileRecv\MobileFile\土地利用总体规划_李桂叶.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3998" cy="3626347"/>
                    </a:xfrm>
                    <a:prstGeom prst="rect">
                      <a:avLst/>
                    </a:prstGeom>
                    <a:noFill/>
                    <a:ln>
                      <a:noFill/>
                    </a:ln>
                  </pic:spPr>
                </pic:pic>
              </a:graphicData>
            </a:graphic>
          </wp:inline>
        </w:drawing>
      </w:r>
    </w:p>
    <w:p w:rsidR="001D4AC2" w:rsidRPr="001856C3" w:rsidRDefault="001D4AC2" w:rsidP="001D4AC2">
      <w:pPr>
        <w:pStyle w:val="a8"/>
        <w:jc w:val="center"/>
        <w:rPr>
          <w:rFonts w:ascii="黑体" w:hAnsi="黑体"/>
          <w:sz w:val="32"/>
          <w:szCs w:val="3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土地利用总体规划思维导图</w:t>
      </w:r>
    </w:p>
    <w:p w:rsidR="001F0F3D" w:rsidRPr="001856C3" w:rsidRDefault="001F0F3D" w:rsidP="001D4AC2">
      <w:pPr>
        <w:spacing w:beforeLines="50" w:before="156" w:afterLines="50" w:after="156"/>
        <w:rPr>
          <w:rFonts w:ascii="黑体" w:eastAsia="黑体" w:hAnsi="黑体"/>
          <w:sz w:val="32"/>
          <w:szCs w:val="32"/>
        </w:rPr>
      </w:pPr>
      <w:r w:rsidRPr="001856C3">
        <w:rPr>
          <w:rFonts w:ascii="黑体" w:eastAsia="黑体" w:hAnsi="黑体" w:hint="eastAsia"/>
          <w:sz w:val="32"/>
          <w:szCs w:val="32"/>
        </w:rPr>
        <w:lastRenderedPageBreak/>
        <w:t>题目</w:t>
      </w:r>
      <w:r>
        <w:rPr>
          <w:rFonts w:ascii="黑体" w:eastAsia="黑体" w:hAnsi="黑体" w:hint="eastAsia"/>
          <w:sz w:val="32"/>
          <w:szCs w:val="32"/>
        </w:rPr>
        <w:t>二</w:t>
      </w:r>
      <w:r w:rsidRPr="001856C3">
        <w:rPr>
          <w:rFonts w:ascii="黑体" w:eastAsia="黑体" w:hAnsi="黑体" w:hint="eastAsia"/>
          <w:sz w:val="32"/>
          <w:szCs w:val="32"/>
        </w:rPr>
        <w:t>：</w:t>
      </w:r>
      <w:r>
        <w:rPr>
          <w:rFonts w:ascii="黑体" w:eastAsia="黑体" w:hAnsi="黑体" w:hint="eastAsia"/>
          <w:sz w:val="32"/>
          <w:szCs w:val="32"/>
        </w:rPr>
        <w:t>（</w:t>
      </w:r>
      <w:r w:rsidR="0098675C">
        <w:rPr>
          <w:rFonts w:ascii="黑体" w:eastAsia="黑体" w:hAnsi="黑体" w:hint="eastAsia"/>
          <w:sz w:val="32"/>
          <w:szCs w:val="32"/>
        </w:rPr>
        <w:t>25</w:t>
      </w:r>
      <w:r>
        <w:rPr>
          <w:rFonts w:ascii="黑体" w:eastAsia="黑体" w:hAnsi="黑体" w:hint="eastAsia"/>
          <w:sz w:val="32"/>
          <w:szCs w:val="32"/>
        </w:rPr>
        <w:t>分）</w:t>
      </w:r>
    </w:p>
    <w:tbl>
      <w:tblPr>
        <w:tblW w:w="0" w:type="auto"/>
        <w:jc w:val="center"/>
        <w:tblInd w:w="93" w:type="dxa"/>
        <w:tblLook w:val="04A0" w:firstRow="1" w:lastRow="0" w:firstColumn="1" w:lastColumn="0" w:noHBand="0" w:noVBand="1"/>
      </w:tblPr>
      <w:tblGrid>
        <w:gridCol w:w="1905"/>
        <w:gridCol w:w="426"/>
        <w:gridCol w:w="1161"/>
        <w:gridCol w:w="1015"/>
        <w:gridCol w:w="908"/>
        <w:gridCol w:w="1121"/>
        <w:gridCol w:w="749"/>
        <w:gridCol w:w="1604"/>
        <w:gridCol w:w="1308"/>
        <w:gridCol w:w="1751"/>
        <w:gridCol w:w="1012"/>
        <w:gridCol w:w="1121"/>
      </w:tblGrid>
      <w:tr w:rsidR="0098675C" w:rsidRPr="0098675C" w:rsidTr="0098675C">
        <w:trPr>
          <w:trHeight w:val="710"/>
          <w:jc w:val="center"/>
        </w:trPr>
        <w:tc>
          <w:tcPr>
            <w:tcW w:w="0" w:type="auto"/>
            <w:gridSpan w:val="2"/>
            <w:tcBorders>
              <w:top w:val="single" w:sz="8" w:space="0" w:color="auto"/>
              <w:left w:val="single" w:sz="8" w:space="0" w:color="auto"/>
              <w:bottom w:val="nil"/>
              <w:right w:val="single" w:sz="8" w:space="0" w:color="000000"/>
              <w:tl2br w:val="single" w:sz="4" w:space="0" w:color="auto"/>
            </w:tcBorders>
            <w:shd w:val="clear" w:color="auto" w:fill="auto"/>
            <w:vAlign w:val="center"/>
            <w:hideMark/>
          </w:tcPr>
          <w:p w:rsidR="0098675C" w:rsidRPr="0098675C" w:rsidRDefault="00B16BC8" w:rsidP="0098675C">
            <w:pPr>
              <w:widowControl/>
              <w:jc w:val="left"/>
              <w:rPr>
                <w:rFonts w:ascii="宋体" w:eastAsia="宋体" w:hAnsi="宋体" w:cs="宋体"/>
                <w:color w:val="000000"/>
                <w:kern w:val="0"/>
                <w:szCs w:val="18"/>
              </w:rPr>
            </w:pPr>
            <w:r>
              <w:rPr>
                <w:rFonts w:ascii="宋体" w:eastAsia="宋体" w:hAnsi="宋体" w:cs="宋体" w:hint="eastAsia"/>
                <w:color w:val="000000"/>
                <w:kern w:val="0"/>
                <w:szCs w:val="18"/>
              </w:rPr>
              <w:t xml:space="preserve">        </w:t>
            </w:r>
            <w:r w:rsidR="0098675C" w:rsidRPr="0098675C">
              <w:rPr>
                <w:rFonts w:ascii="宋体" w:eastAsia="宋体" w:hAnsi="宋体" w:cs="宋体" w:hint="eastAsia"/>
                <w:color w:val="000000"/>
                <w:kern w:val="0"/>
                <w:szCs w:val="18"/>
              </w:rPr>
              <w:t>变更后地类</w:t>
            </w:r>
            <w:r w:rsidR="0098675C" w:rsidRPr="0098675C">
              <w:rPr>
                <w:rFonts w:ascii="宋体" w:eastAsia="宋体" w:hAnsi="宋体" w:cs="宋体" w:hint="eastAsia"/>
                <w:color w:val="000000"/>
                <w:kern w:val="0"/>
                <w:szCs w:val="18"/>
              </w:rPr>
              <w:br/>
              <w:t xml:space="preserve">   变更前地类     </w:t>
            </w:r>
          </w:p>
        </w:tc>
        <w:tc>
          <w:tcPr>
            <w:tcW w:w="0" w:type="auto"/>
            <w:vMerge w:val="restart"/>
            <w:tcBorders>
              <w:top w:val="single" w:sz="8" w:space="0" w:color="auto"/>
              <w:left w:val="single" w:sz="8" w:space="0" w:color="auto"/>
              <w:bottom w:val="single" w:sz="8" w:space="0" w:color="000000"/>
              <w:right w:val="nil"/>
            </w:tcBorders>
            <w:shd w:val="clear" w:color="auto" w:fill="auto"/>
            <w:vAlign w:val="center"/>
            <w:hideMark/>
          </w:tcPr>
          <w:p w:rsidR="0098675C" w:rsidRPr="0098675C" w:rsidRDefault="0098675C" w:rsidP="0098675C">
            <w:pPr>
              <w:widowControl/>
              <w:jc w:val="center"/>
              <w:rPr>
                <w:rFonts w:ascii="宋体" w:eastAsia="宋体" w:hAnsi="宋体" w:cs="宋体"/>
                <w:kern w:val="0"/>
                <w:szCs w:val="18"/>
              </w:rPr>
            </w:pPr>
            <w:r w:rsidRPr="0098675C">
              <w:rPr>
                <w:rFonts w:ascii="宋体" w:eastAsia="宋体" w:hAnsi="宋体" w:cs="宋体" w:hint="eastAsia"/>
                <w:kern w:val="0"/>
                <w:szCs w:val="18"/>
              </w:rPr>
              <w:t>年初面积</w:t>
            </w:r>
          </w:p>
        </w:tc>
        <w:tc>
          <w:tcPr>
            <w:tcW w:w="0" w:type="auto"/>
            <w:tcBorders>
              <w:top w:val="single" w:sz="8" w:space="0" w:color="auto"/>
              <w:left w:val="single" w:sz="8" w:space="0" w:color="auto"/>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耕地</w:t>
            </w:r>
          </w:p>
        </w:tc>
        <w:tc>
          <w:tcPr>
            <w:tcW w:w="0" w:type="auto"/>
            <w:tcBorders>
              <w:top w:val="single" w:sz="8" w:space="0" w:color="auto"/>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园地</w:t>
            </w:r>
          </w:p>
        </w:tc>
        <w:tc>
          <w:tcPr>
            <w:tcW w:w="0" w:type="auto"/>
            <w:tcBorders>
              <w:top w:val="single" w:sz="8" w:space="0" w:color="auto"/>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林地</w:t>
            </w:r>
          </w:p>
        </w:tc>
        <w:tc>
          <w:tcPr>
            <w:tcW w:w="0" w:type="auto"/>
            <w:tcBorders>
              <w:top w:val="single" w:sz="8" w:space="0" w:color="auto"/>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草地</w:t>
            </w:r>
          </w:p>
        </w:tc>
        <w:tc>
          <w:tcPr>
            <w:tcW w:w="0" w:type="auto"/>
            <w:tcBorders>
              <w:top w:val="single" w:sz="8" w:space="0" w:color="auto"/>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城镇村及工矿用地</w:t>
            </w:r>
          </w:p>
        </w:tc>
        <w:tc>
          <w:tcPr>
            <w:tcW w:w="0" w:type="auto"/>
            <w:tcBorders>
              <w:top w:val="single" w:sz="8" w:space="0" w:color="auto"/>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交通运输用地</w:t>
            </w:r>
          </w:p>
        </w:tc>
        <w:tc>
          <w:tcPr>
            <w:tcW w:w="0" w:type="auto"/>
            <w:tcBorders>
              <w:top w:val="single" w:sz="8" w:space="0" w:color="auto"/>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水域及水利设施用地</w:t>
            </w:r>
          </w:p>
        </w:tc>
        <w:tc>
          <w:tcPr>
            <w:tcW w:w="0" w:type="auto"/>
            <w:tcBorders>
              <w:top w:val="single" w:sz="8" w:space="0" w:color="auto"/>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其他土地</w:t>
            </w:r>
          </w:p>
        </w:tc>
        <w:tc>
          <w:tcPr>
            <w:tcW w:w="0" w:type="auto"/>
            <w:vMerge w:val="restart"/>
            <w:tcBorders>
              <w:top w:val="single" w:sz="8" w:space="0" w:color="auto"/>
              <w:left w:val="single" w:sz="4" w:space="0" w:color="auto"/>
              <w:bottom w:val="single" w:sz="8" w:space="0" w:color="000000"/>
              <w:right w:val="single" w:sz="4" w:space="0" w:color="auto"/>
            </w:tcBorders>
            <w:shd w:val="clear" w:color="000000" w:fill="FFFFFF"/>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合计</w:t>
            </w:r>
          </w:p>
        </w:tc>
      </w:tr>
      <w:tr w:rsidR="0098675C" w:rsidRPr="0098675C" w:rsidTr="0098675C">
        <w:trPr>
          <w:trHeight w:val="285"/>
          <w:jc w:val="center"/>
        </w:trPr>
        <w:tc>
          <w:tcPr>
            <w:tcW w:w="0" w:type="auto"/>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地类代码</w:t>
            </w:r>
          </w:p>
        </w:tc>
        <w:tc>
          <w:tcPr>
            <w:tcW w:w="0" w:type="auto"/>
            <w:vMerge/>
            <w:tcBorders>
              <w:top w:val="single" w:sz="8" w:space="0" w:color="auto"/>
              <w:left w:val="single" w:sz="8" w:space="0" w:color="auto"/>
              <w:bottom w:val="single" w:sz="8" w:space="0" w:color="000000"/>
              <w:right w:val="nil"/>
            </w:tcBorders>
            <w:vAlign w:val="center"/>
            <w:hideMark/>
          </w:tcPr>
          <w:p w:rsidR="0098675C" w:rsidRPr="0098675C" w:rsidRDefault="0098675C" w:rsidP="0098675C">
            <w:pPr>
              <w:widowControl/>
              <w:jc w:val="left"/>
              <w:rPr>
                <w:rFonts w:ascii="宋体" w:eastAsia="宋体" w:hAnsi="宋体" w:cs="宋体"/>
                <w:kern w:val="0"/>
                <w:szCs w:val="18"/>
              </w:rPr>
            </w:pPr>
          </w:p>
        </w:tc>
        <w:tc>
          <w:tcPr>
            <w:tcW w:w="0" w:type="auto"/>
            <w:tcBorders>
              <w:top w:val="nil"/>
              <w:left w:val="single" w:sz="4" w:space="0" w:color="auto"/>
              <w:bottom w:val="single" w:sz="8"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01</w:t>
            </w:r>
          </w:p>
        </w:tc>
        <w:tc>
          <w:tcPr>
            <w:tcW w:w="0" w:type="auto"/>
            <w:tcBorders>
              <w:top w:val="nil"/>
              <w:left w:val="nil"/>
              <w:bottom w:val="single" w:sz="8"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02</w:t>
            </w:r>
          </w:p>
        </w:tc>
        <w:tc>
          <w:tcPr>
            <w:tcW w:w="0" w:type="auto"/>
            <w:tcBorders>
              <w:top w:val="nil"/>
              <w:left w:val="nil"/>
              <w:bottom w:val="single" w:sz="8"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03</w:t>
            </w:r>
          </w:p>
        </w:tc>
        <w:tc>
          <w:tcPr>
            <w:tcW w:w="0" w:type="auto"/>
            <w:tcBorders>
              <w:top w:val="nil"/>
              <w:left w:val="nil"/>
              <w:bottom w:val="single" w:sz="8"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04</w:t>
            </w:r>
          </w:p>
        </w:tc>
        <w:tc>
          <w:tcPr>
            <w:tcW w:w="0" w:type="auto"/>
            <w:tcBorders>
              <w:top w:val="nil"/>
              <w:left w:val="nil"/>
              <w:bottom w:val="single" w:sz="8"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20</w:t>
            </w:r>
          </w:p>
        </w:tc>
        <w:tc>
          <w:tcPr>
            <w:tcW w:w="0" w:type="auto"/>
            <w:tcBorders>
              <w:top w:val="nil"/>
              <w:left w:val="nil"/>
              <w:bottom w:val="single" w:sz="8"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10</w:t>
            </w:r>
          </w:p>
        </w:tc>
        <w:tc>
          <w:tcPr>
            <w:tcW w:w="0" w:type="auto"/>
            <w:tcBorders>
              <w:top w:val="nil"/>
              <w:left w:val="nil"/>
              <w:bottom w:val="single" w:sz="8"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11</w:t>
            </w:r>
          </w:p>
        </w:tc>
        <w:tc>
          <w:tcPr>
            <w:tcW w:w="0" w:type="auto"/>
            <w:tcBorders>
              <w:top w:val="nil"/>
              <w:left w:val="nil"/>
              <w:bottom w:val="single" w:sz="8"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12</w:t>
            </w:r>
          </w:p>
        </w:tc>
        <w:tc>
          <w:tcPr>
            <w:tcW w:w="0" w:type="auto"/>
            <w:vMerge/>
            <w:tcBorders>
              <w:top w:val="single" w:sz="8" w:space="0" w:color="auto"/>
              <w:left w:val="single" w:sz="4" w:space="0" w:color="auto"/>
              <w:bottom w:val="single" w:sz="8" w:space="0" w:color="000000"/>
              <w:right w:val="single" w:sz="4" w:space="0" w:color="auto"/>
            </w:tcBorders>
            <w:vAlign w:val="center"/>
            <w:hideMark/>
          </w:tcPr>
          <w:p w:rsidR="0098675C" w:rsidRPr="0098675C" w:rsidRDefault="0098675C" w:rsidP="0098675C">
            <w:pPr>
              <w:widowControl/>
              <w:jc w:val="left"/>
              <w:rPr>
                <w:rFonts w:ascii="宋体" w:eastAsia="宋体" w:hAnsi="宋体" w:cs="宋体"/>
                <w:color w:val="000000"/>
                <w:kern w:val="0"/>
                <w:szCs w:val="18"/>
              </w:rPr>
            </w:pPr>
          </w:p>
        </w:tc>
      </w:tr>
      <w:tr w:rsidR="00043E48" w:rsidRPr="0098675C" w:rsidTr="00BF0153">
        <w:trPr>
          <w:trHeight w:val="300"/>
          <w:jc w:val="center"/>
        </w:trPr>
        <w:tc>
          <w:tcPr>
            <w:tcW w:w="190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耕地</w:t>
            </w:r>
          </w:p>
        </w:tc>
        <w:tc>
          <w:tcPr>
            <w:tcW w:w="426" w:type="dxa"/>
            <w:tcBorders>
              <w:top w:val="nil"/>
              <w:left w:val="nil"/>
              <w:bottom w:val="single" w:sz="4" w:space="0" w:color="auto"/>
              <w:right w:val="single" w:sz="8"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01</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45126.19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　</w:t>
            </w:r>
            <w:r>
              <w:rPr>
                <w:rFonts w:ascii="宋体" w:eastAsia="宋体" w:hAnsi="宋体" w:cs="宋体" w:hint="eastAsia"/>
                <w:color w:val="000000"/>
                <w:kern w:val="0"/>
                <w:szCs w:val="18"/>
              </w:rPr>
              <w:t>—</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14.38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46.41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7.01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0.31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1.52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69.63 </w:t>
            </w:r>
          </w:p>
        </w:tc>
      </w:tr>
      <w:tr w:rsidR="00043E48" w:rsidRPr="0098675C" w:rsidTr="00BF0153">
        <w:trPr>
          <w:trHeight w:val="285"/>
          <w:jc w:val="center"/>
        </w:trPr>
        <w:tc>
          <w:tcPr>
            <w:tcW w:w="1905" w:type="dxa"/>
            <w:tcBorders>
              <w:top w:val="nil"/>
              <w:left w:val="single" w:sz="8" w:space="0" w:color="auto"/>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园地</w:t>
            </w:r>
          </w:p>
        </w:tc>
        <w:tc>
          <w:tcPr>
            <w:tcW w:w="426" w:type="dxa"/>
            <w:tcBorders>
              <w:top w:val="nil"/>
              <w:left w:val="nil"/>
              <w:bottom w:val="single" w:sz="4" w:space="0" w:color="auto"/>
              <w:right w:val="single" w:sz="8"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02</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3435.65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12.30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　</w:t>
            </w:r>
            <w:r>
              <w:rPr>
                <w:rFonts w:ascii="宋体" w:eastAsia="宋体" w:hAnsi="宋体" w:cs="宋体" w:hint="eastAsia"/>
                <w:color w:val="000000"/>
                <w:kern w:val="0"/>
                <w:szCs w:val="18"/>
              </w:rPr>
              <w:t>—</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0.42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0.68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0.27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13.67 </w:t>
            </w:r>
          </w:p>
        </w:tc>
      </w:tr>
      <w:tr w:rsidR="00B16BC8" w:rsidRPr="0098675C" w:rsidTr="00BF0153">
        <w:trPr>
          <w:trHeight w:val="285"/>
          <w:jc w:val="center"/>
        </w:trPr>
        <w:tc>
          <w:tcPr>
            <w:tcW w:w="1905" w:type="dxa"/>
            <w:tcBorders>
              <w:top w:val="nil"/>
              <w:left w:val="single" w:sz="8" w:space="0" w:color="auto"/>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林地</w:t>
            </w:r>
          </w:p>
        </w:tc>
        <w:tc>
          <w:tcPr>
            <w:tcW w:w="426" w:type="dxa"/>
            <w:tcBorders>
              <w:top w:val="nil"/>
              <w:left w:val="nil"/>
              <w:bottom w:val="single" w:sz="4" w:space="0" w:color="auto"/>
              <w:right w:val="single" w:sz="8"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03</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265306.30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572DDB" w:rsidP="0098675C">
            <w:pPr>
              <w:widowControl/>
              <w:jc w:val="center"/>
              <w:rPr>
                <w:rFonts w:ascii="宋体" w:eastAsia="宋体" w:hAnsi="宋体" w:cs="宋体"/>
                <w:color w:val="000000"/>
                <w:kern w:val="0"/>
                <w:szCs w:val="18"/>
                <w:highlight w:val="yellow"/>
              </w:rPr>
            </w:pPr>
            <w:r>
              <w:rPr>
                <w:rFonts w:ascii="宋体" w:eastAsia="宋体" w:hAnsi="宋体" w:cs="宋体" w:hint="eastAsia"/>
                <w:color w:val="000000"/>
                <w:kern w:val="0"/>
                <w:szCs w:val="18"/>
                <w:highlight w:val="yellow"/>
              </w:rPr>
              <w:t>32</w:t>
            </w:r>
            <w:r w:rsidR="0019233F" w:rsidRPr="0098675C">
              <w:rPr>
                <w:rFonts w:ascii="宋体" w:eastAsia="宋体" w:hAnsi="宋体" w:cs="宋体" w:hint="eastAsia"/>
                <w:color w:val="000000"/>
                <w:kern w:val="0"/>
                <w:szCs w:val="18"/>
                <w:highlight w:val="yellow"/>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　</w:t>
            </w:r>
            <w:r>
              <w:rPr>
                <w:rFonts w:ascii="宋体" w:eastAsia="宋体" w:hAnsi="宋体" w:cs="宋体" w:hint="eastAsia"/>
                <w:color w:val="000000"/>
                <w:kern w:val="0"/>
                <w:szCs w:val="18"/>
              </w:rPr>
              <w:t>—</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11.99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6.15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0.07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1.43 </w:t>
            </w:r>
          </w:p>
        </w:tc>
        <w:tc>
          <w:tcPr>
            <w:tcW w:w="0" w:type="auto"/>
            <w:tcBorders>
              <w:top w:val="nil"/>
              <w:left w:val="nil"/>
              <w:bottom w:val="single" w:sz="4" w:space="0" w:color="auto"/>
              <w:right w:val="single" w:sz="4" w:space="0" w:color="auto"/>
            </w:tcBorders>
            <w:shd w:val="thinDiagStripe" w:color="000000" w:fill="auto"/>
            <w:vAlign w:val="center"/>
            <w:hideMark/>
          </w:tcPr>
          <w:p w:rsidR="0019233F" w:rsidRDefault="0019233F">
            <w:pPr>
              <w:jc w:val="center"/>
              <w:rPr>
                <w:rFonts w:ascii="宋体" w:eastAsia="宋体" w:hAnsi="宋体" w:cs="宋体"/>
                <w:color w:val="FF0000"/>
                <w:szCs w:val="21"/>
              </w:rPr>
            </w:pPr>
            <w:r>
              <w:rPr>
                <w:rFonts w:hint="eastAsia"/>
                <w:color w:val="FF0000"/>
                <w:szCs w:val="21"/>
              </w:rPr>
              <w:t>51.64</w:t>
            </w:r>
          </w:p>
        </w:tc>
      </w:tr>
      <w:tr w:rsidR="00B16BC8" w:rsidRPr="0098675C" w:rsidTr="00BF0153">
        <w:trPr>
          <w:trHeight w:val="285"/>
          <w:jc w:val="center"/>
        </w:trPr>
        <w:tc>
          <w:tcPr>
            <w:tcW w:w="1905" w:type="dxa"/>
            <w:tcBorders>
              <w:top w:val="nil"/>
              <w:left w:val="single" w:sz="8" w:space="0" w:color="auto"/>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草地</w:t>
            </w:r>
          </w:p>
        </w:tc>
        <w:tc>
          <w:tcPr>
            <w:tcW w:w="426" w:type="dxa"/>
            <w:tcBorders>
              <w:top w:val="nil"/>
              <w:left w:val="nil"/>
              <w:bottom w:val="single" w:sz="4" w:space="0" w:color="auto"/>
              <w:right w:val="single" w:sz="8"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04</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14583.86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61.37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　</w:t>
            </w:r>
            <w:r>
              <w:rPr>
                <w:rFonts w:ascii="宋体" w:eastAsia="宋体" w:hAnsi="宋体" w:cs="宋体" w:hint="eastAsia"/>
                <w:color w:val="000000"/>
                <w:kern w:val="0"/>
                <w:szCs w:val="18"/>
              </w:rPr>
              <w:t>—</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2.42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0.06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0.01 </w:t>
            </w:r>
          </w:p>
        </w:tc>
        <w:tc>
          <w:tcPr>
            <w:tcW w:w="0" w:type="auto"/>
            <w:tcBorders>
              <w:top w:val="nil"/>
              <w:left w:val="nil"/>
              <w:bottom w:val="single" w:sz="4" w:space="0" w:color="auto"/>
              <w:right w:val="single" w:sz="4" w:space="0" w:color="auto"/>
            </w:tcBorders>
            <w:shd w:val="clear" w:color="auto" w:fill="auto"/>
            <w:vAlign w:val="center"/>
            <w:hideMark/>
          </w:tcPr>
          <w:p w:rsidR="0019233F" w:rsidRDefault="0019233F">
            <w:pPr>
              <w:jc w:val="center"/>
              <w:rPr>
                <w:rFonts w:ascii="宋体" w:eastAsia="宋体" w:hAnsi="宋体" w:cs="宋体"/>
                <w:color w:val="000000"/>
                <w:szCs w:val="21"/>
              </w:rPr>
            </w:pPr>
            <w:r>
              <w:rPr>
                <w:rFonts w:hint="eastAsia"/>
                <w:color w:val="000000"/>
                <w:szCs w:val="21"/>
              </w:rPr>
              <w:t>63.86</w:t>
            </w:r>
          </w:p>
        </w:tc>
      </w:tr>
      <w:tr w:rsidR="00043E48" w:rsidRPr="0098675C" w:rsidTr="00BF0153">
        <w:trPr>
          <w:trHeight w:val="300"/>
          <w:jc w:val="center"/>
        </w:trPr>
        <w:tc>
          <w:tcPr>
            <w:tcW w:w="1905" w:type="dxa"/>
            <w:tcBorders>
              <w:top w:val="nil"/>
              <w:left w:val="single" w:sz="8" w:space="0" w:color="auto"/>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城镇村及工矿用地</w:t>
            </w:r>
          </w:p>
        </w:tc>
        <w:tc>
          <w:tcPr>
            <w:tcW w:w="426" w:type="dxa"/>
            <w:tcBorders>
              <w:top w:val="nil"/>
              <w:left w:val="nil"/>
              <w:bottom w:val="single" w:sz="4" w:space="0" w:color="auto"/>
              <w:right w:val="single" w:sz="8"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20</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8650.95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31.90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Pr>
                <w:rFonts w:ascii="宋体" w:eastAsia="宋体" w:hAnsi="宋体" w:cs="宋体" w:hint="eastAsia"/>
                <w:color w:val="000000"/>
                <w:kern w:val="0"/>
                <w:szCs w:val="18"/>
              </w:rPr>
              <w:t>—</w:t>
            </w:r>
            <w:r w:rsidRPr="0098675C">
              <w:rPr>
                <w:rFonts w:ascii="宋体" w:eastAsia="宋体" w:hAnsi="宋体" w:cs="宋体" w:hint="eastAsia"/>
                <w:color w:val="000000"/>
                <w:kern w:val="0"/>
                <w:szCs w:val="18"/>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31.90 </w:t>
            </w:r>
          </w:p>
        </w:tc>
      </w:tr>
      <w:tr w:rsidR="00043E48" w:rsidRPr="0098675C" w:rsidTr="00BF0153">
        <w:trPr>
          <w:trHeight w:val="300"/>
          <w:jc w:val="center"/>
        </w:trPr>
        <w:tc>
          <w:tcPr>
            <w:tcW w:w="1905" w:type="dxa"/>
            <w:tcBorders>
              <w:top w:val="nil"/>
              <w:left w:val="single" w:sz="8" w:space="0" w:color="auto"/>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交通运输用地</w:t>
            </w:r>
          </w:p>
        </w:tc>
        <w:tc>
          <w:tcPr>
            <w:tcW w:w="426" w:type="dxa"/>
            <w:tcBorders>
              <w:top w:val="nil"/>
              <w:left w:val="nil"/>
              <w:bottom w:val="single" w:sz="4" w:space="0" w:color="auto"/>
              <w:right w:val="single" w:sz="8"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10</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2237.53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0.17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1.76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Pr>
                <w:rFonts w:ascii="宋体" w:eastAsia="宋体" w:hAnsi="宋体" w:cs="宋体" w:hint="eastAsia"/>
                <w:color w:val="000000"/>
                <w:kern w:val="0"/>
                <w:szCs w:val="18"/>
              </w:rPr>
              <w:t>—</w:t>
            </w:r>
            <w:r w:rsidRPr="0098675C">
              <w:rPr>
                <w:rFonts w:ascii="宋体" w:eastAsia="宋体" w:hAnsi="宋体" w:cs="宋体" w:hint="eastAsia"/>
                <w:color w:val="000000"/>
                <w:kern w:val="0"/>
                <w:szCs w:val="18"/>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0.03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1.96 </w:t>
            </w:r>
          </w:p>
        </w:tc>
      </w:tr>
      <w:tr w:rsidR="00043E48" w:rsidRPr="0098675C" w:rsidTr="00BF0153">
        <w:trPr>
          <w:trHeight w:val="300"/>
          <w:jc w:val="center"/>
        </w:trPr>
        <w:tc>
          <w:tcPr>
            <w:tcW w:w="1905" w:type="dxa"/>
            <w:tcBorders>
              <w:top w:val="nil"/>
              <w:left w:val="single" w:sz="8" w:space="0" w:color="auto"/>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水域及水利设施用地</w:t>
            </w:r>
          </w:p>
        </w:tc>
        <w:tc>
          <w:tcPr>
            <w:tcW w:w="426" w:type="dxa"/>
            <w:tcBorders>
              <w:top w:val="nil"/>
              <w:left w:val="nil"/>
              <w:bottom w:val="single" w:sz="4" w:space="0" w:color="auto"/>
              <w:right w:val="single" w:sz="8"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11</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6072.24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14.74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1.02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1.16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Pr>
                <w:rFonts w:ascii="宋体" w:eastAsia="宋体" w:hAnsi="宋体" w:cs="宋体" w:hint="eastAsia"/>
                <w:color w:val="000000"/>
                <w:kern w:val="0"/>
                <w:szCs w:val="18"/>
              </w:rPr>
              <w:t>—</w:t>
            </w:r>
            <w:r w:rsidRPr="0098675C">
              <w:rPr>
                <w:rFonts w:ascii="宋体" w:eastAsia="宋体" w:hAnsi="宋体" w:cs="宋体" w:hint="eastAsia"/>
                <w:color w:val="000000"/>
                <w:kern w:val="0"/>
                <w:szCs w:val="18"/>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0.04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16.96 </w:t>
            </w:r>
          </w:p>
        </w:tc>
      </w:tr>
      <w:tr w:rsidR="00043E48" w:rsidRPr="0098675C" w:rsidTr="00BF0153">
        <w:trPr>
          <w:trHeight w:val="285"/>
          <w:jc w:val="center"/>
        </w:trPr>
        <w:tc>
          <w:tcPr>
            <w:tcW w:w="1905" w:type="dxa"/>
            <w:tcBorders>
              <w:top w:val="nil"/>
              <w:left w:val="single" w:sz="8" w:space="0" w:color="auto"/>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其他土地</w:t>
            </w:r>
          </w:p>
        </w:tc>
        <w:tc>
          <w:tcPr>
            <w:tcW w:w="426" w:type="dxa"/>
            <w:tcBorders>
              <w:top w:val="nil"/>
              <w:left w:val="nil"/>
              <w:bottom w:val="single" w:sz="4" w:space="0" w:color="auto"/>
              <w:right w:val="single" w:sz="8"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12</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5282.34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1.34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1.43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3.06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0.23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Pr>
                <w:rFonts w:ascii="宋体" w:eastAsia="宋体" w:hAnsi="宋体" w:cs="宋体" w:hint="eastAsia"/>
                <w:color w:val="000000"/>
                <w:kern w:val="0"/>
                <w:szCs w:val="18"/>
              </w:rPr>
              <w:t>—</w:t>
            </w:r>
            <w:r w:rsidRPr="0098675C">
              <w:rPr>
                <w:rFonts w:ascii="宋体" w:eastAsia="宋体" w:hAnsi="宋体" w:cs="宋体" w:hint="eastAsia"/>
                <w:color w:val="000000"/>
                <w:kern w:val="0"/>
                <w:szCs w:val="18"/>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98675C" w:rsidRPr="0098675C" w:rsidRDefault="0098675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6.06 </w:t>
            </w:r>
          </w:p>
        </w:tc>
      </w:tr>
      <w:tr w:rsidR="0019233F" w:rsidRPr="0098675C" w:rsidTr="00AD7CD7">
        <w:trPr>
          <w:trHeight w:val="300"/>
          <w:jc w:val="center"/>
        </w:trPr>
        <w:tc>
          <w:tcPr>
            <w:tcW w:w="0" w:type="auto"/>
            <w:gridSpan w:val="2"/>
            <w:tcBorders>
              <w:top w:val="single" w:sz="4" w:space="0" w:color="auto"/>
              <w:left w:val="single" w:sz="8" w:space="0" w:color="auto"/>
              <w:bottom w:val="single" w:sz="4" w:space="0" w:color="auto"/>
              <w:right w:val="single" w:sz="8" w:space="0" w:color="000000"/>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合计</w:t>
            </w:r>
          </w:p>
        </w:tc>
        <w:tc>
          <w:tcPr>
            <w:tcW w:w="0" w:type="auto"/>
            <w:tcBorders>
              <w:top w:val="nil"/>
              <w:left w:val="nil"/>
              <w:bottom w:val="single" w:sz="4" w:space="0" w:color="auto"/>
              <w:right w:val="single" w:sz="4" w:space="0" w:color="auto"/>
            </w:tcBorders>
            <w:shd w:val="thinDiagStripe" w:color="000000" w:fill="auto"/>
            <w:vAlign w:val="center"/>
            <w:hideMark/>
          </w:tcPr>
          <w:p w:rsidR="0019233F" w:rsidRDefault="0019233F">
            <w:pPr>
              <w:jc w:val="center"/>
              <w:rPr>
                <w:rFonts w:ascii="宋体" w:eastAsia="宋体" w:hAnsi="宋体" w:cs="宋体"/>
                <w:color w:val="FF0000"/>
                <w:szCs w:val="21"/>
              </w:rPr>
            </w:pPr>
            <w:r>
              <w:rPr>
                <w:rFonts w:hint="eastAsia"/>
                <w:color w:val="FF0000"/>
                <w:szCs w:val="21"/>
              </w:rPr>
              <w:t>350695.06</w:t>
            </w:r>
          </w:p>
        </w:tc>
        <w:tc>
          <w:tcPr>
            <w:tcW w:w="0" w:type="auto"/>
            <w:tcBorders>
              <w:top w:val="nil"/>
              <w:left w:val="nil"/>
              <w:bottom w:val="single" w:sz="4" w:space="0" w:color="auto"/>
              <w:right w:val="single" w:sz="4" w:space="0" w:color="auto"/>
            </w:tcBorders>
            <w:shd w:val="clear" w:color="auto" w:fill="auto"/>
            <w:vAlign w:val="center"/>
          </w:tcPr>
          <w:p w:rsidR="0019233F" w:rsidRDefault="0019233F">
            <w:pPr>
              <w:jc w:val="center"/>
              <w:rPr>
                <w:rFonts w:ascii="宋体" w:eastAsia="宋体" w:hAnsi="宋体" w:cs="宋体"/>
                <w:color w:val="FF0000"/>
                <w:szCs w:val="21"/>
              </w:rPr>
            </w:pPr>
            <w:r>
              <w:rPr>
                <w:rFonts w:hint="eastAsia"/>
                <w:color w:val="FF0000"/>
                <w:szCs w:val="21"/>
              </w:rPr>
              <w:t>153.82</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15.81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0.00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67.08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15.29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0.38 </w:t>
            </w:r>
          </w:p>
        </w:tc>
        <w:tc>
          <w:tcPr>
            <w:tcW w:w="0" w:type="auto"/>
            <w:tcBorders>
              <w:top w:val="nil"/>
              <w:left w:val="nil"/>
              <w:bottom w:val="single" w:sz="4" w:space="0" w:color="auto"/>
              <w:right w:val="single" w:sz="4" w:space="0" w:color="auto"/>
            </w:tcBorders>
            <w:shd w:val="clear" w:color="auto" w:fill="auto"/>
            <w:vAlign w:val="center"/>
            <w:hideMark/>
          </w:tcPr>
          <w:p w:rsidR="0019233F" w:rsidRPr="0098675C" w:rsidRDefault="0019233F"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 xml:space="preserve">3.30 </w:t>
            </w:r>
          </w:p>
        </w:tc>
        <w:tc>
          <w:tcPr>
            <w:tcW w:w="0" w:type="auto"/>
            <w:tcBorders>
              <w:top w:val="nil"/>
              <w:left w:val="nil"/>
              <w:bottom w:val="single" w:sz="4" w:space="0" w:color="auto"/>
              <w:right w:val="single" w:sz="4" w:space="0" w:color="auto"/>
            </w:tcBorders>
            <w:shd w:val="clear" w:color="auto" w:fill="auto"/>
            <w:vAlign w:val="center"/>
            <w:hideMark/>
          </w:tcPr>
          <w:p w:rsidR="0019233F" w:rsidRDefault="0019233F">
            <w:pPr>
              <w:jc w:val="center"/>
              <w:rPr>
                <w:rFonts w:ascii="宋体" w:eastAsia="宋体" w:hAnsi="宋体" w:cs="宋体"/>
                <w:color w:val="FF0000"/>
                <w:szCs w:val="21"/>
              </w:rPr>
            </w:pPr>
            <w:r>
              <w:rPr>
                <w:rFonts w:hint="eastAsia"/>
                <w:color w:val="FF0000"/>
                <w:szCs w:val="21"/>
              </w:rPr>
              <w:t>255.68</w:t>
            </w:r>
          </w:p>
        </w:tc>
      </w:tr>
      <w:tr w:rsidR="0033762C" w:rsidRPr="0098675C" w:rsidTr="0098675C">
        <w:trPr>
          <w:trHeight w:val="285"/>
          <w:jc w:val="center"/>
        </w:trPr>
        <w:tc>
          <w:tcPr>
            <w:tcW w:w="0" w:type="auto"/>
            <w:gridSpan w:val="2"/>
            <w:tcBorders>
              <w:top w:val="nil"/>
              <w:left w:val="nil"/>
              <w:bottom w:val="single" w:sz="4" w:space="0" w:color="auto"/>
              <w:right w:val="single" w:sz="4" w:space="0" w:color="000000"/>
            </w:tcBorders>
            <w:shd w:val="clear" w:color="auto" w:fill="auto"/>
            <w:vAlign w:val="center"/>
            <w:hideMark/>
          </w:tcPr>
          <w:p w:rsidR="0033762C" w:rsidRPr="0098675C" w:rsidRDefault="0033762C" w:rsidP="0098675C">
            <w:pPr>
              <w:widowControl/>
              <w:jc w:val="center"/>
              <w:rPr>
                <w:rFonts w:ascii="宋体" w:eastAsia="宋体" w:hAnsi="宋体" w:cs="宋体"/>
                <w:color w:val="000000"/>
                <w:kern w:val="0"/>
                <w:szCs w:val="18"/>
              </w:rPr>
            </w:pPr>
            <w:r w:rsidRPr="0098675C">
              <w:rPr>
                <w:rFonts w:ascii="宋体" w:eastAsia="宋体" w:hAnsi="宋体" w:cs="宋体" w:hint="eastAsia"/>
                <w:color w:val="000000"/>
                <w:kern w:val="0"/>
                <w:szCs w:val="18"/>
              </w:rPr>
              <w:t>年末面积</w:t>
            </w:r>
          </w:p>
        </w:tc>
        <w:tc>
          <w:tcPr>
            <w:tcW w:w="0" w:type="auto"/>
            <w:tcBorders>
              <w:top w:val="nil"/>
              <w:left w:val="nil"/>
              <w:bottom w:val="single" w:sz="4" w:space="0" w:color="auto"/>
              <w:right w:val="single" w:sz="4" w:space="0" w:color="auto"/>
            </w:tcBorders>
            <w:shd w:val="clear" w:color="auto" w:fill="auto"/>
            <w:vAlign w:val="center"/>
            <w:hideMark/>
          </w:tcPr>
          <w:p w:rsidR="0033762C" w:rsidRDefault="0033762C">
            <w:pPr>
              <w:jc w:val="center"/>
              <w:rPr>
                <w:rFonts w:ascii="宋体" w:eastAsia="宋体" w:hAnsi="宋体" w:cs="宋体"/>
                <w:color w:val="FF0000"/>
                <w:szCs w:val="21"/>
              </w:rPr>
            </w:pPr>
            <w:r>
              <w:rPr>
                <w:rFonts w:hint="eastAsia"/>
                <w:color w:val="FF0000"/>
                <w:szCs w:val="21"/>
              </w:rPr>
              <w:t xml:space="preserve">　—</w:t>
            </w:r>
          </w:p>
        </w:tc>
        <w:tc>
          <w:tcPr>
            <w:tcW w:w="0" w:type="auto"/>
            <w:tcBorders>
              <w:top w:val="nil"/>
              <w:left w:val="nil"/>
              <w:bottom w:val="single" w:sz="4" w:space="0" w:color="auto"/>
              <w:right w:val="single" w:sz="4" w:space="0" w:color="auto"/>
            </w:tcBorders>
            <w:shd w:val="thinDiagStripe" w:color="000000" w:fill="auto"/>
            <w:vAlign w:val="center"/>
            <w:hideMark/>
          </w:tcPr>
          <w:p w:rsidR="0033762C" w:rsidRDefault="0033762C">
            <w:pPr>
              <w:jc w:val="center"/>
              <w:rPr>
                <w:rFonts w:ascii="宋体" w:eastAsia="宋体" w:hAnsi="宋体" w:cs="宋体"/>
                <w:color w:val="FF0000"/>
                <w:szCs w:val="21"/>
              </w:rPr>
            </w:pPr>
            <w:r>
              <w:rPr>
                <w:rFonts w:hint="eastAsia"/>
                <w:color w:val="FF0000"/>
                <w:szCs w:val="21"/>
              </w:rPr>
              <w:t>45210.38</w:t>
            </w:r>
          </w:p>
        </w:tc>
        <w:tc>
          <w:tcPr>
            <w:tcW w:w="0" w:type="auto"/>
            <w:tcBorders>
              <w:top w:val="nil"/>
              <w:left w:val="nil"/>
              <w:bottom w:val="single" w:sz="4" w:space="0" w:color="auto"/>
              <w:right w:val="single" w:sz="4" w:space="0" w:color="auto"/>
            </w:tcBorders>
            <w:shd w:val="clear" w:color="auto" w:fill="auto"/>
            <w:vAlign w:val="center"/>
            <w:hideMark/>
          </w:tcPr>
          <w:p w:rsidR="0033762C" w:rsidRDefault="0033762C">
            <w:pPr>
              <w:jc w:val="center"/>
              <w:rPr>
                <w:rFonts w:ascii="宋体" w:eastAsia="宋体" w:hAnsi="宋体" w:cs="宋体"/>
                <w:color w:val="FF0000"/>
                <w:szCs w:val="21"/>
              </w:rPr>
            </w:pPr>
            <w:r>
              <w:rPr>
                <w:rFonts w:hint="eastAsia"/>
                <w:color w:val="FF0000"/>
                <w:szCs w:val="21"/>
              </w:rPr>
              <w:t>3421.98</w:t>
            </w:r>
          </w:p>
        </w:tc>
        <w:tc>
          <w:tcPr>
            <w:tcW w:w="0" w:type="auto"/>
            <w:tcBorders>
              <w:top w:val="nil"/>
              <w:left w:val="nil"/>
              <w:bottom w:val="single" w:sz="4" w:space="0" w:color="auto"/>
              <w:right w:val="single" w:sz="4" w:space="0" w:color="auto"/>
            </w:tcBorders>
            <w:shd w:val="clear" w:color="auto" w:fill="auto"/>
            <w:vAlign w:val="center"/>
            <w:hideMark/>
          </w:tcPr>
          <w:p w:rsidR="0033762C" w:rsidRDefault="0033762C">
            <w:pPr>
              <w:jc w:val="center"/>
              <w:rPr>
                <w:rFonts w:ascii="宋体" w:eastAsia="宋体" w:hAnsi="宋体" w:cs="宋体"/>
                <w:color w:val="FF0000"/>
                <w:szCs w:val="21"/>
              </w:rPr>
            </w:pPr>
            <w:r>
              <w:rPr>
                <w:rFonts w:hint="eastAsia"/>
                <w:color w:val="FF0000"/>
                <w:szCs w:val="21"/>
              </w:rPr>
              <w:t>265270.47</w:t>
            </w:r>
          </w:p>
        </w:tc>
        <w:tc>
          <w:tcPr>
            <w:tcW w:w="0" w:type="auto"/>
            <w:tcBorders>
              <w:top w:val="nil"/>
              <w:left w:val="nil"/>
              <w:bottom w:val="single" w:sz="4" w:space="0" w:color="auto"/>
              <w:right w:val="single" w:sz="4" w:space="0" w:color="auto"/>
            </w:tcBorders>
            <w:shd w:val="clear" w:color="auto" w:fill="auto"/>
            <w:vAlign w:val="center"/>
            <w:hideMark/>
          </w:tcPr>
          <w:p w:rsidR="0033762C" w:rsidRDefault="0033762C">
            <w:pPr>
              <w:jc w:val="center"/>
              <w:rPr>
                <w:rFonts w:ascii="宋体" w:eastAsia="宋体" w:hAnsi="宋体" w:cs="宋体"/>
                <w:color w:val="FF0000"/>
                <w:szCs w:val="21"/>
              </w:rPr>
            </w:pPr>
            <w:r>
              <w:rPr>
                <w:rFonts w:hint="eastAsia"/>
                <w:color w:val="FF0000"/>
                <w:szCs w:val="21"/>
              </w:rPr>
              <w:t>14520</w:t>
            </w:r>
          </w:p>
        </w:tc>
        <w:tc>
          <w:tcPr>
            <w:tcW w:w="0" w:type="auto"/>
            <w:tcBorders>
              <w:top w:val="nil"/>
              <w:left w:val="nil"/>
              <w:bottom w:val="single" w:sz="4" w:space="0" w:color="auto"/>
              <w:right w:val="single" w:sz="4" w:space="0" w:color="auto"/>
            </w:tcBorders>
            <w:shd w:val="clear" w:color="auto" w:fill="auto"/>
            <w:vAlign w:val="center"/>
            <w:hideMark/>
          </w:tcPr>
          <w:p w:rsidR="0033762C" w:rsidRDefault="0033762C">
            <w:pPr>
              <w:jc w:val="center"/>
              <w:rPr>
                <w:rFonts w:ascii="宋体" w:eastAsia="宋体" w:hAnsi="宋体" w:cs="宋体"/>
                <w:color w:val="FF0000"/>
                <w:szCs w:val="21"/>
              </w:rPr>
            </w:pPr>
            <w:r>
              <w:rPr>
                <w:rFonts w:hint="eastAsia"/>
                <w:color w:val="FF0000"/>
                <w:szCs w:val="21"/>
              </w:rPr>
              <w:t>8686.13</w:t>
            </w:r>
          </w:p>
        </w:tc>
        <w:tc>
          <w:tcPr>
            <w:tcW w:w="0" w:type="auto"/>
            <w:tcBorders>
              <w:top w:val="nil"/>
              <w:left w:val="nil"/>
              <w:bottom w:val="single" w:sz="4" w:space="0" w:color="auto"/>
              <w:right w:val="single" w:sz="4" w:space="0" w:color="auto"/>
            </w:tcBorders>
            <w:shd w:val="clear" w:color="auto" w:fill="auto"/>
            <w:vAlign w:val="center"/>
            <w:hideMark/>
          </w:tcPr>
          <w:p w:rsidR="0033762C" w:rsidRDefault="0033762C">
            <w:pPr>
              <w:jc w:val="center"/>
              <w:rPr>
                <w:rFonts w:ascii="宋体" w:eastAsia="宋体" w:hAnsi="宋体" w:cs="宋体"/>
                <w:color w:val="FF0000"/>
                <w:szCs w:val="21"/>
              </w:rPr>
            </w:pPr>
            <w:r>
              <w:rPr>
                <w:rFonts w:hint="eastAsia"/>
                <w:color w:val="FF0000"/>
                <w:szCs w:val="21"/>
              </w:rPr>
              <w:t>2250.86</w:t>
            </w:r>
          </w:p>
        </w:tc>
        <w:tc>
          <w:tcPr>
            <w:tcW w:w="0" w:type="auto"/>
            <w:tcBorders>
              <w:top w:val="nil"/>
              <w:left w:val="nil"/>
              <w:bottom w:val="single" w:sz="4" w:space="0" w:color="auto"/>
              <w:right w:val="single" w:sz="4" w:space="0" w:color="auto"/>
            </w:tcBorders>
            <w:shd w:val="clear" w:color="auto" w:fill="auto"/>
            <w:vAlign w:val="center"/>
            <w:hideMark/>
          </w:tcPr>
          <w:p w:rsidR="0033762C" w:rsidRDefault="0033762C">
            <w:pPr>
              <w:jc w:val="center"/>
              <w:rPr>
                <w:rFonts w:ascii="宋体" w:eastAsia="宋体" w:hAnsi="宋体" w:cs="宋体"/>
                <w:color w:val="FF0000"/>
                <w:szCs w:val="21"/>
              </w:rPr>
            </w:pPr>
            <w:r>
              <w:rPr>
                <w:rFonts w:hint="eastAsia"/>
                <w:color w:val="FF0000"/>
                <w:szCs w:val="21"/>
              </w:rPr>
              <w:t>6055.66</w:t>
            </w:r>
          </w:p>
        </w:tc>
        <w:tc>
          <w:tcPr>
            <w:tcW w:w="0" w:type="auto"/>
            <w:tcBorders>
              <w:top w:val="nil"/>
              <w:left w:val="nil"/>
              <w:bottom w:val="single" w:sz="4" w:space="0" w:color="auto"/>
              <w:right w:val="single" w:sz="4" w:space="0" w:color="auto"/>
            </w:tcBorders>
            <w:shd w:val="clear" w:color="auto" w:fill="auto"/>
            <w:vAlign w:val="center"/>
            <w:hideMark/>
          </w:tcPr>
          <w:p w:rsidR="0033762C" w:rsidRDefault="0033762C">
            <w:pPr>
              <w:jc w:val="center"/>
              <w:rPr>
                <w:rFonts w:ascii="宋体" w:eastAsia="宋体" w:hAnsi="宋体" w:cs="宋体"/>
                <w:color w:val="FF0000"/>
                <w:szCs w:val="21"/>
              </w:rPr>
            </w:pPr>
            <w:r>
              <w:rPr>
                <w:rFonts w:hint="eastAsia"/>
                <w:color w:val="FF0000"/>
                <w:szCs w:val="21"/>
              </w:rPr>
              <w:t>5279.58</w:t>
            </w:r>
          </w:p>
        </w:tc>
        <w:tc>
          <w:tcPr>
            <w:tcW w:w="0" w:type="auto"/>
            <w:tcBorders>
              <w:top w:val="nil"/>
              <w:left w:val="nil"/>
              <w:bottom w:val="single" w:sz="4" w:space="0" w:color="auto"/>
              <w:right w:val="single" w:sz="4" w:space="0" w:color="auto"/>
            </w:tcBorders>
            <w:shd w:val="thinDiagStripe" w:color="000000" w:fill="auto"/>
            <w:vAlign w:val="center"/>
            <w:hideMark/>
          </w:tcPr>
          <w:p w:rsidR="0033762C" w:rsidRDefault="0033762C">
            <w:pPr>
              <w:jc w:val="center"/>
              <w:rPr>
                <w:rFonts w:ascii="宋体" w:eastAsia="宋体" w:hAnsi="宋体" w:cs="宋体"/>
                <w:color w:val="FF0000"/>
                <w:szCs w:val="21"/>
              </w:rPr>
            </w:pPr>
            <w:r>
              <w:rPr>
                <w:rFonts w:hint="eastAsia"/>
                <w:color w:val="FF0000"/>
                <w:szCs w:val="21"/>
              </w:rPr>
              <w:t>350695.06</w:t>
            </w:r>
          </w:p>
        </w:tc>
      </w:tr>
    </w:tbl>
    <w:p w:rsidR="00AF2598" w:rsidRPr="00CB7844" w:rsidRDefault="00B16BC8" w:rsidP="00C462BA">
      <w:pPr>
        <w:spacing w:line="360" w:lineRule="auto"/>
        <w:ind w:firstLineChars="200" w:firstLine="420"/>
        <w:rPr>
          <w:rFonts w:asciiTheme="minorEastAsia" w:hAnsiTheme="minorEastAsia"/>
          <w:szCs w:val="28"/>
        </w:rPr>
      </w:pPr>
      <w:r w:rsidRPr="00CB7844">
        <w:rPr>
          <w:rFonts w:asciiTheme="minorEastAsia" w:hAnsiTheme="minorEastAsia" w:hint="eastAsia"/>
          <w:szCs w:val="28"/>
        </w:rPr>
        <w:t>从上向下从左往右</w:t>
      </w:r>
      <w:r w:rsidR="009F2DE9" w:rsidRPr="00CB7844">
        <w:rPr>
          <w:rFonts w:asciiTheme="minorEastAsia" w:hAnsiTheme="minorEastAsia" w:hint="eastAsia"/>
          <w:szCs w:val="28"/>
        </w:rPr>
        <w:t>：</w:t>
      </w:r>
    </w:p>
    <w:p w:rsidR="00B16BC8" w:rsidRPr="00CB7844" w:rsidRDefault="00B16BC8" w:rsidP="00C462BA">
      <w:pPr>
        <w:spacing w:line="360" w:lineRule="auto"/>
        <w:ind w:firstLineChars="200" w:firstLine="420"/>
        <w:rPr>
          <w:rFonts w:asciiTheme="minorEastAsia" w:hAnsiTheme="minorEastAsia"/>
          <w:szCs w:val="28"/>
        </w:rPr>
      </w:pPr>
      <w:r w:rsidRPr="00CB7844">
        <w:rPr>
          <w:rFonts w:asciiTheme="minorEastAsia" w:hAnsiTheme="minorEastAsia" w:hint="eastAsia"/>
          <w:szCs w:val="28"/>
        </w:rPr>
        <w:t>第一个带有底纹的空格：代表</w:t>
      </w:r>
      <w:r w:rsidR="00572DDB" w:rsidRPr="00CB7844">
        <w:rPr>
          <w:rFonts w:asciiTheme="minorEastAsia" w:hAnsiTheme="minorEastAsia" w:hint="eastAsia"/>
          <w:szCs w:val="28"/>
        </w:rPr>
        <w:t>变更后一共有51.64单位的林地转出为其他地类。</w:t>
      </w:r>
    </w:p>
    <w:p w:rsidR="0054263F" w:rsidRPr="00CB7844" w:rsidRDefault="00572DDB" w:rsidP="00C462BA">
      <w:pPr>
        <w:spacing w:line="360" w:lineRule="auto"/>
        <w:ind w:firstLineChars="200" w:firstLine="420"/>
        <w:rPr>
          <w:rFonts w:asciiTheme="minorEastAsia" w:hAnsiTheme="minorEastAsia"/>
          <w:szCs w:val="28"/>
        </w:rPr>
      </w:pPr>
      <w:r w:rsidRPr="00CB7844">
        <w:rPr>
          <w:rFonts w:asciiTheme="minorEastAsia" w:hAnsiTheme="minorEastAsia"/>
          <w:szCs w:val="28"/>
        </w:rPr>
        <w:t>第二个</w:t>
      </w:r>
      <w:r w:rsidRPr="00CB7844">
        <w:rPr>
          <w:rFonts w:asciiTheme="minorEastAsia" w:hAnsiTheme="minorEastAsia" w:hint="eastAsia"/>
          <w:szCs w:val="28"/>
        </w:rPr>
        <w:t>带有底纹的空格：代表变更前即年初</w:t>
      </w:r>
      <w:r w:rsidR="00B90DAD" w:rsidRPr="00CB7844">
        <w:rPr>
          <w:rFonts w:asciiTheme="minorEastAsia" w:hAnsiTheme="minorEastAsia" w:hint="eastAsia"/>
          <w:szCs w:val="28"/>
        </w:rPr>
        <w:t>耕地、园地、林地、草地、城镇村及工矿用地、交通运输用地、水域及水利设施用地和其他土地的面积共有350695.06单位。</w:t>
      </w:r>
    </w:p>
    <w:p w:rsidR="0054263F" w:rsidRPr="00CB7844" w:rsidRDefault="0054263F" w:rsidP="00C462BA">
      <w:pPr>
        <w:spacing w:line="360" w:lineRule="auto"/>
        <w:ind w:firstLineChars="200" w:firstLine="420"/>
        <w:rPr>
          <w:rFonts w:asciiTheme="minorEastAsia" w:hAnsiTheme="minorEastAsia"/>
          <w:szCs w:val="28"/>
        </w:rPr>
      </w:pPr>
      <w:r w:rsidRPr="00CB7844">
        <w:rPr>
          <w:rFonts w:asciiTheme="minorEastAsia" w:hAnsiTheme="minorEastAsia"/>
          <w:szCs w:val="28"/>
        </w:rPr>
        <w:t>第</w:t>
      </w:r>
      <w:r w:rsidRPr="00CB7844">
        <w:rPr>
          <w:rFonts w:asciiTheme="minorEastAsia" w:hAnsiTheme="minorEastAsia" w:hint="eastAsia"/>
          <w:szCs w:val="28"/>
        </w:rPr>
        <w:t>三</w:t>
      </w:r>
      <w:r w:rsidRPr="00CB7844">
        <w:rPr>
          <w:rFonts w:asciiTheme="minorEastAsia" w:hAnsiTheme="minorEastAsia"/>
          <w:szCs w:val="28"/>
        </w:rPr>
        <w:t>个</w:t>
      </w:r>
      <w:r w:rsidRPr="00CB7844">
        <w:rPr>
          <w:rFonts w:asciiTheme="minorEastAsia" w:hAnsiTheme="minorEastAsia" w:hint="eastAsia"/>
          <w:szCs w:val="28"/>
        </w:rPr>
        <w:t>带有底纹的空格：代表变更后即年末共有耕地面积</w:t>
      </w:r>
      <w:r w:rsidR="00C241AC" w:rsidRPr="00CB7844">
        <w:rPr>
          <w:rFonts w:asciiTheme="minorEastAsia" w:hAnsiTheme="minorEastAsia"/>
          <w:szCs w:val="28"/>
        </w:rPr>
        <w:t>45210.38</w:t>
      </w:r>
      <w:r w:rsidRPr="00CB7844">
        <w:rPr>
          <w:rFonts w:asciiTheme="minorEastAsia" w:hAnsiTheme="minorEastAsia" w:hint="eastAsia"/>
          <w:szCs w:val="28"/>
        </w:rPr>
        <w:t>单位。</w:t>
      </w:r>
    </w:p>
    <w:p w:rsidR="0054263F" w:rsidRPr="00CB7844" w:rsidRDefault="0054263F" w:rsidP="00C462BA">
      <w:pPr>
        <w:spacing w:line="360" w:lineRule="auto"/>
        <w:ind w:firstLineChars="200" w:firstLine="420"/>
        <w:rPr>
          <w:rFonts w:asciiTheme="minorEastAsia" w:hAnsiTheme="minorEastAsia"/>
          <w:szCs w:val="28"/>
        </w:rPr>
      </w:pPr>
      <w:r w:rsidRPr="00CB7844">
        <w:rPr>
          <w:rFonts w:asciiTheme="minorEastAsia" w:hAnsiTheme="minorEastAsia"/>
          <w:szCs w:val="28"/>
        </w:rPr>
        <w:t>第</w:t>
      </w:r>
      <w:r w:rsidRPr="00CB7844">
        <w:rPr>
          <w:rFonts w:asciiTheme="minorEastAsia" w:hAnsiTheme="minorEastAsia" w:hint="eastAsia"/>
          <w:szCs w:val="28"/>
        </w:rPr>
        <w:t>四</w:t>
      </w:r>
      <w:r w:rsidRPr="00CB7844">
        <w:rPr>
          <w:rFonts w:asciiTheme="minorEastAsia" w:hAnsiTheme="minorEastAsia"/>
          <w:szCs w:val="28"/>
        </w:rPr>
        <w:t>个</w:t>
      </w:r>
      <w:r w:rsidRPr="00CB7844">
        <w:rPr>
          <w:rFonts w:asciiTheme="minorEastAsia" w:hAnsiTheme="minorEastAsia" w:hint="eastAsia"/>
          <w:szCs w:val="28"/>
        </w:rPr>
        <w:t>带有底纹的空格：代表变更后即年末耕地、园地、林地、草地、城镇村及工矿用地、交通运输用地、水域及水利设施用地和其他土地的面积</w:t>
      </w:r>
      <w:r w:rsidRPr="00CB7844">
        <w:rPr>
          <w:rFonts w:asciiTheme="minorEastAsia" w:hAnsiTheme="minorEastAsia" w:hint="eastAsia"/>
          <w:szCs w:val="28"/>
        </w:rPr>
        <w:lastRenderedPageBreak/>
        <w:t>共有</w:t>
      </w:r>
      <w:r w:rsidR="00EE674D" w:rsidRPr="00CB7844">
        <w:rPr>
          <w:rFonts w:asciiTheme="minorEastAsia" w:hAnsiTheme="minorEastAsia"/>
          <w:szCs w:val="28"/>
        </w:rPr>
        <w:t>350695.06</w:t>
      </w:r>
      <w:r w:rsidRPr="00CB7844">
        <w:rPr>
          <w:rFonts w:asciiTheme="minorEastAsia" w:hAnsiTheme="minorEastAsia" w:hint="eastAsia"/>
          <w:szCs w:val="28"/>
        </w:rPr>
        <w:t>单位。</w:t>
      </w:r>
    </w:p>
    <w:p w:rsidR="00EE674D" w:rsidRPr="00CB7844" w:rsidRDefault="00AF2598" w:rsidP="00C462BA">
      <w:pPr>
        <w:spacing w:line="360" w:lineRule="auto"/>
        <w:ind w:firstLineChars="200" w:firstLine="420"/>
        <w:rPr>
          <w:rFonts w:asciiTheme="minorEastAsia" w:hAnsiTheme="minorEastAsia"/>
          <w:szCs w:val="28"/>
        </w:rPr>
      </w:pPr>
      <w:r w:rsidRPr="00CB7844">
        <w:rPr>
          <w:rFonts w:asciiTheme="minorEastAsia" w:hAnsiTheme="minorEastAsia" w:hint="eastAsia"/>
          <w:szCs w:val="28"/>
        </w:rPr>
        <w:t>该年度此地域</w:t>
      </w:r>
      <w:r w:rsidR="0033762C" w:rsidRPr="00CB7844">
        <w:rPr>
          <w:rFonts w:asciiTheme="minorEastAsia" w:hAnsiTheme="minorEastAsia" w:hint="eastAsia"/>
          <w:szCs w:val="28"/>
        </w:rPr>
        <w:t>转入和</w:t>
      </w:r>
      <w:r w:rsidRPr="00CB7844">
        <w:rPr>
          <w:rFonts w:asciiTheme="minorEastAsia" w:hAnsiTheme="minorEastAsia" w:hint="eastAsia"/>
          <w:szCs w:val="28"/>
        </w:rPr>
        <w:t>转出最多的地类</w:t>
      </w:r>
      <w:r w:rsidR="0033762C" w:rsidRPr="00CB7844">
        <w:rPr>
          <w:rFonts w:asciiTheme="minorEastAsia" w:hAnsiTheme="minorEastAsia" w:hint="eastAsia"/>
          <w:szCs w:val="28"/>
        </w:rPr>
        <w:t>均</w:t>
      </w:r>
      <w:r w:rsidRPr="00CB7844">
        <w:rPr>
          <w:rFonts w:asciiTheme="minorEastAsia" w:hAnsiTheme="minorEastAsia" w:hint="eastAsia"/>
          <w:szCs w:val="28"/>
        </w:rPr>
        <w:t>为耕地，</w:t>
      </w:r>
      <w:r w:rsidR="00EE674D" w:rsidRPr="00CB7844">
        <w:rPr>
          <w:rFonts w:asciiTheme="minorEastAsia" w:hAnsiTheme="minorEastAsia" w:hint="eastAsia"/>
          <w:szCs w:val="28"/>
        </w:rPr>
        <w:t>转出</w:t>
      </w:r>
      <w:r w:rsidRPr="00CB7844">
        <w:rPr>
          <w:rFonts w:asciiTheme="minorEastAsia" w:hAnsiTheme="minorEastAsia" w:hint="eastAsia"/>
          <w:szCs w:val="28"/>
        </w:rPr>
        <w:t>69.63单位</w:t>
      </w:r>
      <w:r w:rsidR="00EE674D" w:rsidRPr="00CB7844">
        <w:rPr>
          <w:rFonts w:asciiTheme="minorEastAsia" w:hAnsiTheme="minorEastAsia" w:hint="eastAsia"/>
          <w:szCs w:val="28"/>
        </w:rPr>
        <w:t>，主要是城镇村及工矿用地</w:t>
      </w:r>
      <w:r w:rsidR="00E6427E" w:rsidRPr="00CB7844">
        <w:rPr>
          <w:rFonts w:asciiTheme="minorEastAsia" w:hAnsiTheme="minorEastAsia" w:hint="eastAsia"/>
          <w:szCs w:val="28"/>
        </w:rPr>
        <w:t>，其次是林地</w:t>
      </w:r>
      <w:r w:rsidR="00EE674D" w:rsidRPr="00CB7844">
        <w:rPr>
          <w:rFonts w:asciiTheme="minorEastAsia" w:hAnsiTheme="minorEastAsia" w:hint="eastAsia"/>
          <w:szCs w:val="28"/>
        </w:rPr>
        <w:t>；转入</w:t>
      </w:r>
      <w:r w:rsidR="00EE674D" w:rsidRPr="00CB7844">
        <w:rPr>
          <w:rFonts w:asciiTheme="minorEastAsia" w:hAnsiTheme="minorEastAsia"/>
          <w:szCs w:val="28"/>
        </w:rPr>
        <w:t>153.82单位</w:t>
      </w:r>
      <w:r w:rsidR="00EE674D" w:rsidRPr="00CB7844">
        <w:rPr>
          <w:rFonts w:asciiTheme="minorEastAsia" w:hAnsiTheme="minorEastAsia" w:hint="eastAsia"/>
          <w:szCs w:val="28"/>
        </w:rPr>
        <w:t>，</w:t>
      </w:r>
      <w:r w:rsidR="00EE674D" w:rsidRPr="00CB7844">
        <w:rPr>
          <w:rFonts w:asciiTheme="minorEastAsia" w:hAnsiTheme="minorEastAsia"/>
          <w:szCs w:val="28"/>
        </w:rPr>
        <w:t>主要是草地</w:t>
      </w:r>
      <w:r w:rsidR="00E6427E" w:rsidRPr="00CB7844">
        <w:rPr>
          <w:rFonts w:asciiTheme="minorEastAsia" w:hAnsiTheme="minorEastAsia" w:hint="eastAsia"/>
          <w:szCs w:val="28"/>
        </w:rPr>
        <w:t>，</w:t>
      </w:r>
      <w:r w:rsidR="00E6427E" w:rsidRPr="00CB7844">
        <w:rPr>
          <w:rFonts w:asciiTheme="minorEastAsia" w:hAnsiTheme="minorEastAsia"/>
          <w:szCs w:val="28"/>
        </w:rPr>
        <w:t>其次是</w:t>
      </w:r>
      <w:r w:rsidR="00E6427E" w:rsidRPr="00CB7844">
        <w:rPr>
          <w:rFonts w:asciiTheme="minorEastAsia" w:hAnsiTheme="minorEastAsia" w:hint="eastAsia"/>
          <w:szCs w:val="28"/>
        </w:rPr>
        <w:t>城镇村及工矿用地</w:t>
      </w:r>
      <w:r w:rsidR="00EE674D" w:rsidRPr="00CB7844">
        <w:rPr>
          <w:rFonts w:asciiTheme="minorEastAsia" w:hAnsiTheme="minorEastAsia" w:hint="eastAsia"/>
          <w:szCs w:val="28"/>
        </w:rPr>
        <w:t>。</w:t>
      </w:r>
      <w:r w:rsidR="00D57119" w:rsidRPr="00CB7844">
        <w:rPr>
          <w:rFonts w:asciiTheme="minorEastAsia" w:hAnsiTheme="minorEastAsia" w:hint="eastAsia"/>
          <w:szCs w:val="28"/>
        </w:rPr>
        <w:t>年度</w:t>
      </w:r>
      <w:r w:rsidR="00BF0153" w:rsidRPr="00CB7844">
        <w:rPr>
          <w:rFonts w:asciiTheme="minorEastAsia" w:hAnsiTheme="minorEastAsia" w:hint="eastAsia"/>
          <w:szCs w:val="28"/>
        </w:rPr>
        <w:t>耕地</w:t>
      </w:r>
      <w:r w:rsidR="00D57119" w:rsidRPr="00CB7844">
        <w:rPr>
          <w:rFonts w:asciiTheme="minorEastAsia" w:hAnsiTheme="minorEastAsia" w:hint="eastAsia"/>
          <w:szCs w:val="28"/>
        </w:rPr>
        <w:t>增加</w:t>
      </w:r>
      <w:r w:rsidR="00BF0153" w:rsidRPr="00CB7844">
        <w:rPr>
          <w:rFonts w:asciiTheme="minorEastAsia" w:hAnsiTheme="minorEastAsia"/>
          <w:szCs w:val="28"/>
        </w:rPr>
        <w:t>84.19单位</w:t>
      </w:r>
      <w:r w:rsidR="00BF0153" w:rsidRPr="00CB7844">
        <w:rPr>
          <w:rFonts w:asciiTheme="minorEastAsia" w:hAnsiTheme="minorEastAsia" w:hint="eastAsia"/>
          <w:szCs w:val="28"/>
        </w:rPr>
        <w:t>，城镇村及工矿用地</w:t>
      </w:r>
      <w:proofErr w:type="gramStart"/>
      <w:r w:rsidR="00BF0153" w:rsidRPr="00CB7844">
        <w:rPr>
          <w:rFonts w:asciiTheme="minorEastAsia" w:hAnsiTheme="minorEastAsia" w:hint="eastAsia"/>
          <w:szCs w:val="28"/>
        </w:rPr>
        <w:t>转</w:t>
      </w:r>
      <w:r w:rsidR="00D57119" w:rsidRPr="00CB7844">
        <w:rPr>
          <w:rFonts w:asciiTheme="minorEastAsia" w:hAnsiTheme="minorEastAsia" w:hint="eastAsia"/>
          <w:szCs w:val="28"/>
        </w:rPr>
        <w:t>增加</w:t>
      </w:r>
      <w:proofErr w:type="gramEnd"/>
      <w:r w:rsidR="00BF0153" w:rsidRPr="00CB7844">
        <w:rPr>
          <w:rFonts w:asciiTheme="minorEastAsia" w:hAnsiTheme="minorEastAsia"/>
          <w:szCs w:val="28"/>
        </w:rPr>
        <w:t>35.18单位</w:t>
      </w:r>
      <w:r w:rsidR="00BF0153" w:rsidRPr="00CB7844">
        <w:rPr>
          <w:rFonts w:asciiTheme="minorEastAsia" w:hAnsiTheme="minorEastAsia" w:hint="eastAsia"/>
          <w:szCs w:val="28"/>
        </w:rPr>
        <w:t>，交通运输用地</w:t>
      </w:r>
      <w:r w:rsidR="00D57119" w:rsidRPr="00CB7844">
        <w:rPr>
          <w:rFonts w:asciiTheme="minorEastAsia" w:hAnsiTheme="minorEastAsia" w:hint="eastAsia"/>
          <w:szCs w:val="28"/>
        </w:rPr>
        <w:t>增加</w:t>
      </w:r>
      <w:r w:rsidR="00BF0153" w:rsidRPr="00CB7844">
        <w:rPr>
          <w:rFonts w:asciiTheme="minorEastAsia" w:hAnsiTheme="minorEastAsia" w:hint="eastAsia"/>
          <w:szCs w:val="28"/>
        </w:rPr>
        <w:t>13.33单位；园地</w:t>
      </w:r>
      <w:r w:rsidR="00D57119" w:rsidRPr="00CB7844">
        <w:rPr>
          <w:rFonts w:asciiTheme="minorEastAsia" w:hAnsiTheme="minorEastAsia" w:hint="eastAsia"/>
          <w:szCs w:val="28"/>
        </w:rPr>
        <w:t>减少</w:t>
      </w:r>
      <w:r w:rsidR="00BF0153" w:rsidRPr="00CB7844">
        <w:rPr>
          <w:rFonts w:asciiTheme="minorEastAsia" w:hAnsiTheme="minorEastAsia" w:hint="eastAsia"/>
          <w:szCs w:val="28"/>
        </w:rPr>
        <w:t>13.67单位，林地</w:t>
      </w:r>
      <w:r w:rsidR="00D57119" w:rsidRPr="00CB7844">
        <w:rPr>
          <w:rFonts w:asciiTheme="minorEastAsia" w:hAnsiTheme="minorEastAsia" w:hint="eastAsia"/>
          <w:szCs w:val="28"/>
        </w:rPr>
        <w:t>减少</w:t>
      </w:r>
      <w:r w:rsidR="00BF0153" w:rsidRPr="00CB7844">
        <w:rPr>
          <w:rFonts w:asciiTheme="minorEastAsia" w:hAnsiTheme="minorEastAsia" w:hint="eastAsia"/>
          <w:szCs w:val="28"/>
        </w:rPr>
        <w:t>35.83单位，草地</w:t>
      </w:r>
      <w:r w:rsidR="00D57119" w:rsidRPr="00CB7844">
        <w:rPr>
          <w:rFonts w:asciiTheme="minorEastAsia" w:hAnsiTheme="minorEastAsia" w:hint="eastAsia"/>
          <w:szCs w:val="28"/>
        </w:rPr>
        <w:t>减少</w:t>
      </w:r>
      <w:r w:rsidR="00BF0153" w:rsidRPr="00CB7844">
        <w:rPr>
          <w:rFonts w:asciiTheme="minorEastAsia" w:hAnsiTheme="minorEastAsia" w:hint="eastAsia"/>
          <w:szCs w:val="28"/>
        </w:rPr>
        <w:t>63.86单位，水域及水利设施用地</w:t>
      </w:r>
      <w:r w:rsidR="00D57119" w:rsidRPr="00CB7844">
        <w:rPr>
          <w:rFonts w:asciiTheme="minorEastAsia" w:hAnsiTheme="minorEastAsia" w:hint="eastAsia"/>
          <w:szCs w:val="28"/>
        </w:rPr>
        <w:t>减少</w:t>
      </w:r>
      <w:r w:rsidR="00BF0153" w:rsidRPr="00CB7844">
        <w:rPr>
          <w:rFonts w:asciiTheme="minorEastAsia" w:hAnsiTheme="minorEastAsia" w:hint="eastAsia"/>
          <w:szCs w:val="28"/>
        </w:rPr>
        <w:t>16.58单位，其他土地</w:t>
      </w:r>
      <w:r w:rsidR="00D57119" w:rsidRPr="00CB7844">
        <w:rPr>
          <w:rFonts w:asciiTheme="minorEastAsia" w:hAnsiTheme="minorEastAsia" w:hint="eastAsia"/>
          <w:szCs w:val="28"/>
        </w:rPr>
        <w:t>减少</w:t>
      </w:r>
      <w:r w:rsidR="00BF0153" w:rsidRPr="00CB7844">
        <w:rPr>
          <w:rFonts w:asciiTheme="minorEastAsia" w:hAnsiTheme="minorEastAsia" w:hint="eastAsia"/>
          <w:szCs w:val="28"/>
        </w:rPr>
        <w:t>2.76单位。</w:t>
      </w:r>
      <w:r w:rsidR="00D57119" w:rsidRPr="00CB7844">
        <w:rPr>
          <w:rFonts w:asciiTheme="minorEastAsia" w:hAnsiTheme="minorEastAsia" w:hint="eastAsia"/>
          <w:szCs w:val="28"/>
        </w:rPr>
        <w:t>从区域土地利用变化的情况来看，该区域基础设施建设和经济发展</w:t>
      </w:r>
      <w:r w:rsidR="00054C43" w:rsidRPr="00CB7844">
        <w:rPr>
          <w:rFonts w:asciiTheme="minorEastAsia" w:hAnsiTheme="minorEastAsia" w:hint="eastAsia"/>
          <w:szCs w:val="28"/>
        </w:rPr>
        <w:t>情况较好，城镇化进程</w:t>
      </w:r>
      <w:r w:rsidR="00D57119" w:rsidRPr="00CB7844">
        <w:rPr>
          <w:rFonts w:asciiTheme="minorEastAsia" w:hAnsiTheme="minorEastAsia" w:hint="eastAsia"/>
          <w:szCs w:val="28"/>
        </w:rPr>
        <w:t>稳步推进，但</w:t>
      </w:r>
      <w:r w:rsidR="00054C43" w:rsidRPr="00CB7844">
        <w:rPr>
          <w:rFonts w:asciiTheme="minorEastAsia" w:hAnsiTheme="minorEastAsia" w:hint="eastAsia"/>
          <w:szCs w:val="28"/>
        </w:rPr>
        <w:t>在发展的过程中也要注意环境保护和生态文明的建设</w:t>
      </w:r>
      <w:r w:rsidR="00E050D5" w:rsidRPr="00CB7844">
        <w:rPr>
          <w:rFonts w:asciiTheme="minorEastAsia" w:hAnsiTheme="minorEastAsia" w:hint="eastAsia"/>
          <w:szCs w:val="28"/>
        </w:rPr>
        <w:t>。</w:t>
      </w:r>
    </w:p>
    <w:p w:rsidR="0093189E" w:rsidRPr="001856C3" w:rsidRDefault="0093189E" w:rsidP="00101F42">
      <w:pPr>
        <w:rPr>
          <w:rFonts w:ascii="黑体" w:eastAsia="黑体" w:hAnsi="黑体"/>
          <w:sz w:val="32"/>
          <w:szCs w:val="32"/>
        </w:rPr>
      </w:pPr>
      <w:r w:rsidRPr="001856C3">
        <w:rPr>
          <w:rFonts w:ascii="黑体" w:eastAsia="黑体" w:hAnsi="黑体" w:hint="eastAsia"/>
          <w:sz w:val="32"/>
          <w:szCs w:val="32"/>
        </w:rPr>
        <w:t>题目</w:t>
      </w:r>
      <w:r>
        <w:rPr>
          <w:rFonts w:ascii="黑体" w:eastAsia="黑体" w:hAnsi="黑体" w:hint="eastAsia"/>
          <w:sz w:val="32"/>
          <w:szCs w:val="32"/>
        </w:rPr>
        <w:t>三</w:t>
      </w:r>
      <w:r w:rsidRPr="001856C3">
        <w:rPr>
          <w:rFonts w:ascii="黑体" w:eastAsia="黑体" w:hAnsi="黑体" w:hint="eastAsia"/>
          <w:sz w:val="32"/>
          <w:szCs w:val="32"/>
        </w:rPr>
        <w:t>：</w:t>
      </w:r>
      <w:r>
        <w:rPr>
          <w:rFonts w:ascii="黑体" w:eastAsia="黑体" w:hAnsi="黑体" w:hint="eastAsia"/>
          <w:sz w:val="32"/>
          <w:szCs w:val="32"/>
        </w:rPr>
        <w:t>（20分）</w:t>
      </w:r>
    </w:p>
    <w:p w:rsidR="00E74DE1" w:rsidRPr="00C462BA" w:rsidRDefault="00C462BA" w:rsidP="001D4AC2">
      <w:pPr>
        <w:pStyle w:val="a6"/>
        <w:numPr>
          <w:ilvl w:val="0"/>
          <w:numId w:val="2"/>
        </w:numPr>
        <w:ind w:left="512" w:hangingChars="200" w:hanging="512"/>
        <w:rPr>
          <w:rFonts w:asciiTheme="minorEastAsia" w:hAnsiTheme="minorEastAsia"/>
          <w:color w:val="17150D"/>
          <w:spacing w:val="8"/>
          <w:sz w:val="24"/>
          <w:szCs w:val="24"/>
          <w:shd w:val="clear" w:color="auto" w:fill="FFFFFF"/>
        </w:rPr>
      </w:pPr>
      <w:r w:rsidRPr="00C462BA">
        <w:rPr>
          <w:rFonts w:asciiTheme="minorEastAsia" w:hAnsiTheme="minorEastAsia" w:hint="eastAsia"/>
          <w:color w:val="17150D"/>
          <w:spacing w:val="8"/>
          <w:sz w:val="24"/>
          <w:szCs w:val="24"/>
          <w:shd w:val="clear" w:color="auto" w:fill="FFFFFF"/>
        </w:rPr>
        <w:t>原国土资源管理部门职责和分工的变化</w:t>
      </w:r>
    </w:p>
    <w:p w:rsidR="004A458A" w:rsidRPr="004A458A" w:rsidRDefault="004A458A" w:rsidP="00053C0A">
      <w:pPr>
        <w:spacing w:beforeLines="50" w:before="156" w:line="360" w:lineRule="auto"/>
        <w:ind w:firstLineChars="200" w:firstLine="420"/>
        <w:rPr>
          <w:szCs w:val="28"/>
        </w:rPr>
      </w:pPr>
      <w:r>
        <w:rPr>
          <w:rFonts w:hint="eastAsia"/>
          <w:szCs w:val="28"/>
        </w:rPr>
        <w:t>在</w:t>
      </w:r>
      <w:r w:rsidRPr="004A458A">
        <w:rPr>
          <w:szCs w:val="28"/>
        </w:rPr>
        <w:t>2018</w:t>
      </w:r>
      <w:r w:rsidRPr="004A458A">
        <w:rPr>
          <w:szCs w:val="28"/>
        </w:rPr>
        <w:t>年</w:t>
      </w:r>
      <w:r w:rsidRPr="004A458A">
        <w:rPr>
          <w:szCs w:val="28"/>
        </w:rPr>
        <w:t>3</w:t>
      </w:r>
      <w:r w:rsidRPr="004A458A">
        <w:rPr>
          <w:szCs w:val="28"/>
        </w:rPr>
        <w:t>月</w:t>
      </w:r>
      <w:r w:rsidRPr="004A458A">
        <w:rPr>
          <w:szCs w:val="28"/>
        </w:rPr>
        <w:t>13</w:t>
      </w:r>
      <w:r w:rsidRPr="004A458A">
        <w:rPr>
          <w:szCs w:val="28"/>
        </w:rPr>
        <w:t>日国务院</w:t>
      </w:r>
      <w:r>
        <w:rPr>
          <w:szCs w:val="28"/>
        </w:rPr>
        <w:t>公布的</w:t>
      </w:r>
      <w:r w:rsidR="000C0BC3" w:rsidRPr="00CB7844">
        <w:rPr>
          <w:rFonts w:hint="eastAsia"/>
          <w:szCs w:val="28"/>
        </w:rPr>
        <w:t>机构调整过程中，</w:t>
      </w:r>
      <w:r w:rsidR="00E74DE1" w:rsidRPr="00CB7844">
        <w:rPr>
          <w:rFonts w:hint="eastAsia"/>
          <w:szCs w:val="28"/>
        </w:rPr>
        <w:t>将国土资源部的职责，国家发展和改革委员会的组织编制主体功能区规划职责，住房和城乡建设部的城乡规划管理职责，水利部的水资源调查和确权登记管理职责，农业部的草原资源调查和确权登记管理职责，国家林业局的森林、湿地等地资源调查和确权登记管理职责，国家海洋局的职责，国家测绘地理信息局的职责整合，组建自然资源部，作为国务院组成部门。不再保留国土资源部、国家海洋局、国家测绘地理信息局。</w:t>
      </w:r>
      <w:r>
        <w:rPr>
          <w:rFonts w:hint="eastAsia"/>
          <w:szCs w:val="28"/>
        </w:rPr>
        <w:t>由自然资源部</w:t>
      </w:r>
      <w:r w:rsidRPr="004A458A">
        <w:rPr>
          <w:rFonts w:hint="eastAsia"/>
          <w:szCs w:val="28"/>
        </w:rPr>
        <w:t>完善生态环境管理制度，统一行使全民所有自然资源资产所有者职责，统一行使所有国土空间用途管制和生态保护修复职责，统一行使监管城乡各类污染排放和行政执法职责</w:t>
      </w:r>
      <w:r>
        <w:rPr>
          <w:rFonts w:hint="eastAsia"/>
          <w:szCs w:val="28"/>
        </w:rPr>
        <w:t>。</w:t>
      </w:r>
    </w:p>
    <w:p w:rsidR="00E46E90" w:rsidRDefault="00E74DE1" w:rsidP="00053C0A">
      <w:pPr>
        <w:spacing w:afterLines="50" w:after="156" w:line="360" w:lineRule="auto"/>
        <w:ind w:firstLineChars="200" w:firstLine="420"/>
        <w:rPr>
          <w:szCs w:val="28"/>
        </w:rPr>
      </w:pPr>
      <w:r w:rsidRPr="004A458A">
        <w:rPr>
          <w:rFonts w:hint="eastAsia"/>
          <w:szCs w:val="28"/>
        </w:rPr>
        <w:t>自然资源部的组建标志着我国由过去以实施最严格耕地保护制度和最严格节约用地制度为主要内容的国土资源管理阶段，在行政管理体制上迈进了树立和</w:t>
      </w:r>
      <w:proofErr w:type="gramStart"/>
      <w:r w:rsidRPr="004A458A">
        <w:rPr>
          <w:rFonts w:hint="eastAsia"/>
          <w:szCs w:val="28"/>
        </w:rPr>
        <w:t>践行</w:t>
      </w:r>
      <w:proofErr w:type="gramEnd"/>
      <w:r w:rsidRPr="004A458A">
        <w:rPr>
          <w:rFonts w:hint="eastAsia"/>
          <w:szCs w:val="28"/>
        </w:rPr>
        <w:t>绿水青山就是金山银山理念、统筹山水林田湖草系统治理的自然资源管理新时代。</w:t>
      </w:r>
    </w:p>
    <w:p w:rsidR="000109DF" w:rsidRPr="00C462BA" w:rsidRDefault="000109DF" w:rsidP="001D4AC2">
      <w:pPr>
        <w:pStyle w:val="a6"/>
        <w:numPr>
          <w:ilvl w:val="0"/>
          <w:numId w:val="2"/>
        </w:numPr>
        <w:ind w:left="480" w:hangingChars="200" w:hanging="480"/>
        <w:rPr>
          <w:sz w:val="24"/>
          <w:szCs w:val="24"/>
        </w:rPr>
      </w:pPr>
      <w:r w:rsidRPr="00C462BA">
        <w:rPr>
          <w:sz w:val="24"/>
          <w:szCs w:val="24"/>
        </w:rPr>
        <w:t>我国国土规划的发展趋势</w:t>
      </w:r>
      <w:r w:rsidRPr="00C462BA">
        <w:rPr>
          <w:rFonts w:hint="eastAsia"/>
          <w:sz w:val="24"/>
          <w:szCs w:val="24"/>
        </w:rPr>
        <w:t>：</w:t>
      </w:r>
    </w:p>
    <w:p w:rsidR="000109DF" w:rsidRDefault="000109DF" w:rsidP="00053C0A">
      <w:pPr>
        <w:pStyle w:val="a6"/>
        <w:numPr>
          <w:ilvl w:val="0"/>
          <w:numId w:val="3"/>
        </w:numPr>
        <w:spacing w:line="360" w:lineRule="auto"/>
        <w:ind w:firstLineChars="0"/>
      </w:pPr>
      <w:r w:rsidRPr="000109DF">
        <w:t>未来对多</w:t>
      </w:r>
      <w:proofErr w:type="gramStart"/>
      <w:r w:rsidRPr="000109DF">
        <w:t>规</w:t>
      </w:r>
      <w:proofErr w:type="gramEnd"/>
      <w:r w:rsidRPr="000109DF">
        <w:t>融合路径的研究应更加多元化和具体化</w:t>
      </w:r>
    </w:p>
    <w:p w:rsidR="000109DF" w:rsidRDefault="000109DF" w:rsidP="000109DF">
      <w:pPr>
        <w:spacing w:line="360" w:lineRule="auto"/>
        <w:ind w:firstLineChars="200" w:firstLine="420"/>
      </w:pPr>
      <w:r w:rsidRPr="000109DF">
        <w:t>综合现有研究多</w:t>
      </w:r>
      <w:proofErr w:type="gramStart"/>
      <w:r w:rsidRPr="000109DF">
        <w:t>规</w:t>
      </w:r>
      <w:proofErr w:type="gramEnd"/>
      <w:r w:rsidRPr="000109DF">
        <w:t>融合路径的文献，发现学者们所提的建议多是从统一规划期、规划和审批部门、规划标准等方面出发。但是多</w:t>
      </w:r>
      <w:proofErr w:type="gramStart"/>
      <w:r w:rsidRPr="000109DF">
        <w:t>规</w:t>
      </w:r>
      <w:proofErr w:type="gramEnd"/>
      <w:r w:rsidRPr="000109DF">
        <w:t>融合问题不仅是</w:t>
      </w:r>
      <w:r w:rsidRPr="000109DF">
        <w:lastRenderedPageBreak/>
        <w:t>土地规划界和城乡规划界学者研究的领域，也是法学、公共管理学、规划学、环境保护学、政治经济学等多学科共同面临的问题，但研究的侧重点存在差异。法学学者多是从树立国家法律保障方面研究多</w:t>
      </w:r>
      <w:proofErr w:type="gramStart"/>
      <w:r w:rsidRPr="000109DF">
        <w:t>规</w:t>
      </w:r>
      <w:proofErr w:type="gramEnd"/>
      <w:r w:rsidRPr="000109DF">
        <w:t>融合；公共管理学学者偏好从协调上下级之间、不同部门之间利益关系的角度研究多</w:t>
      </w:r>
      <w:proofErr w:type="gramStart"/>
      <w:r w:rsidRPr="000109DF">
        <w:t>规</w:t>
      </w:r>
      <w:proofErr w:type="gramEnd"/>
      <w:r w:rsidRPr="000109DF">
        <w:t>融合；规划学学者则从专业角度出发创新多</w:t>
      </w:r>
      <w:proofErr w:type="gramStart"/>
      <w:r w:rsidRPr="000109DF">
        <w:t>规</w:t>
      </w:r>
      <w:proofErr w:type="gramEnd"/>
      <w:r w:rsidRPr="000109DF">
        <w:t>融合的技术方法和管理平台等。由此可知未来对多</w:t>
      </w:r>
      <w:proofErr w:type="gramStart"/>
      <w:r w:rsidRPr="000109DF">
        <w:t>规</w:t>
      </w:r>
      <w:proofErr w:type="gramEnd"/>
      <w:r w:rsidRPr="000109DF">
        <w:t>融合问题的研究视角将更加多元化和专业化。</w:t>
      </w:r>
      <w:r w:rsidRPr="000109DF">
        <w:t xml:space="preserve"> </w:t>
      </w:r>
    </w:p>
    <w:p w:rsidR="000109DF" w:rsidRDefault="000109DF" w:rsidP="00053C0A">
      <w:pPr>
        <w:pStyle w:val="a6"/>
        <w:numPr>
          <w:ilvl w:val="0"/>
          <w:numId w:val="3"/>
        </w:numPr>
        <w:spacing w:line="360" w:lineRule="auto"/>
        <w:ind w:firstLineChars="0"/>
      </w:pPr>
      <w:r w:rsidRPr="000109DF">
        <w:t>构建国土空间规划体系是促进多</w:t>
      </w:r>
      <w:proofErr w:type="gramStart"/>
      <w:r w:rsidRPr="000109DF">
        <w:t>规</w:t>
      </w:r>
      <w:proofErr w:type="gramEnd"/>
      <w:r w:rsidRPr="000109DF">
        <w:t>融合的关键</w:t>
      </w:r>
    </w:p>
    <w:p w:rsidR="000109DF" w:rsidRDefault="000109DF" w:rsidP="000109DF">
      <w:pPr>
        <w:spacing w:line="360" w:lineRule="auto"/>
        <w:ind w:firstLineChars="200" w:firstLine="420"/>
      </w:pPr>
      <w:r w:rsidRPr="000109DF">
        <w:t>多</w:t>
      </w:r>
      <w:proofErr w:type="gramStart"/>
      <w:r w:rsidRPr="000109DF">
        <w:t>规</w:t>
      </w:r>
      <w:proofErr w:type="gramEnd"/>
      <w:r w:rsidRPr="000109DF">
        <w:t>融合中除了国民经济与社会发展规划是经济和社会指标性质的规划外，土地利用总体规划、城乡总体规划、主体功能区规划以及各专项规划都是基于一定的区域形成的空间规划。因此在协调好国家重点开发区、基本农田保护区、禁止建设区、生态保护区等国土空间的基础上建成符合国情的国土空间规划体系将是实现多</w:t>
      </w:r>
      <w:proofErr w:type="gramStart"/>
      <w:r w:rsidRPr="000109DF">
        <w:t>规</w:t>
      </w:r>
      <w:proofErr w:type="gramEnd"/>
      <w:r w:rsidRPr="000109DF">
        <w:t>融合的关键。未来的研究将更多的从如何构建适应我国发展特点的空间规划体系方面来协调多项规划。</w:t>
      </w:r>
    </w:p>
    <w:p w:rsidR="000109DF" w:rsidRDefault="000109DF" w:rsidP="00053C0A">
      <w:pPr>
        <w:pStyle w:val="a6"/>
        <w:numPr>
          <w:ilvl w:val="0"/>
          <w:numId w:val="3"/>
        </w:numPr>
        <w:spacing w:line="360" w:lineRule="auto"/>
        <w:ind w:firstLineChars="0"/>
      </w:pPr>
      <w:r w:rsidRPr="000109DF">
        <w:t>从生态文明建设角度研究多</w:t>
      </w:r>
      <w:proofErr w:type="gramStart"/>
      <w:r w:rsidRPr="000109DF">
        <w:t>规</w:t>
      </w:r>
      <w:proofErr w:type="gramEnd"/>
      <w:r w:rsidRPr="000109DF">
        <w:t>融合</w:t>
      </w:r>
    </w:p>
    <w:p w:rsidR="000109DF" w:rsidRDefault="000109DF" w:rsidP="000109DF">
      <w:pPr>
        <w:spacing w:line="360" w:lineRule="auto"/>
        <w:ind w:firstLineChars="200" w:firstLine="420"/>
      </w:pPr>
      <w:r w:rsidRPr="000109DF">
        <w:t>多</w:t>
      </w:r>
      <w:proofErr w:type="gramStart"/>
      <w:r w:rsidRPr="000109DF">
        <w:t>规</w:t>
      </w:r>
      <w:proofErr w:type="gramEnd"/>
      <w:r w:rsidRPr="000109DF">
        <w:t>融合的本质是优化配置土地资源，使其既能满足当代社会经济发展的需要，又能保护生态环境，为未来城乡健康发展创造一个良好的条件。规划在编制和实施过程中都要坚持可持续发展理念和生态环境保护观念，将生态文明建设和规划的编制、修编及实施密切联系起来。</w:t>
      </w:r>
    </w:p>
    <w:p w:rsidR="00053C0A" w:rsidRDefault="00053C0A" w:rsidP="00053C0A">
      <w:pPr>
        <w:pStyle w:val="a6"/>
        <w:numPr>
          <w:ilvl w:val="0"/>
          <w:numId w:val="3"/>
        </w:numPr>
        <w:spacing w:line="360" w:lineRule="auto"/>
        <w:ind w:firstLineChars="0"/>
      </w:pPr>
      <w:r>
        <w:t>以部门合并实现利益一致</w:t>
      </w:r>
    </w:p>
    <w:p w:rsidR="00053C0A" w:rsidRDefault="00053C0A" w:rsidP="00053C0A">
      <w:pPr>
        <w:spacing w:line="360" w:lineRule="auto"/>
        <w:ind w:firstLineChars="200" w:firstLine="420"/>
      </w:pPr>
      <w:r>
        <w:t>以部门合并实现利益一致是指通过组织机构改革将多个部门合并，将部门</w:t>
      </w:r>
      <w:proofErr w:type="gramStart"/>
      <w:r>
        <w:t>间行政</w:t>
      </w:r>
      <w:proofErr w:type="gramEnd"/>
      <w:r>
        <w:t>协调工作转变为部门内部行为，有效降低了部门沟通带来的行政成本，从而有利于多</w:t>
      </w:r>
      <w:proofErr w:type="gramStart"/>
      <w:r>
        <w:t>规</w:t>
      </w:r>
      <w:proofErr w:type="gramEnd"/>
      <w:r>
        <w:t>融合的开展。以城市总体规划的空间战略为引领，以土地利用总体规划为载体，通过市、区两级</w:t>
      </w:r>
      <w:r>
        <w:t>“</w:t>
      </w:r>
      <w:r>
        <w:t>自上而下</w:t>
      </w:r>
      <w:r>
        <w:t>”</w:t>
      </w:r>
      <w:r>
        <w:t>和</w:t>
      </w:r>
      <w:r>
        <w:t>“</w:t>
      </w:r>
      <w:r>
        <w:t>自下而上</w:t>
      </w:r>
      <w:r>
        <w:t>”</w:t>
      </w:r>
      <w:r>
        <w:t>的多次用地平衡，实现</w:t>
      </w:r>
      <w:r>
        <w:t>“</w:t>
      </w:r>
      <w:r>
        <w:t>两规</w:t>
      </w:r>
      <w:r>
        <w:t>”</w:t>
      </w:r>
      <w:r>
        <w:t>用地规模和实施管理图纸衔接，形成</w:t>
      </w:r>
      <w:r>
        <w:t>“</w:t>
      </w:r>
      <w:r>
        <w:t>以规划引领土地，以土地保障规划</w:t>
      </w:r>
      <w:r>
        <w:t>”</w:t>
      </w:r>
      <w:r>
        <w:t>的城乡规划管理新格局。</w:t>
      </w:r>
    </w:p>
    <w:p w:rsidR="00053C0A" w:rsidRPr="00BC468A" w:rsidRDefault="00053C0A" w:rsidP="00053C0A">
      <w:pPr>
        <w:spacing w:line="360" w:lineRule="auto"/>
        <w:ind w:firstLineChars="200" w:firstLine="420"/>
        <w:rPr>
          <w:sz w:val="28"/>
          <w:szCs w:val="28"/>
        </w:rPr>
      </w:pPr>
      <w:r>
        <w:t>通过将规划部门与土地部门整合，能够从根本上解决两部门长期以来因土地供需矛盾带来的规划冲突，保障了多</w:t>
      </w:r>
      <w:proofErr w:type="gramStart"/>
      <w:r>
        <w:t>规</w:t>
      </w:r>
      <w:proofErr w:type="gramEnd"/>
      <w:r>
        <w:t>融合成果</w:t>
      </w:r>
      <w:r>
        <w:t>“</w:t>
      </w:r>
      <w:r>
        <w:t>一张蓝图</w:t>
      </w:r>
      <w:r>
        <w:t>”</w:t>
      </w:r>
      <w:r>
        <w:t>的长期性与稳定性。但由于主体功能区规划、环境保护规划等其他部门规划仍涉及空间资源的配置，部门合并并非解决规划冲突的唯一手段，因而该模式仍然存在一定的局限性。</w:t>
      </w:r>
    </w:p>
    <w:sectPr w:rsidR="00053C0A" w:rsidRPr="00BC468A" w:rsidSect="0058356F">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25A" w:rsidRDefault="00AA325A" w:rsidP="00390046">
      <w:r>
        <w:separator/>
      </w:r>
    </w:p>
  </w:endnote>
  <w:endnote w:type="continuationSeparator" w:id="0">
    <w:p w:rsidR="00AA325A" w:rsidRDefault="00AA325A" w:rsidP="00390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25A" w:rsidRDefault="00AA325A" w:rsidP="00390046">
      <w:r>
        <w:separator/>
      </w:r>
    </w:p>
  </w:footnote>
  <w:footnote w:type="continuationSeparator" w:id="0">
    <w:p w:rsidR="00AA325A" w:rsidRDefault="00AA325A" w:rsidP="003900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6405A"/>
    <w:multiLevelType w:val="hybridMultilevel"/>
    <w:tmpl w:val="E36081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B2E4838"/>
    <w:multiLevelType w:val="hybridMultilevel"/>
    <w:tmpl w:val="7C5AFB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D4D1D34"/>
    <w:multiLevelType w:val="hybridMultilevel"/>
    <w:tmpl w:val="2F5E8C0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FB7"/>
    <w:rsid w:val="000109DF"/>
    <w:rsid w:val="00043E48"/>
    <w:rsid w:val="00053C0A"/>
    <w:rsid w:val="00054C43"/>
    <w:rsid w:val="000C0BC3"/>
    <w:rsid w:val="00101F42"/>
    <w:rsid w:val="001856C3"/>
    <w:rsid w:val="0019233F"/>
    <w:rsid w:val="001D4AC2"/>
    <w:rsid w:val="001F0F3D"/>
    <w:rsid w:val="0033762C"/>
    <w:rsid w:val="00390046"/>
    <w:rsid w:val="004663C2"/>
    <w:rsid w:val="004911FC"/>
    <w:rsid w:val="004A458A"/>
    <w:rsid w:val="00511032"/>
    <w:rsid w:val="0054263F"/>
    <w:rsid w:val="00572DDB"/>
    <w:rsid w:val="00582BFE"/>
    <w:rsid w:val="0058356F"/>
    <w:rsid w:val="005D02CA"/>
    <w:rsid w:val="0071631C"/>
    <w:rsid w:val="00800DB4"/>
    <w:rsid w:val="0093189E"/>
    <w:rsid w:val="0098675C"/>
    <w:rsid w:val="009F2DE9"/>
    <w:rsid w:val="00A94E64"/>
    <w:rsid w:val="00AA325A"/>
    <w:rsid w:val="00AD7CD7"/>
    <w:rsid w:val="00AF2598"/>
    <w:rsid w:val="00B16BC8"/>
    <w:rsid w:val="00B25FB7"/>
    <w:rsid w:val="00B90DAD"/>
    <w:rsid w:val="00BC468A"/>
    <w:rsid w:val="00BF0153"/>
    <w:rsid w:val="00C241AC"/>
    <w:rsid w:val="00C462BA"/>
    <w:rsid w:val="00CB1F07"/>
    <w:rsid w:val="00CB7844"/>
    <w:rsid w:val="00D57119"/>
    <w:rsid w:val="00DC3848"/>
    <w:rsid w:val="00E050D5"/>
    <w:rsid w:val="00E46E90"/>
    <w:rsid w:val="00E6427E"/>
    <w:rsid w:val="00E74DE1"/>
    <w:rsid w:val="00EE6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189E"/>
    <w:rPr>
      <w:color w:val="0000FF"/>
      <w:u w:val="single"/>
    </w:rPr>
  </w:style>
  <w:style w:type="paragraph" w:styleId="a4">
    <w:name w:val="header"/>
    <w:basedOn w:val="a"/>
    <w:link w:val="Char"/>
    <w:uiPriority w:val="99"/>
    <w:unhideWhenUsed/>
    <w:rsid w:val="003900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90046"/>
    <w:rPr>
      <w:sz w:val="18"/>
      <w:szCs w:val="18"/>
    </w:rPr>
  </w:style>
  <w:style w:type="paragraph" w:styleId="a5">
    <w:name w:val="footer"/>
    <w:basedOn w:val="a"/>
    <w:link w:val="Char0"/>
    <w:uiPriority w:val="99"/>
    <w:unhideWhenUsed/>
    <w:rsid w:val="00390046"/>
    <w:pPr>
      <w:tabs>
        <w:tab w:val="center" w:pos="4153"/>
        <w:tab w:val="right" w:pos="8306"/>
      </w:tabs>
      <w:snapToGrid w:val="0"/>
      <w:jc w:val="left"/>
    </w:pPr>
    <w:rPr>
      <w:sz w:val="18"/>
      <w:szCs w:val="18"/>
    </w:rPr>
  </w:style>
  <w:style w:type="character" w:customStyle="1" w:styleId="Char0">
    <w:name w:val="页脚 Char"/>
    <w:basedOn w:val="a0"/>
    <w:link w:val="a5"/>
    <w:uiPriority w:val="99"/>
    <w:rsid w:val="00390046"/>
    <w:rPr>
      <w:sz w:val="18"/>
      <w:szCs w:val="18"/>
    </w:rPr>
  </w:style>
  <w:style w:type="paragraph" w:styleId="a6">
    <w:name w:val="List Paragraph"/>
    <w:basedOn w:val="a"/>
    <w:uiPriority w:val="34"/>
    <w:qFormat/>
    <w:rsid w:val="000109DF"/>
    <w:pPr>
      <w:ind w:firstLineChars="200" w:firstLine="420"/>
    </w:pPr>
  </w:style>
  <w:style w:type="paragraph" w:styleId="a7">
    <w:name w:val="Balloon Text"/>
    <w:basedOn w:val="a"/>
    <w:link w:val="Char1"/>
    <w:uiPriority w:val="99"/>
    <w:semiHidden/>
    <w:unhideWhenUsed/>
    <w:rsid w:val="001D4AC2"/>
    <w:rPr>
      <w:sz w:val="18"/>
      <w:szCs w:val="18"/>
    </w:rPr>
  </w:style>
  <w:style w:type="character" w:customStyle="1" w:styleId="Char1">
    <w:name w:val="批注框文本 Char"/>
    <w:basedOn w:val="a0"/>
    <w:link w:val="a7"/>
    <w:uiPriority w:val="99"/>
    <w:semiHidden/>
    <w:rsid w:val="001D4AC2"/>
    <w:rPr>
      <w:sz w:val="18"/>
      <w:szCs w:val="18"/>
    </w:rPr>
  </w:style>
  <w:style w:type="paragraph" w:styleId="a8">
    <w:name w:val="caption"/>
    <w:basedOn w:val="a"/>
    <w:next w:val="a"/>
    <w:uiPriority w:val="35"/>
    <w:unhideWhenUsed/>
    <w:qFormat/>
    <w:rsid w:val="001D4AC2"/>
    <w:rPr>
      <w:rFonts w:asciiTheme="majorHAnsi" w:eastAsia="黑体" w:hAnsiTheme="majorHAnsi" w:cstheme="majorBidi"/>
      <w:sz w:val="20"/>
      <w:szCs w:val="20"/>
    </w:rPr>
  </w:style>
  <w:style w:type="character" w:styleId="a9">
    <w:name w:val="FollowedHyperlink"/>
    <w:basedOn w:val="a0"/>
    <w:uiPriority w:val="99"/>
    <w:semiHidden/>
    <w:unhideWhenUsed/>
    <w:rsid w:val="00A94E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189E"/>
    <w:rPr>
      <w:color w:val="0000FF"/>
      <w:u w:val="single"/>
    </w:rPr>
  </w:style>
  <w:style w:type="paragraph" w:styleId="a4">
    <w:name w:val="header"/>
    <w:basedOn w:val="a"/>
    <w:link w:val="Char"/>
    <w:uiPriority w:val="99"/>
    <w:unhideWhenUsed/>
    <w:rsid w:val="003900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90046"/>
    <w:rPr>
      <w:sz w:val="18"/>
      <w:szCs w:val="18"/>
    </w:rPr>
  </w:style>
  <w:style w:type="paragraph" w:styleId="a5">
    <w:name w:val="footer"/>
    <w:basedOn w:val="a"/>
    <w:link w:val="Char0"/>
    <w:uiPriority w:val="99"/>
    <w:unhideWhenUsed/>
    <w:rsid w:val="00390046"/>
    <w:pPr>
      <w:tabs>
        <w:tab w:val="center" w:pos="4153"/>
        <w:tab w:val="right" w:pos="8306"/>
      </w:tabs>
      <w:snapToGrid w:val="0"/>
      <w:jc w:val="left"/>
    </w:pPr>
    <w:rPr>
      <w:sz w:val="18"/>
      <w:szCs w:val="18"/>
    </w:rPr>
  </w:style>
  <w:style w:type="character" w:customStyle="1" w:styleId="Char0">
    <w:name w:val="页脚 Char"/>
    <w:basedOn w:val="a0"/>
    <w:link w:val="a5"/>
    <w:uiPriority w:val="99"/>
    <w:rsid w:val="00390046"/>
    <w:rPr>
      <w:sz w:val="18"/>
      <w:szCs w:val="18"/>
    </w:rPr>
  </w:style>
  <w:style w:type="paragraph" w:styleId="a6">
    <w:name w:val="List Paragraph"/>
    <w:basedOn w:val="a"/>
    <w:uiPriority w:val="34"/>
    <w:qFormat/>
    <w:rsid w:val="000109DF"/>
    <w:pPr>
      <w:ind w:firstLineChars="200" w:firstLine="420"/>
    </w:pPr>
  </w:style>
  <w:style w:type="paragraph" w:styleId="a7">
    <w:name w:val="Balloon Text"/>
    <w:basedOn w:val="a"/>
    <w:link w:val="Char1"/>
    <w:uiPriority w:val="99"/>
    <w:semiHidden/>
    <w:unhideWhenUsed/>
    <w:rsid w:val="001D4AC2"/>
    <w:rPr>
      <w:sz w:val="18"/>
      <w:szCs w:val="18"/>
    </w:rPr>
  </w:style>
  <w:style w:type="character" w:customStyle="1" w:styleId="Char1">
    <w:name w:val="批注框文本 Char"/>
    <w:basedOn w:val="a0"/>
    <w:link w:val="a7"/>
    <w:uiPriority w:val="99"/>
    <w:semiHidden/>
    <w:rsid w:val="001D4AC2"/>
    <w:rPr>
      <w:sz w:val="18"/>
      <w:szCs w:val="18"/>
    </w:rPr>
  </w:style>
  <w:style w:type="paragraph" w:styleId="a8">
    <w:name w:val="caption"/>
    <w:basedOn w:val="a"/>
    <w:next w:val="a"/>
    <w:uiPriority w:val="35"/>
    <w:unhideWhenUsed/>
    <w:qFormat/>
    <w:rsid w:val="001D4AC2"/>
    <w:rPr>
      <w:rFonts w:asciiTheme="majorHAnsi" w:eastAsia="黑体" w:hAnsiTheme="majorHAnsi" w:cstheme="majorBidi"/>
      <w:sz w:val="20"/>
      <w:szCs w:val="20"/>
    </w:rPr>
  </w:style>
  <w:style w:type="character" w:styleId="a9">
    <w:name w:val="FollowedHyperlink"/>
    <w:basedOn w:val="a0"/>
    <w:uiPriority w:val="99"/>
    <w:semiHidden/>
    <w:unhideWhenUsed/>
    <w:rsid w:val="00A94E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11739">
      <w:bodyDiv w:val="1"/>
      <w:marLeft w:val="0"/>
      <w:marRight w:val="0"/>
      <w:marTop w:val="0"/>
      <w:marBottom w:val="0"/>
      <w:divBdr>
        <w:top w:val="none" w:sz="0" w:space="0" w:color="auto"/>
        <w:left w:val="none" w:sz="0" w:space="0" w:color="auto"/>
        <w:bottom w:val="none" w:sz="0" w:space="0" w:color="auto"/>
        <w:right w:val="none" w:sz="0" w:space="0" w:color="auto"/>
      </w:divBdr>
    </w:div>
    <w:div w:id="570819384">
      <w:bodyDiv w:val="1"/>
      <w:marLeft w:val="0"/>
      <w:marRight w:val="0"/>
      <w:marTop w:val="0"/>
      <w:marBottom w:val="0"/>
      <w:divBdr>
        <w:top w:val="none" w:sz="0" w:space="0" w:color="auto"/>
        <w:left w:val="none" w:sz="0" w:space="0" w:color="auto"/>
        <w:bottom w:val="none" w:sz="0" w:space="0" w:color="auto"/>
        <w:right w:val="none" w:sz="0" w:space="0" w:color="auto"/>
      </w:divBdr>
    </w:div>
    <w:div w:id="1184977059">
      <w:bodyDiv w:val="1"/>
      <w:marLeft w:val="0"/>
      <w:marRight w:val="0"/>
      <w:marTop w:val="0"/>
      <w:marBottom w:val="0"/>
      <w:divBdr>
        <w:top w:val="none" w:sz="0" w:space="0" w:color="auto"/>
        <w:left w:val="none" w:sz="0" w:space="0" w:color="auto"/>
        <w:bottom w:val="none" w:sz="0" w:space="0" w:color="auto"/>
        <w:right w:val="none" w:sz="0" w:space="0" w:color="auto"/>
      </w:divBdr>
    </w:div>
    <w:div w:id="1272513003">
      <w:bodyDiv w:val="1"/>
      <w:marLeft w:val="0"/>
      <w:marRight w:val="0"/>
      <w:marTop w:val="0"/>
      <w:marBottom w:val="0"/>
      <w:divBdr>
        <w:top w:val="none" w:sz="0" w:space="0" w:color="auto"/>
        <w:left w:val="none" w:sz="0" w:space="0" w:color="auto"/>
        <w:bottom w:val="none" w:sz="0" w:space="0" w:color="auto"/>
        <w:right w:val="none" w:sz="0" w:space="0" w:color="auto"/>
      </w:divBdr>
    </w:div>
    <w:div w:id="1377391049">
      <w:bodyDiv w:val="1"/>
      <w:marLeft w:val="0"/>
      <w:marRight w:val="0"/>
      <w:marTop w:val="0"/>
      <w:marBottom w:val="0"/>
      <w:divBdr>
        <w:top w:val="none" w:sz="0" w:space="0" w:color="auto"/>
        <w:left w:val="none" w:sz="0" w:space="0" w:color="auto"/>
        <w:bottom w:val="none" w:sz="0" w:space="0" w:color="auto"/>
        <w:right w:val="none" w:sz="0" w:space="0" w:color="auto"/>
      </w:divBdr>
    </w:div>
    <w:div w:id="1549492501">
      <w:bodyDiv w:val="1"/>
      <w:marLeft w:val="0"/>
      <w:marRight w:val="0"/>
      <w:marTop w:val="0"/>
      <w:marBottom w:val="0"/>
      <w:divBdr>
        <w:top w:val="none" w:sz="0" w:space="0" w:color="auto"/>
        <w:left w:val="none" w:sz="0" w:space="0" w:color="auto"/>
        <w:bottom w:val="none" w:sz="0" w:space="0" w:color="auto"/>
        <w:right w:val="none" w:sz="0" w:space="0" w:color="auto"/>
      </w:divBdr>
    </w:div>
    <w:div w:id="1916233391">
      <w:bodyDiv w:val="1"/>
      <w:marLeft w:val="0"/>
      <w:marRight w:val="0"/>
      <w:marTop w:val="0"/>
      <w:marBottom w:val="0"/>
      <w:divBdr>
        <w:top w:val="none" w:sz="0" w:space="0" w:color="auto"/>
        <w:left w:val="none" w:sz="0" w:space="0" w:color="auto"/>
        <w:bottom w:val="none" w:sz="0" w:space="0" w:color="auto"/>
        <w:right w:val="none" w:sz="0" w:space="0" w:color="auto"/>
      </w:divBdr>
    </w:div>
    <w:div w:id="1948006736">
      <w:bodyDiv w:val="1"/>
      <w:marLeft w:val="0"/>
      <w:marRight w:val="0"/>
      <w:marTop w:val="0"/>
      <w:marBottom w:val="0"/>
      <w:divBdr>
        <w:top w:val="none" w:sz="0" w:space="0" w:color="auto"/>
        <w:left w:val="none" w:sz="0" w:space="0" w:color="auto"/>
        <w:bottom w:val="none" w:sz="0" w:space="0" w:color="auto"/>
        <w:right w:val="none" w:sz="0" w:space="0" w:color="auto"/>
      </w:divBdr>
    </w:div>
    <w:div w:id="199309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Guiye/docs/blob/master/&#22303;&#22320;&#21033;&#29992;&#24635;&#20307;&#35268;&#21010;_&#26446;&#26690;&#21494;.p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dc:creator>
  <cp:lastModifiedBy>China</cp:lastModifiedBy>
  <cp:revision>34</cp:revision>
  <dcterms:created xsi:type="dcterms:W3CDTF">2018-12-29T03:31:00Z</dcterms:created>
  <dcterms:modified xsi:type="dcterms:W3CDTF">2019-01-07T11:29:00Z</dcterms:modified>
</cp:coreProperties>
</file>