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237"/>
        <w:spacing w:before="134" w:line="222" w:lineRule="auto"/>
        <w:rPr>
          <w:rFonts w:ascii="SimHei" w:hAnsi="SimHei" w:eastAsia="SimHei" w:cs="SimHei"/>
          <w:sz w:val="41"/>
          <w:szCs w:val="41"/>
        </w:rPr>
      </w:pPr>
      <w:r>
        <w:rPr>
          <w:rFonts w:ascii="SimHei" w:hAnsi="SimHei" w:eastAsia="SimHei" w:cs="SimHei"/>
          <w:sz w:val="41"/>
          <w:szCs w:val="41"/>
          <w:spacing w:val="-3"/>
        </w:rPr>
        <w:t>保险精算实务（草稿）</w:t>
      </w:r>
    </w:p>
    <w:p>
      <w:pPr>
        <w:pStyle w:val="BodyText"/>
        <w:spacing w:line="341" w:lineRule="auto"/>
        <w:rPr/>
      </w:pPr>
      <w:r/>
    </w:p>
    <w:p>
      <w:pPr>
        <w:pStyle w:val="BodyText"/>
        <w:spacing w:line="341" w:lineRule="auto"/>
        <w:rPr/>
      </w:pPr>
      <w:r/>
    </w:p>
    <w:p>
      <w:pPr>
        <w:ind w:left="3605"/>
        <w:spacing w:before="91" w:line="224" w:lineRule="auto"/>
        <w:rPr>
          <w:rFonts w:ascii="SimSun" w:hAnsi="SimSun" w:eastAsia="SimSun" w:cs="SimSun"/>
          <w:sz w:val="28"/>
          <w:szCs w:val="28"/>
        </w:rPr>
      </w:pPr>
      <w:r>
        <w:rPr>
          <w:rFonts w:ascii="SimSun" w:hAnsi="SimSun" w:eastAsia="SimSun" w:cs="SimSun"/>
          <w:sz w:val="28"/>
          <w:szCs w:val="28"/>
          <w:spacing w:val="3"/>
        </w:rPr>
        <w:t>作者姓名</w:t>
      </w:r>
    </w:p>
    <w:p>
      <w:pPr>
        <w:pStyle w:val="BodyText"/>
        <w:spacing w:line="370" w:lineRule="auto"/>
        <w:rPr/>
      </w:pPr>
      <w:r/>
    </w:p>
    <w:p>
      <w:pPr>
        <w:ind w:left="3024"/>
        <w:spacing w:before="91" w:line="224" w:lineRule="auto"/>
        <w:rPr>
          <w:rFonts w:ascii="SimSun" w:hAnsi="SimSun" w:eastAsia="SimSun" w:cs="SimSun"/>
          <w:sz w:val="28"/>
          <w:szCs w:val="28"/>
        </w:rPr>
      </w:pPr>
      <w:r>
        <w:rPr>
          <w:rFonts w:ascii="Times New Roman" w:hAnsi="Times New Roman" w:eastAsia="Times New Roman" w:cs="Times New Roman"/>
          <w:sz w:val="28"/>
          <w:szCs w:val="28"/>
          <w:spacing w:val="-8"/>
        </w:rPr>
        <w:t>2026</w:t>
      </w:r>
      <w:r>
        <w:rPr>
          <w:rFonts w:ascii="Times New Roman" w:hAnsi="Times New Roman" w:eastAsia="Times New Roman" w:cs="Times New Roman"/>
          <w:sz w:val="28"/>
          <w:szCs w:val="28"/>
          <w:spacing w:val="36"/>
        </w:rPr>
        <w:t xml:space="preserve"> </w:t>
      </w:r>
      <w:r>
        <w:rPr>
          <w:rFonts w:ascii="SimSun" w:hAnsi="SimSun" w:eastAsia="SimSun" w:cs="SimSun"/>
          <w:sz w:val="28"/>
          <w:szCs w:val="28"/>
          <w:spacing w:val="-8"/>
        </w:rPr>
        <w:t>年</w:t>
      </w:r>
      <w:r>
        <w:rPr>
          <w:rFonts w:ascii="SimSun" w:hAnsi="SimSun" w:eastAsia="SimSun" w:cs="SimSun"/>
          <w:sz w:val="28"/>
          <w:szCs w:val="28"/>
          <w:spacing w:val="-21"/>
        </w:rPr>
        <w:t xml:space="preserve"> </w:t>
      </w:r>
      <w:r>
        <w:rPr>
          <w:rFonts w:ascii="Times New Roman" w:hAnsi="Times New Roman" w:eastAsia="Times New Roman" w:cs="Times New Roman"/>
          <w:sz w:val="28"/>
          <w:szCs w:val="28"/>
          <w:spacing w:val="-8"/>
        </w:rPr>
        <w:t>1</w:t>
      </w:r>
      <w:r>
        <w:rPr>
          <w:rFonts w:ascii="Times New Roman" w:hAnsi="Times New Roman" w:eastAsia="Times New Roman" w:cs="Times New Roman"/>
          <w:sz w:val="28"/>
          <w:szCs w:val="28"/>
          <w:spacing w:val="42"/>
        </w:rPr>
        <w:t xml:space="preserve"> </w:t>
      </w:r>
      <w:r>
        <w:rPr>
          <w:rFonts w:ascii="SimSun" w:hAnsi="SimSun" w:eastAsia="SimSun" w:cs="SimSun"/>
          <w:sz w:val="28"/>
          <w:szCs w:val="28"/>
          <w:spacing w:val="-8"/>
        </w:rPr>
        <w:t>月</w:t>
      </w:r>
      <w:r>
        <w:rPr>
          <w:rFonts w:ascii="SimSun" w:hAnsi="SimSun" w:eastAsia="SimSun" w:cs="SimSun"/>
          <w:sz w:val="28"/>
          <w:szCs w:val="28"/>
          <w:spacing w:val="-20"/>
        </w:rPr>
        <w:t xml:space="preserve"> </w:t>
      </w:r>
      <w:r>
        <w:rPr>
          <w:rFonts w:ascii="Times New Roman" w:hAnsi="Times New Roman" w:eastAsia="Times New Roman" w:cs="Times New Roman"/>
          <w:sz w:val="28"/>
          <w:szCs w:val="28"/>
          <w:spacing w:val="-8"/>
        </w:rPr>
        <w:t>17</w:t>
      </w:r>
      <w:r>
        <w:rPr>
          <w:rFonts w:ascii="Times New Roman" w:hAnsi="Times New Roman" w:eastAsia="Times New Roman" w:cs="Times New Roman"/>
          <w:sz w:val="28"/>
          <w:szCs w:val="28"/>
          <w:spacing w:val="7"/>
        </w:rPr>
        <w:t xml:space="preserve">  </w:t>
      </w:r>
      <w:r>
        <w:rPr>
          <w:rFonts w:ascii="SimSun" w:hAnsi="SimSun" w:eastAsia="SimSun" w:cs="SimSun"/>
          <w:sz w:val="28"/>
          <w:szCs w:val="28"/>
          <w:spacing w:val="-8"/>
        </w:rPr>
        <w:t>日</w:t>
      </w:r>
    </w:p>
    <w:p>
      <w:pPr>
        <w:spacing w:line="224" w:lineRule="auto"/>
        <w:sectPr>
          <w:pgSz w:w="11906" w:h="16838"/>
          <w:pgMar w:top="1431" w:right="1785" w:bottom="0" w:left="1785" w:header="0" w:footer="0" w:gutter="0"/>
        </w:sectPr>
        <w:rPr>
          <w:rFonts w:ascii="SimSun" w:hAnsi="SimSun" w:eastAsia="SimSun" w:cs="SimSun"/>
          <w:sz w:val="28"/>
          <w:szCs w:val="28"/>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sdt>
      <w:sdtPr>
        <w:rPr>
          <w:rFonts w:ascii="SimHei" w:hAnsi="SimHei" w:eastAsia="SimHei" w:cs="SimHei"/>
          <w:sz w:val="49"/>
          <w:szCs w:val="49"/>
        </w:rPr>
        <w:docPartObj>
          <w:docPartGallery w:val="Table of Contents"/>
          <w:docPartUnique/>
        </w:docPartObj>
      </w:sdtPr>
      <w:sdtEndPr>
        <w:rPr>
          <w:rFonts w:ascii="Times New Roman" w:hAnsi="Times New Roman" w:eastAsia="Times New Roman" w:cs="Times New Roman"/>
          <w:sz w:val="23"/>
          <w:szCs w:val="23"/>
        </w:rPr>
      </w:sdtEndPr>
      <w:sdtContent>
        <w:p>
          <w:pPr>
            <w:ind w:left="60"/>
            <w:spacing w:before="160" w:line="224" w:lineRule="auto"/>
            <w:rPr>
              <w:rFonts w:ascii="SimHei" w:hAnsi="SimHei" w:eastAsia="SimHei" w:cs="SimHei"/>
              <w:sz w:val="49"/>
              <w:szCs w:val="49"/>
            </w:rPr>
          </w:pPr>
          <w:r>
            <w:rPr>
              <w:rFonts w:ascii="SimHei" w:hAnsi="SimHei" w:eastAsia="SimHei" w:cs="SimHei"/>
              <w:sz w:val="49"/>
              <w:szCs w:val="49"/>
              <w:spacing w:val="-18"/>
            </w:rPr>
            <w:t>目录</w:t>
          </w:r>
        </w:p>
        <w:p>
          <w:pPr>
            <w:pStyle w:val="BodyText"/>
            <w:spacing w:line="301" w:lineRule="auto"/>
            <w:rPr/>
          </w:pPr>
          <w:r/>
        </w:p>
        <w:p>
          <w:pPr>
            <w:pStyle w:val="BodyText"/>
            <w:spacing w:line="302" w:lineRule="auto"/>
            <w:rPr/>
          </w:pPr>
          <w:r/>
        </w:p>
        <w:p>
          <w:pPr>
            <w:pStyle w:val="BodyText"/>
            <w:spacing w:line="302" w:lineRule="auto"/>
            <w:rPr/>
          </w:pPr>
          <w:r/>
        </w:p>
        <w:p>
          <w:pPr>
            <w:spacing w:before="75" w:line="341" w:lineRule="exact"/>
            <w:jc w:val="right"/>
            <w:rPr>
              <w:rFonts w:ascii="Times New Roman" w:hAnsi="Times New Roman" w:eastAsia="Times New Roman" w:cs="Times New Roman"/>
              <w:sz w:val="23"/>
              <w:szCs w:val="23"/>
            </w:rPr>
          </w:pPr>
          <w:hyperlink w:history="true" w:anchor="bookmark1">
            <w:r>
              <w:rPr>
                <w:rFonts w:ascii="Times New Roman" w:hAnsi="Times New Roman" w:eastAsia="Times New Roman" w:cs="Times New Roman"/>
                <w:sz w:val="23"/>
                <w:szCs w:val="23"/>
                <w:b/>
                <w:bCs/>
                <w:spacing w:val="5"/>
                <w:position w:val="2"/>
              </w:rPr>
              <w:t>1</w:t>
            </w:r>
            <w:r>
              <w:rPr>
                <w:rFonts w:ascii="Times New Roman" w:hAnsi="Times New Roman" w:eastAsia="Times New Roman" w:cs="Times New Roman"/>
                <w:sz w:val="23"/>
                <w:szCs w:val="23"/>
                <w:b/>
                <w:bCs/>
                <w:position w:val="2"/>
              </w:rPr>
              <w:t xml:space="preserve">    </w:t>
            </w:r>
            <w:r>
              <w:rPr>
                <w:rFonts w:ascii="SimHei" w:hAnsi="SimHei" w:eastAsia="SimHei" w:cs="SimHei"/>
                <w:sz w:val="23"/>
                <w:szCs w:val="23"/>
                <w:spacing w:val="5"/>
                <w:position w:val="2"/>
              </w:rPr>
              <w:t>保险精算实务概论</w:t>
            </w:r>
          </w:hyperlink>
          <w:r>
            <w:rPr>
              <w:rFonts w:ascii="SimHei" w:hAnsi="SimHei" w:eastAsia="SimHei" w:cs="SimHei"/>
              <w:sz w:val="23"/>
              <w:szCs w:val="23"/>
              <w:spacing w:val="5"/>
              <w:position w:val="2"/>
            </w:rPr>
            <w:t xml:space="preserve">                                  </w:t>
          </w:r>
          <w:r>
            <w:rPr>
              <w:rFonts w:ascii="SimHei" w:hAnsi="SimHei" w:eastAsia="SimHei" w:cs="SimHei"/>
              <w:sz w:val="23"/>
              <w:szCs w:val="23"/>
              <w:spacing w:val="4"/>
              <w:position w:val="2"/>
            </w:rPr>
            <w:t xml:space="preserve">                      </w:t>
          </w:r>
          <w:r>
            <w:rPr>
              <w:rFonts w:ascii="Times New Roman" w:hAnsi="Times New Roman" w:eastAsia="Times New Roman" w:cs="Times New Roman"/>
              <w:sz w:val="23"/>
              <w:szCs w:val="23"/>
              <w:b/>
              <w:bCs/>
              <w:spacing w:val="4"/>
              <w:position w:val="2"/>
            </w:rPr>
            <w:t>1</w:t>
          </w:r>
        </w:p>
        <w:p>
          <w:pPr>
            <w:ind w:left="359"/>
            <w:spacing w:before="26" w:line="336" w:lineRule="exact"/>
            <w:tabs>
              <w:tab w:val="right" w:leader="dot" w:pos="9050"/>
            </w:tabs>
            <w:rPr>
              <w:rFonts w:ascii="Times New Roman" w:hAnsi="Times New Roman" w:eastAsia="Times New Roman" w:cs="Times New Roman"/>
              <w:sz w:val="23"/>
              <w:szCs w:val="23"/>
            </w:rPr>
          </w:pPr>
          <w:hyperlink w:history="true" w:anchor="bookmark2">
            <w:r>
              <w:rPr>
                <w:rFonts w:ascii="Times New Roman" w:hAnsi="Times New Roman" w:eastAsia="Times New Roman" w:cs="Times New Roman"/>
                <w:sz w:val="23"/>
                <w:szCs w:val="23"/>
                <w:spacing w:val="6"/>
                <w:position w:val="2"/>
              </w:rPr>
              <w:t>1.1    </w:t>
            </w:r>
            <w:r>
              <w:rPr>
                <w:rFonts w:ascii="SimSun" w:hAnsi="SimSun" w:eastAsia="SimSun" w:cs="SimSun"/>
                <w:sz w:val="23"/>
                <w:szCs w:val="23"/>
                <w:spacing w:val="6"/>
                <w:position w:val="2"/>
              </w:rPr>
              <w:t>精算学的定义与核心内涵</w:t>
            </w:r>
          </w:hyperlink>
          <w:r>
            <w:rPr>
              <w:rFonts w:ascii="SimSun" w:hAnsi="SimSun" w:eastAsia="SimSun" w:cs="SimSun"/>
              <w:sz w:val="23"/>
              <w:szCs w:val="23"/>
              <w:spacing w:val="24"/>
              <w:position w:val="2"/>
            </w:rPr>
            <w:t xml:space="preserve">   </w:t>
          </w:r>
          <w:r>
            <w:rPr>
              <w:rFonts w:ascii="SimSun" w:hAnsi="SimSun" w:eastAsia="SimSun" w:cs="SimSun"/>
              <w:sz w:val="23"/>
              <w:szCs w:val="23"/>
              <w:position w:val="2"/>
            </w:rPr>
            <w:tab/>
          </w:r>
          <w:r>
            <w:rPr>
              <w:rFonts w:ascii="SimSun" w:hAnsi="SimSun" w:eastAsia="SimSun" w:cs="SimSun"/>
              <w:sz w:val="23"/>
              <w:szCs w:val="23"/>
              <w:spacing w:val="4"/>
              <w:position w:val="2"/>
            </w:rPr>
            <w:t xml:space="preserve">   </w:t>
          </w:r>
          <w:r>
            <w:rPr>
              <w:rFonts w:ascii="Times New Roman" w:hAnsi="Times New Roman" w:eastAsia="Times New Roman" w:cs="Times New Roman"/>
              <w:sz w:val="23"/>
              <w:szCs w:val="23"/>
              <w:spacing w:val="-20"/>
              <w:position w:val="2"/>
            </w:rPr>
            <w:t>1</w:t>
          </w:r>
        </w:p>
        <w:p>
          <w:pPr>
            <w:ind w:left="909"/>
            <w:spacing w:before="28" w:line="336" w:lineRule="exact"/>
            <w:tabs>
              <w:tab w:val="right" w:leader="dot" w:pos="9050"/>
            </w:tabs>
            <w:rPr>
              <w:rFonts w:ascii="Times New Roman" w:hAnsi="Times New Roman" w:eastAsia="Times New Roman" w:cs="Times New Roman"/>
              <w:sz w:val="23"/>
              <w:szCs w:val="23"/>
            </w:rPr>
          </w:pPr>
          <w:hyperlink w:history="true" w:anchor="bookmark3">
            <w:r>
              <w:rPr>
                <w:rFonts w:ascii="Times New Roman" w:hAnsi="Times New Roman" w:eastAsia="Times New Roman" w:cs="Times New Roman"/>
                <w:sz w:val="23"/>
                <w:szCs w:val="23"/>
                <w:spacing w:val="5"/>
                <w:position w:val="2"/>
              </w:rPr>
              <w:t>1.1.1</w:t>
            </w:r>
            <w:r>
              <w:rPr>
                <w:rFonts w:ascii="Times New Roman" w:hAnsi="Times New Roman" w:eastAsia="Times New Roman" w:cs="Times New Roman"/>
                <w:sz w:val="23"/>
                <w:szCs w:val="23"/>
                <w:spacing w:val="2"/>
                <w:position w:val="2"/>
              </w:rPr>
              <w:t xml:space="preserve">     </w:t>
            </w:r>
            <w:r>
              <w:rPr>
                <w:rFonts w:ascii="SimSun" w:hAnsi="SimSun" w:eastAsia="SimSun" w:cs="SimSun"/>
                <w:sz w:val="23"/>
                <w:szCs w:val="23"/>
                <w:spacing w:val="5"/>
                <w:position w:val="2"/>
              </w:rPr>
              <w:t>精算学的本质界定</w:t>
            </w:r>
          </w:hyperlink>
          <w:r>
            <w:rPr>
              <w:rFonts w:ascii="SimSun" w:hAnsi="SimSun" w:eastAsia="SimSun" w:cs="SimSun"/>
              <w:sz w:val="23"/>
              <w:szCs w:val="23"/>
              <w:spacing w:val="5"/>
              <w:position w:val="2"/>
            </w:rPr>
            <w:t xml:space="preserve">   </w:t>
          </w:r>
          <w:r>
            <w:rPr>
              <w:rFonts w:ascii="SimSun" w:hAnsi="SimSun" w:eastAsia="SimSun" w:cs="SimSun"/>
              <w:sz w:val="23"/>
              <w:szCs w:val="23"/>
              <w:position w:val="2"/>
            </w:rPr>
            <w:tab/>
          </w:r>
          <w:r>
            <w:rPr>
              <w:rFonts w:ascii="SimSun" w:hAnsi="SimSun" w:eastAsia="SimSun" w:cs="SimSun"/>
              <w:sz w:val="23"/>
              <w:szCs w:val="23"/>
              <w:spacing w:val="4"/>
              <w:position w:val="2"/>
            </w:rPr>
            <w:t xml:space="preserve">   </w:t>
          </w:r>
          <w:r>
            <w:rPr>
              <w:rFonts w:ascii="Times New Roman" w:hAnsi="Times New Roman" w:eastAsia="Times New Roman" w:cs="Times New Roman"/>
              <w:sz w:val="23"/>
              <w:szCs w:val="23"/>
              <w:spacing w:val="-20"/>
              <w:position w:val="2"/>
            </w:rPr>
            <w:t>1</w:t>
          </w:r>
        </w:p>
        <w:p>
          <w:pPr>
            <w:ind w:left="909"/>
            <w:spacing w:before="28" w:line="336" w:lineRule="exact"/>
            <w:tabs>
              <w:tab w:val="right" w:leader="dot" w:pos="9050"/>
            </w:tabs>
            <w:rPr>
              <w:rFonts w:ascii="Times New Roman" w:hAnsi="Times New Roman" w:eastAsia="Times New Roman" w:cs="Times New Roman"/>
              <w:sz w:val="23"/>
              <w:szCs w:val="23"/>
            </w:rPr>
          </w:pPr>
          <w:hyperlink w:history="true" w:anchor="bookmark4">
            <w:r>
              <w:rPr>
                <w:rFonts w:ascii="Times New Roman" w:hAnsi="Times New Roman" w:eastAsia="Times New Roman" w:cs="Times New Roman"/>
                <w:sz w:val="23"/>
                <w:szCs w:val="23"/>
                <w:spacing w:val="5"/>
                <w:position w:val="2"/>
              </w:rPr>
              <w:t>1.1.2</w:t>
            </w:r>
            <w:r>
              <w:rPr>
                <w:rFonts w:ascii="Times New Roman" w:hAnsi="Times New Roman" w:eastAsia="Times New Roman" w:cs="Times New Roman"/>
                <w:sz w:val="23"/>
                <w:szCs w:val="23"/>
                <w:spacing w:val="2"/>
                <w:position w:val="2"/>
              </w:rPr>
              <w:t xml:space="preserve">     </w:t>
            </w:r>
            <w:r>
              <w:rPr>
                <w:rFonts w:ascii="SimSun" w:hAnsi="SimSun" w:eastAsia="SimSun" w:cs="SimSun"/>
                <w:sz w:val="23"/>
                <w:szCs w:val="23"/>
                <w:spacing w:val="5"/>
                <w:position w:val="2"/>
              </w:rPr>
              <w:t>精算学的核心要素</w:t>
            </w:r>
          </w:hyperlink>
          <w:r>
            <w:rPr>
              <w:rFonts w:ascii="SimSun" w:hAnsi="SimSun" w:eastAsia="SimSun" w:cs="SimSun"/>
              <w:sz w:val="23"/>
              <w:szCs w:val="23"/>
              <w:spacing w:val="5"/>
              <w:position w:val="2"/>
            </w:rPr>
            <w:t xml:space="preserve">   </w:t>
          </w:r>
          <w:r>
            <w:rPr>
              <w:rFonts w:ascii="SimSun" w:hAnsi="SimSun" w:eastAsia="SimSun" w:cs="SimSun"/>
              <w:sz w:val="23"/>
              <w:szCs w:val="23"/>
              <w:position w:val="2"/>
            </w:rPr>
            <w:tab/>
          </w:r>
          <w:r>
            <w:rPr>
              <w:rFonts w:ascii="SimSun" w:hAnsi="SimSun" w:eastAsia="SimSun" w:cs="SimSun"/>
              <w:sz w:val="23"/>
              <w:szCs w:val="23"/>
              <w:spacing w:val="1"/>
              <w:position w:val="2"/>
            </w:rPr>
            <w:t xml:space="preserve">   </w:t>
          </w:r>
          <w:r>
            <w:rPr>
              <w:rFonts w:ascii="Times New Roman" w:hAnsi="Times New Roman" w:eastAsia="Times New Roman" w:cs="Times New Roman"/>
              <w:sz w:val="23"/>
              <w:szCs w:val="23"/>
              <w:spacing w:val="-10"/>
              <w:position w:val="2"/>
            </w:rPr>
            <w:t>2</w:t>
          </w:r>
        </w:p>
        <w:p>
          <w:pPr>
            <w:ind w:left="909"/>
            <w:spacing w:before="28" w:line="337" w:lineRule="exact"/>
            <w:tabs>
              <w:tab w:val="right" w:leader="dot" w:pos="9050"/>
            </w:tabs>
            <w:rPr>
              <w:rFonts w:ascii="Times New Roman" w:hAnsi="Times New Roman" w:eastAsia="Times New Roman" w:cs="Times New Roman"/>
              <w:sz w:val="23"/>
              <w:szCs w:val="23"/>
            </w:rPr>
          </w:pPr>
          <w:hyperlink w:history="true" w:anchor="bookmark5">
            <w:r>
              <w:rPr>
                <w:rFonts w:ascii="Times New Roman" w:hAnsi="Times New Roman" w:eastAsia="Times New Roman" w:cs="Times New Roman"/>
                <w:sz w:val="23"/>
                <w:szCs w:val="23"/>
                <w:spacing w:val="5"/>
                <w:position w:val="2"/>
              </w:rPr>
              <w:t>1.1.3</w:t>
            </w:r>
            <w:r>
              <w:rPr>
                <w:rFonts w:ascii="Times New Roman" w:hAnsi="Times New Roman" w:eastAsia="Times New Roman" w:cs="Times New Roman"/>
                <w:sz w:val="23"/>
                <w:szCs w:val="23"/>
                <w:spacing w:val="3"/>
                <w:position w:val="2"/>
              </w:rPr>
              <w:t xml:space="preserve">     </w:t>
            </w:r>
            <w:r>
              <w:rPr>
                <w:rFonts w:ascii="SimSun" w:hAnsi="SimSun" w:eastAsia="SimSun" w:cs="SimSun"/>
                <w:sz w:val="23"/>
                <w:szCs w:val="23"/>
                <w:spacing w:val="5"/>
                <w:position w:val="2"/>
              </w:rPr>
              <w:t>精算学的一般方法与工具</w:t>
            </w:r>
          </w:hyperlink>
          <w:r>
            <w:rPr>
              <w:rFonts w:ascii="SimSun" w:hAnsi="SimSun" w:eastAsia="SimSun" w:cs="SimSun"/>
              <w:sz w:val="23"/>
              <w:szCs w:val="23"/>
              <w:spacing w:val="15"/>
              <w:position w:val="2"/>
            </w:rPr>
            <w:t xml:space="preserve">   </w:t>
          </w:r>
          <w:r>
            <w:rPr>
              <w:rFonts w:ascii="SimSun" w:hAnsi="SimSun" w:eastAsia="SimSun" w:cs="SimSun"/>
              <w:sz w:val="23"/>
              <w:szCs w:val="23"/>
              <w:position w:val="2"/>
            </w:rPr>
            <w:tab/>
          </w:r>
          <w:r>
            <w:rPr>
              <w:rFonts w:ascii="SimSun" w:hAnsi="SimSun" w:eastAsia="SimSun" w:cs="SimSun"/>
              <w:sz w:val="23"/>
              <w:szCs w:val="23"/>
              <w:position w:val="2"/>
            </w:rPr>
            <w:t xml:space="preserve">   </w:t>
          </w:r>
          <w:r>
            <w:rPr>
              <w:rFonts w:ascii="Times New Roman" w:hAnsi="Times New Roman" w:eastAsia="Times New Roman" w:cs="Times New Roman"/>
              <w:sz w:val="23"/>
              <w:szCs w:val="23"/>
              <w:spacing w:val="-8"/>
              <w:position w:val="2"/>
            </w:rPr>
            <w:t>3</w:t>
          </w:r>
        </w:p>
        <w:p>
          <w:pPr>
            <w:ind w:left="909"/>
            <w:spacing w:before="28" w:line="336" w:lineRule="exact"/>
            <w:tabs>
              <w:tab w:val="right" w:leader="dot" w:pos="9050"/>
            </w:tabs>
            <w:rPr>
              <w:rFonts w:ascii="Times New Roman" w:hAnsi="Times New Roman" w:eastAsia="Times New Roman" w:cs="Times New Roman"/>
              <w:sz w:val="23"/>
              <w:szCs w:val="23"/>
            </w:rPr>
          </w:pPr>
          <w:hyperlink w:history="true" w:anchor="bookmark6">
            <w:r>
              <w:rPr>
                <w:rFonts w:ascii="Times New Roman" w:hAnsi="Times New Roman" w:eastAsia="Times New Roman" w:cs="Times New Roman"/>
                <w:sz w:val="23"/>
                <w:szCs w:val="23"/>
                <w:spacing w:val="5"/>
                <w:position w:val="2"/>
              </w:rPr>
              <w:t>1.1.4</w:t>
            </w:r>
            <w:r>
              <w:rPr>
                <w:rFonts w:ascii="Times New Roman" w:hAnsi="Times New Roman" w:eastAsia="Times New Roman" w:cs="Times New Roman"/>
                <w:sz w:val="23"/>
                <w:szCs w:val="23"/>
                <w:spacing w:val="2"/>
                <w:position w:val="2"/>
              </w:rPr>
              <w:t xml:space="preserve">     </w:t>
            </w:r>
            <w:r>
              <w:rPr>
                <w:rFonts w:ascii="SimSun" w:hAnsi="SimSun" w:eastAsia="SimSun" w:cs="SimSun"/>
                <w:sz w:val="23"/>
                <w:szCs w:val="23"/>
                <w:spacing w:val="5"/>
                <w:position w:val="2"/>
              </w:rPr>
              <w:t>精算学的应用领域</w:t>
            </w:r>
          </w:hyperlink>
          <w:r>
            <w:rPr>
              <w:rFonts w:ascii="SimSun" w:hAnsi="SimSun" w:eastAsia="SimSun" w:cs="SimSun"/>
              <w:sz w:val="23"/>
              <w:szCs w:val="23"/>
              <w:spacing w:val="5"/>
              <w:position w:val="2"/>
            </w:rPr>
            <w:t xml:space="preserve">   </w:t>
          </w:r>
          <w:r>
            <w:rPr>
              <w:rFonts w:ascii="SimSun" w:hAnsi="SimSun" w:eastAsia="SimSun" w:cs="SimSun"/>
              <w:sz w:val="23"/>
              <w:szCs w:val="23"/>
              <w:position w:val="2"/>
            </w:rPr>
            <w:tab/>
          </w:r>
          <w:r>
            <w:rPr>
              <w:rFonts w:ascii="SimSun" w:hAnsi="SimSun" w:eastAsia="SimSun" w:cs="SimSun"/>
              <w:sz w:val="23"/>
              <w:szCs w:val="23"/>
              <w:spacing w:val="57"/>
              <w:position w:val="2"/>
            </w:rPr>
            <w:t xml:space="preserve">  </w:t>
          </w:r>
          <w:r>
            <w:rPr>
              <w:rFonts w:ascii="Times New Roman" w:hAnsi="Times New Roman" w:eastAsia="Times New Roman" w:cs="Times New Roman"/>
              <w:sz w:val="23"/>
              <w:szCs w:val="23"/>
              <w:spacing w:val="-5"/>
              <w:position w:val="2"/>
            </w:rPr>
            <w:t>4</w:t>
          </w:r>
        </w:p>
        <w:p>
          <w:pPr>
            <w:ind w:left="359"/>
            <w:spacing w:before="29" w:line="336" w:lineRule="exact"/>
            <w:tabs>
              <w:tab w:val="right" w:leader="dot" w:pos="9050"/>
            </w:tabs>
            <w:rPr>
              <w:rFonts w:ascii="Times New Roman" w:hAnsi="Times New Roman" w:eastAsia="Times New Roman" w:cs="Times New Roman"/>
              <w:sz w:val="23"/>
              <w:szCs w:val="23"/>
            </w:rPr>
          </w:pPr>
          <w:hyperlink w:history="true" w:anchor="bookmark7">
            <w:r>
              <w:rPr>
                <w:rFonts w:ascii="Times New Roman" w:hAnsi="Times New Roman" w:eastAsia="Times New Roman" w:cs="Times New Roman"/>
                <w:sz w:val="23"/>
                <w:szCs w:val="23"/>
                <w:spacing w:val="6"/>
                <w:position w:val="2"/>
              </w:rPr>
              <w:t>1.2    </w:t>
            </w:r>
            <w:r>
              <w:rPr>
                <w:rFonts w:ascii="SimSun" w:hAnsi="SimSun" w:eastAsia="SimSun" w:cs="SimSun"/>
                <w:sz w:val="23"/>
                <w:szCs w:val="23"/>
                <w:spacing w:val="6"/>
                <w:position w:val="2"/>
              </w:rPr>
              <w:t>精算师的职业定位与职责</w:t>
            </w:r>
          </w:hyperlink>
          <w:r>
            <w:rPr>
              <w:rFonts w:ascii="SimSun" w:hAnsi="SimSun" w:eastAsia="SimSun" w:cs="SimSun"/>
              <w:sz w:val="23"/>
              <w:szCs w:val="23"/>
              <w:spacing w:val="24"/>
              <w:position w:val="2"/>
            </w:rPr>
            <w:t xml:space="preserve">   </w:t>
          </w:r>
          <w:r>
            <w:rPr>
              <w:rFonts w:ascii="SimSun" w:hAnsi="SimSun" w:eastAsia="SimSun" w:cs="SimSun"/>
              <w:sz w:val="23"/>
              <w:szCs w:val="23"/>
              <w:position w:val="2"/>
            </w:rPr>
            <w:tab/>
          </w:r>
          <w:r>
            <w:rPr>
              <w:rFonts w:ascii="SimSun" w:hAnsi="SimSun" w:eastAsia="SimSun" w:cs="SimSun"/>
              <w:sz w:val="23"/>
              <w:szCs w:val="23"/>
              <w:spacing w:val="57"/>
              <w:position w:val="2"/>
            </w:rPr>
            <w:t xml:space="preserve">  </w:t>
          </w:r>
          <w:r>
            <w:rPr>
              <w:rFonts w:ascii="Times New Roman" w:hAnsi="Times New Roman" w:eastAsia="Times New Roman" w:cs="Times New Roman"/>
              <w:sz w:val="23"/>
              <w:szCs w:val="23"/>
              <w:spacing w:val="-5"/>
              <w:position w:val="2"/>
            </w:rPr>
            <w:t>4</w:t>
          </w:r>
        </w:p>
        <w:p>
          <w:pPr>
            <w:ind w:left="909"/>
            <w:spacing w:before="29" w:line="336" w:lineRule="exact"/>
            <w:tabs>
              <w:tab w:val="right" w:leader="dot" w:pos="9050"/>
            </w:tabs>
            <w:rPr>
              <w:rFonts w:ascii="Times New Roman" w:hAnsi="Times New Roman" w:eastAsia="Times New Roman" w:cs="Times New Roman"/>
              <w:sz w:val="23"/>
              <w:szCs w:val="23"/>
            </w:rPr>
          </w:pPr>
          <w:hyperlink w:history="true" w:anchor="bookmark8">
            <w:r>
              <w:rPr>
                <w:rFonts w:ascii="Times New Roman" w:hAnsi="Times New Roman" w:eastAsia="Times New Roman" w:cs="Times New Roman"/>
                <w:sz w:val="23"/>
                <w:szCs w:val="23"/>
                <w:spacing w:val="6"/>
                <w:position w:val="2"/>
              </w:rPr>
              <w:t>1.2.1</w:t>
            </w:r>
            <w:r>
              <w:rPr>
                <w:rFonts w:ascii="Times New Roman" w:hAnsi="Times New Roman" w:eastAsia="Times New Roman" w:cs="Times New Roman"/>
                <w:sz w:val="23"/>
                <w:szCs w:val="23"/>
                <w:spacing w:val="1"/>
                <w:position w:val="2"/>
              </w:rPr>
              <w:t xml:space="preserve">     </w:t>
            </w:r>
            <w:r>
              <w:rPr>
                <w:rFonts w:ascii="SimSun" w:hAnsi="SimSun" w:eastAsia="SimSun" w:cs="SimSun"/>
                <w:sz w:val="23"/>
                <w:szCs w:val="23"/>
                <w:spacing w:val="6"/>
                <w:position w:val="2"/>
              </w:rPr>
              <w:t>精算师的职业资格要求与能力结构</w:t>
            </w:r>
          </w:hyperlink>
          <w:r>
            <w:rPr>
              <w:rFonts w:ascii="SimSun" w:hAnsi="SimSun" w:eastAsia="SimSun" w:cs="SimSun"/>
              <w:sz w:val="23"/>
              <w:szCs w:val="23"/>
              <w:spacing w:val="6"/>
              <w:position w:val="2"/>
            </w:rPr>
            <w:t xml:space="preserve">   </w:t>
          </w:r>
          <w:r>
            <w:rPr>
              <w:rFonts w:ascii="SimSun" w:hAnsi="SimSun" w:eastAsia="SimSun" w:cs="SimSun"/>
              <w:sz w:val="23"/>
              <w:szCs w:val="23"/>
              <w:position w:val="2"/>
            </w:rPr>
            <w:tab/>
          </w:r>
          <w:r>
            <w:rPr>
              <w:rFonts w:ascii="SimSun" w:hAnsi="SimSun" w:eastAsia="SimSun" w:cs="SimSun"/>
              <w:sz w:val="23"/>
              <w:szCs w:val="23"/>
              <w:spacing w:val="57"/>
              <w:position w:val="2"/>
            </w:rPr>
            <w:t xml:space="preserve">  </w:t>
          </w:r>
          <w:r>
            <w:rPr>
              <w:rFonts w:ascii="Times New Roman" w:hAnsi="Times New Roman" w:eastAsia="Times New Roman" w:cs="Times New Roman"/>
              <w:sz w:val="23"/>
              <w:szCs w:val="23"/>
              <w:spacing w:val="-5"/>
              <w:position w:val="2"/>
            </w:rPr>
            <w:t>4</w:t>
          </w:r>
        </w:p>
        <w:p>
          <w:pPr>
            <w:ind w:left="909"/>
            <w:spacing w:before="28" w:line="337" w:lineRule="exact"/>
            <w:tabs>
              <w:tab w:val="right" w:leader="dot" w:pos="9050"/>
            </w:tabs>
            <w:rPr>
              <w:rFonts w:ascii="Times New Roman" w:hAnsi="Times New Roman" w:eastAsia="Times New Roman" w:cs="Times New Roman"/>
              <w:sz w:val="23"/>
              <w:szCs w:val="23"/>
            </w:rPr>
          </w:pPr>
          <w:hyperlink w:history="true" w:anchor="bookmark9">
            <w:r>
              <w:rPr>
                <w:rFonts w:ascii="Times New Roman" w:hAnsi="Times New Roman" w:eastAsia="Times New Roman" w:cs="Times New Roman"/>
                <w:sz w:val="23"/>
                <w:szCs w:val="23"/>
                <w:spacing w:val="4"/>
                <w:position w:val="2"/>
              </w:rPr>
              <w:t>1.2.2     </w:t>
            </w:r>
            <w:r>
              <w:rPr>
                <w:rFonts w:ascii="SimSun" w:hAnsi="SimSun" w:eastAsia="SimSun" w:cs="SimSun"/>
                <w:sz w:val="23"/>
                <w:szCs w:val="23"/>
                <w:spacing w:val="4"/>
                <w:position w:val="2"/>
              </w:rPr>
              <w:t>总精算师的核心职责</w:t>
            </w:r>
          </w:hyperlink>
          <w:r>
            <w:rPr>
              <w:rFonts w:ascii="SimSun" w:hAnsi="SimSun" w:eastAsia="SimSun" w:cs="SimSun"/>
              <w:sz w:val="23"/>
              <w:szCs w:val="23"/>
              <w:spacing w:val="43"/>
              <w:position w:val="2"/>
            </w:rPr>
            <w:t xml:space="preserve">  </w:t>
          </w:r>
          <w:r>
            <w:rPr>
              <w:rFonts w:ascii="SimSun" w:hAnsi="SimSun" w:eastAsia="SimSun" w:cs="SimSun"/>
              <w:sz w:val="23"/>
              <w:szCs w:val="23"/>
              <w:position w:val="2"/>
            </w:rPr>
            <w:tab/>
          </w:r>
          <w:r>
            <w:rPr>
              <w:rFonts w:ascii="SimSun" w:hAnsi="SimSun" w:eastAsia="SimSun" w:cs="SimSun"/>
              <w:sz w:val="23"/>
              <w:szCs w:val="23"/>
              <w:spacing w:val="1"/>
              <w:position w:val="2"/>
            </w:rPr>
            <w:t xml:space="preserve">   </w:t>
          </w:r>
          <w:r>
            <w:rPr>
              <w:rFonts w:ascii="Times New Roman" w:hAnsi="Times New Roman" w:eastAsia="Times New Roman" w:cs="Times New Roman"/>
              <w:sz w:val="23"/>
              <w:szCs w:val="23"/>
              <w:spacing w:val="-10"/>
              <w:position w:val="2"/>
            </w:rPr>
            <w:t>5</w:t>
          </w:r>
        </w:p>
        <w:p>
          <w:pPr>
            <w:ind w:left="909"/>
            <w:spacing w:before="28" w:line="336" w:lineRule="exact"/>
            <w:tabs>
              <w:tab w:val="right" w:leader="dot" w:pos="9050"/>
            </w:tabs>
            <w:rPr>
              <w:rFonts w:ascii="Times New Roman" w:hAnsi="Times New Roman" w:eastAsia="Times New Roman" w:cs="Times New Roman"/>
              <w:sz w:val="23"/>
              <w:szCs w:val="23"/>
            </w:rPr>
          </w:pPr>
          <w:hyperlink w:history="true" w:anchor="bookmark10">
            <w:r>
              <w:rPr>
                <w:rFonts w:ascii="Times New Roman" w:hAnsi="Times New Roman" w:eastAsia="Times New Roman" w:cs="Times New Roman"/>
                <w:sz w:val="23"/>
                <w:szCs w:val="23"/>
                <w:spacing w:val="5"/>
                <w:position w:val="2"/>
              </w:rPr>
              <w:t>1.2.3     </w:t>
            </w:r>
            <w:r>
              <w:rPr>
                <w:rFonts w:ascii="SimSun" w:hAnsi="SimSun" w:eastAsia="SimSun" w:cs="SimSun"/>
                <w:sz w:val="23"/>
                <w:szCs w:val="23"/>
                <w:spacing w:val="5"/>
                <w:position w:val="2"/>
              </w:rPr>
              <w:t>国际视角下的精算师定位与职业特征</w:t>
            </w:r>
          </w:hyperlink>
          <w:r>
            <w:rPr>
              <w:rFonts w:ascii="SimSun" w:hAnsi="SimSun" w:eastAsia="SimSun" w:cs="SimSun"/>
              <w:sz w:val="23"/>
              <w:szCs w:val="23"/>
              <w:spacing w:val="41"/>
              <w:position w:val="2"/>
            </w:rPr>
            <w:t xml:space="preserve">  </w:t>
          </w:r>
          <w:r>
            <w:rPr>
              <w:rFonts w:ascii="SimSun" w:hAnsi="SimSun" w:eastAsia="SimSun" w:cs="SimSun"/>
              <w:sz w:val="23"/>
              <w:szCs w:val="23"/>
              <w:position w:val="2"/>
            </w:rPr>
            <w:tab/>
          </w:r>
          <w:r>
            <w:rPr>
              <w:rFonts w:ascii="SimSun" w:hAnsi="SimSun" w:eastAsia="SimSun" w:cs="SimSun"/>
              <w:sz w:val="23"/>
              <w:szCs w:val="23"/>
              <w:position w:val="2"/>
            </w:rPr>
            <w:t xml:space="preserve">   </w:t>
          </w:r>
          <w:r>
            <w:rPr>
              <w:rFonts w:ascii="Times New Roman" w:hAnsi="Times New Roman" w:eastAsia="Times New Roman" w:cs="Times New Roman"/>
              <w:sz w:val="23"/>
              <w:szCs w:val="23"/>
              <w:spacing w:val="-8"/>
              <w:position w:val="2"/>
            </w:rPr>
            <w:t>6</w:t>
          </w:r>
        </w:p>
        <w:p>
          <w:pPr>
            <w:ind w:left="909"/>
            <w:spacing w:before="29" w:line="336" w:lineRule="exact"/>
            <w:tabs>
              <w:tab w:val="right" w:leader="dot" w:pos="9050"/>
            </w:tabs>
            <w:rPr>
              <w:rFonts w:ascii="Times New Roman" w:hAnsi="Times New Roman" w:eastAsia="Times New Roman" w:cs="Times New Roman"/>
              <w:sz w:val="23"/>
              <w:szCs w:val="23"/>
            </w:rPr>
          </w:pPr>
          <w:hyperlink w:history="true" w:anchor="bookmark11">
            <w:r>
              <w:rPr>
                <w:rFonts w:ascii="Times New Roman" w:hAnsi="Times New Roman" w:eastAsia="Times New Roman" w:cs="Times New Roman"/>
                <w:sz w:val="23"/>
                <w:szCs w:val="23"/>
                <w:spacing w:val="5"/>
                <w:position w:val="2"/>
              </w:rPr>
              <w:t>1.2.4</w:t>
            </w:r>
            <w:r>
              <w:rPr>
                <w:rFonts w:ascii="Times New Roman" w:hAnsi="Times New Roman" w:eastAsia="Times New Roman" w:cs="Times New Roman"/>
                <w:sz w:val="23"/>
                <w:szCs w:val="23"/>
                <w:spacing w:val="2"/>
                <w:position w:val="2"/>
              </w:rPr>
              <w:t xml:space="preserve">     </w:t>
            </w:r>
            <w:r>
              <w:rPr>
                <w:rFonts w:ascii="SimSun" w:hAnsi="SimSun" w:eastAsia="SimSun" w:cs="SimSun"/>
                <w:sz w:val="23"/>
                <w:szCs w:val="23"/>
                <w:spacing w:val="5"/>
                <w:position w:val="2"/>
              </w:rPr>
              <w:t>精算师的职业素养</w:t>
            </w:r>
          </w:hyperlink>
          <w:r>
            <w:rPr>
              <w:rFonts w:ascii="SimSun" w:hAnsi="SimSun" w:eastAsia="SimSun" w:cs="SimSun"/>
              <w:sz w:val="23"/>
              <w:szCs w:val="23"/>
              <w:spacing w:val="5"/>
              <w:position w:val="2"/>
            </w:rPr>
            <w:t xml:space="preserve">   </w:t>
          </w:r>
          <w:r>
            <w:rPr>
              <w:rFonts w:ascii="SimSun" w:hAnsi="SimSun" w:eastAsia="SimSun" w:cs="SimSun"/>
              <w:sz w:val="23"/>
              <w:szCs w:val="23"/>
              <w:position w:val="2"/>
            </w:rPr>
            <w:tab/>
          </w:r>
          <w:r>
            <w:rPr>
              <w:rFonts w:ascii="SimSun" w:hAnsi="SimSun" w:eastAsia="SimSun" w:cs="SimSun"/>
              <w:sz w:val="23"/>
              <w:szCs w:val="23"/>
              <w:position w:val="2"/>
            </w:rPr>
            <w:t xml:space="preserve">   </w:t>
          </w:r>
          <w:r>
            <w:rPr>
              <w:rFonts w:ascii="Times New Roman" w:hAnsi="Times New Roman" w:eastAsia="Times New Roman" w:cs="Times New Roman"/>
              <w:sz w:val="23"/>
              <w:szCs w:val="23"/>
              <w:spacing w:val="-8"/>
              <w:position w:val="2"/>
            </w:rPr>
            <w:t>6</w:t>
          </w:r>
        </w:p>
        <w:p>
          <w:pPr>
            <w:ind w:left="359"/>
            <w:spacing w:before="29" w:line="336" w:lineRule="exact"/>
            <w:tabs>
              <w:tab w:val="right" w:leader="dot" w:pos="9050"/>
            </w:tabs>
            <w:rPr>
              <w:rFonts w:ascii="Times New Roman" w:hAnsi="Times New Roman" w:eastAsia="Times New Roman" w:cs="Times New Roman"/>
              <w:sz w:val="23"/>
              <w:szCs w:val="23"/>
            </w:rPr>
          </w:pPr>
          <w:hyperlink w:history="true" w:anchor="bookmark12">
            <w:r>
              <w:rPr>
                <w:rFonts w:ascii="Times New Roman" w:hAnsi="Times New Roman" w:eastAsia="Times New Roman" w:cs="Times New Roman"/>
                <w:sz w:val="23"/>
                <w:szCs w:val="23"/>
                <w:spacing w:val="4"/>
                <w:position w:val="2"/>
              </w:rPr>
              <w:t>1.3</w:t>
            </w:r>
            <w:r>
              <w:rPr>
                <w:rFonts w:ascii="Times New Roman" w:hAnsi="Times New Roman" w:eastAsia="Times New Roman" w:cs="Times New Roman"/>
                <w:sz w:val="23"/>
                <w:szCs w:val="23"/>
                <w:spacing w:val="9"/>
                <w:position w:val="2"/>
              </w:rPr>
              <w:t xml:space="preserve">    </w:t>
            </w:r>
            <w:r>
              <w:rPr>
                <w:rFonts w:ascii="SimSun" w:hAnsi="SimSun" w:eastAsia="SimSun" w:cs="SimSun"/>
                <w:sz w:val="23"/>
                <w:szCs w:val="23"/>
                <w:spacing w:val="4"/>
                <w:position w:val="2"/>
              </w:rPr>
              <w:t>保险实务运作机制</w:t>
            </w:r>
          </w:hyperlink>
          <w:r>
            <w:rPr>
              <w:rFonts w:ascii="SimSun" w:hAnsi="SimSun" w:eastAsia="SimSun" w:cs="SimSun"/>
              <w:sz w:val="23"/>
              <w:szCs w:val="23"/>
              <w:spacing w:val="18"/>
              <w:position w:val="2"/>
            </w:rPr>
            <w:t xml:space="preserve">   </w:t>
          </w:r>
          <w:r>
            <w:rPr>
              <w:rFonts w:ascii="SimSun" w:hAnsi="SimSun" w:eastAsia="SimSun" w:cs="SimSun"/>
              <w:sz w:val="23"/>
              <w:szCs w:val="23"/>
              <w:position w:val="2"/>
            </w:rPr>
            <w:tab/>
          </w:r>
          <w:r>
            <w:rPr>
              <w:rFonts w:ascii="SimSun" w:hAnsi="SimSun" w:eastAsia="SimSun" w:cs="SimSun"/>
              <w:sz w:val="23"/>
              <w:szCs w:val="23"/>
              <w:spacing w:val="2"/>
              <w:position w:val="2"/>
            </w:rPr>
            <w:t xml:space="preserve">   </w:t>
          </w:r>
          <w:r>
            <w:rPr>
              <w:rFonts w:ascii="Times New Roman" w:hAnsi="Times New Roman" w:eastAsia="Times New Roman" w:cs="Times New Roman"/>
              <w:sz w:val="23"/>
              <w:szCs w:val="23"/>
              <w:spacing w:val="-11"/>
              <w:position w:val="2"/>
            </w:rPr>
            <w:t>7</w:t>
          </w:r>
        </w:p>
        <w:p>
          <w:pPr>
            <w:ind w:left="909"/>
            <w:spacing w:before="28" w:line="337" w:lineRule="exact"/>
            <w:tabs>
              <w:tab w:val="right" w:leader="dot" w:pos="9050"/>
            </w:tabs>
            <w:rPr>
              <w:rFonts w:ascii="Times New Roman" w:hAnsi="Times New Roman" w:eastAsia="Times New Roman" w:cs="Times New Roman"/>
              <w:sz w:val="23"/>
              <w:szCs w:val="23"/>
            </w:rPr>
          </w:pPr>
          <w:hyperlink w:history="true" w:anchor="bookmark13">
            <w:r>
              <w:rPr>
                <w:rFonts w:ascii="Times New Roman" w:hAnsi="Times New Roman" w:eastAsia="Times New Roman" w:cs="Times New Roman"/>
                <w:sz w:val="23"/>
                <w:szCs w:val="23"/>
                <w:spacing w:val="6"/>
                <w:position w:val="2"/>
              </w:rPr>
              <w:t>1.3.1</w:t>
            </w:r>
            <w:r>
              <w:rPr>
                <w:rFonts w:ascii="Times New Roman" w:hAnsi="Times New Roman" w:eastAsia="Times New Roman" w:cs="Times New Roman"/>
                <w:sz w:val="23"/>
                <w:szCs w:val="23"/>
                <w:spacing w:val="1"/>
                <w:position w:val="2"/>
              </w:rPr>
              <w:t xml:space="preserve">     </w:t>
            </w:r>
            <w:r>
              <w:rPr>
                <w:rFonts w:ascii="SimSun" w:hAnsi="SimSun" w:eastAsia="SimSun" w:cs="SimSun"/>
                <w:sz w:val="23"/>
                <w:szCs w:val="23"/>
                <w:spacing w:val="6"/>
                <w:position w:val="2"/>
              </w:rPr>
              <w:t>保险公司的核心部门与职能分工</w:t>
            </w:r>
          </w:hyperlink>
          <w:r>
            <w:rPr>
              <w:rFonts w:ascii="SimSun" w:hAnsi="SimSun" w:eastAsia="SimSun" w:cs="SimSun"/>
              <w:sz w:val="23"/>
              <w:szCs w:val="23"/>
              <w:spacing w:val="23"/>
              <w:position w:val="2"/>
            </w:rPr>
            <w:t xml:space="preserve">   </w:t>
          </w:r>
          <w:r>
            <w:rPr>
              <w:rFonts w:ascii="SimSun" w:hAnsi="SimSun" w:eastAsia="SimSun" w:cs="SimSun"/>
              <w:sz w:val="23"/>
              <w:szCs w:val="23"/>
              <w:position w:val="2"/>
            </w:rPr>
            <w:tab/>
          </w:r>
          <w:r>
            <w:rPr>
              <w:rFonts w:ascii="SimSun" w:hAnsi="SimSun" w:eastAsia="SimSun" w:cs="SimSun"/>
              <w:sz w:val="23"/>
              <w:szCs w:val="23"/>
              <w:spacing w:val="2"/>
              <w:position w:val="2"/>
            </w:rPr>
            <w:t xml:space="preserve">   </w:t>
          </w:r>
          <w:r>
            <w:rPr>
              <w:rFonts w:ascii="Times New Roman" w:hAnsi="Times New Roman" w:eastAsia="Times New Roman" w:cs="Times New Roman"/>
              <w:sz w:val="23"/>
              <w:szCs w:val="23"/>
              <w:spacing w:val="-11"/>
              <w:position w:val="2"/>
            </w:rPr>
            <w:t>7</w:t>
          </w:r>
        </w:p>
        <w:p>
          <w:pPr>
            <w:ind w:left="909"/>
            <w:spacing w:before="28" w:line="336" w:lineRule="exact"/>
            <w:tabs>
              <w:tab w:val="right" w:leader="dot" w:pos="9050"/>
            </w:tabs>
            <w:rPr>
              <w:rFonts w:ascii="Times New Roman" w:hAnsi="Times New Roman" w:eastAsia="Times New Roman" w:cs="Times New Roman"/>
              <w:sz w:val="23"/>
              <w:szCs w:val="23"/>
            </w:rPr>
          </w:pPr>
          <w:hyperlink w:history="true" w:anchor="bookmark14">
            <w:r>
              <w:rPr>
                <w:rFonts w:ascii="Times New Roman" w:hAnsi="Times New Roman" w:eastAsia="Times New Roman" w:cs="Times New Roman"/>
                <w:sz w:val="23"/>
                <w:szCs w:val="23"/>
                <w:spacing w:val="5"/>
                <w:position w:val="2"/>
              </w:rPr>
              <w:t>1.3.2</w:t>
            </w:r>
            <w:r>
              <w:rPr>
                <w:rFonts w:ascii="Times New Roman" w:hAnsi="Times New Roman" w:eastAsia="Times New Roman" w:cs="Times New Roman"/>
                <w:sz w:val="23"/>
                <w:szCs w:val="23"/>
                <w:spacing w:val="3"/>
                <w:position w:val="2"/>
              </w:rPr>
              <w:t xml:space="preserve">     </w:t>
            </w:r>
            <w:r>
              <w:rPr>
                <w:rFonts w:ascii="SimSun" w:hAnsi="SimSun" w:eastAsia="SimSun" w:cs="SimSun"/>
                <w:sz w:val="23"/>
                <w:szCs w:val="23"/>
                <w:spacing w:val="5"/>
                <w:position w:val="2"/>
              </w:rPr>
              <w:t>保险公司的核心运营逻辑</w:t>
            </w:r>
          </w:hyperlink>
          <w:r>
            <w:rPr>
              <w:rFonts w:ascii="SimSun" w:hAnsi="SimSun" w:eastAsia="SimSun" w:cs="SimSun"/>
              <w:sz w:val="23"/>
              <w:szCs w:val="23"/>
              <w:spacing w:val="15"/>
              <w:position w:val="2"/>
            </w:rPr>
            <w:t xml:space="preserve">   </w:t>
          </w:r>
          <w:r>
            <w:rPr>
              <w:rFonts w:ascii="SimSun" w:hAnsi="SimSun" w:eastAsia="SimSun" w:cs="SimSun"/>
              <w:sz w:val="23"/>
              <w:szCs w:val="23"/>
              <w:position w:val="2"/>
            </w:rPr>
            <w:tab/>
          </w:r>
          <w:r>
            <w:rPr>
              <w:rFonts w:ascii="SimSun" w:hAnsi="SimSun" w:eastAsia="SimSun" w:cs="SimSun"/>
              <w:sz w:val="23"/>
              <w:szCs w:val="23"/>
              <w:position w:val="2"/>
            </w:rPr>
            <w:t xml:space="preserve">   </w:t>
          </w:r>
          <w:r>
            <w:rPr>
              <w:rFonts w:ascii="Times New Roman" w:hAnsi="Times New Roman" w:eastAsia="Times New Roman" w:cs="Times New Roman"/>
              <w:sz w:val="23"/>
              <w:szCs w:val="23"/>
              <w:spacing w:val="-8"/>
              <w:position w:val="2"/>
            </w:rPr>
            <w:t>8</w:t>
          </w:r>
        </w:p>
        <w:p>
          <w:pPr>
            <w:ind w:left="909"/>
            <w:spacing w:before="29" w:line="336" w:lineRule="exact"/>
            <w:tabs>
              <w:tab w:val="right" w:leader="dot" w:pos="9050"/>
            </w:tabs>
            <w:rPr>
              <w:rFonts w:ascii="Times New Roman" w:hAnsi="Times New Roman" w:eastAsia="Times New Roman" w:cs="Times New Roman"/>
              <w:sz w:val="23"/>
              <w:szCs w:val="23"/>
            </w:rPr>
          </w:pPr>
          <w:hyperlink w:history="true" w:anchor="bookmark15">
            <w:r>
              <w:rPr>
                <w:rFonts w:ascii="Times New Roman" w:hAnsi="Times New Roman" w:eastAsia="Times New Roman" w:cs="Times New Roman"/>
                <w:sz w:val="23"/>
                <w:szCs w:val="23"/>
                <w:spacing w:val="5"/>
                <w:position w:val="2"/>
              </w:rPr>
              <w:t>1.3.3</w:t>
            </w:r>
            <w:r>
              <w:rPr>
                <w:rFonts w:ascii="Times New Roman" w:hAnsi="Times New Roman" w:eastAsia="Times New Roman" w:cs="Times New Roman"/>
                <w:sz w:val="23"/>
                <w:szCs w:val="23"/>
                <w:spacing w:val="3"/>
                <w:position w:val="2"/>
              </w:rPr>
              <w:t xml:space="preserve">     </w:t>
            </w:r>
            <w:r>
              <w:rPr>
                <w:rFonts w:ascii="SimSun" w:hAnsi="SimSun" w:eastAsia="SimSun" w:cs="SimSun"/>
                <w:sz w:val="23"/>
                <w:szCs w:val="23"/>
                <w:spacing w:val="5"/>
                <w:position w:val="2"/>
              </w:rPr>
              <w:t>监管框架对保险经营的约束</w:t>
            </w:r>
          </w:hyperlink>
          <w:r>
            <w:rPr>
              <w:rFonts w:ascii="SimSun" w:hAnsi="SimSun" w:eastAsia="SimSun" w:cs="SimSun"/>
              <w:sz w:val="23"/>
              <w:szCs w:val="23"/>
              <w:spacing w:val="55"/>
              <w:position w:val="2"/>
            </w:rPr>
            <w:t xml:space="preserve">  </w:t>
          </w:r>
          <w:r>
            <w:rPr>
              <w:rFonts w:ascii="SimSun" w:hAnsi="SimSun" w:eastAsia="SimSun" w:cs="SimSun"/>
              <w:sz w:val="23"/>
              <w:szCs w:val="23"/>
              <w:position w:val="2"/>
            </w:rPr>
            <w:tab/>
          </w:r>
          <w:r>
            <w:rPr>
              <w:rFonts w:ascii="SimSun" w:hAnsi="SimSun" w:eastAsia="SimSun" w:cs="SimSun"/>
              <w:sz w:val="23"/>
              <w:szCs w:val="23"/>
              <w:position w:val="2"/>
            </w:rPr>
            <w:t xml:space="preserve">   </w:t>
          </w:r>
          <w:r>
            <w:rPr>
              <w:rFonts w:ascii="Times New Roman" w:hAnsi="Times New Roman" w:eastAsia="Times New Roman" w:cs="Times New Roman"/>
              <w:sz w:val="23"/>
              <w:szCs w:val="23"/>
              <w:spacing w:val="-8"/>
              <w:position w:val="2"/>
            </w:rPr>
            <w:t>8</w:t>
          </w:r>
        </w:p>
        <w:p>
          <w:pPr>
            <w:ind w:left="909"/>
            <w:spacing w:before="29" w:line="336" w:lineRule="exact"/>
            <w:tabs>
              <w:tab w:val="right" w:leader="dot" w:pos="9050"/>
            </w:tabs>
            <w:rPr>
              <w:rFonts w:ascii="Times New Roman" w:hAnsi="Times New Roman" w:eastAsia="Times New Roman" w:cs="Times New Roman"/>
              <w:sz w:val="23"/>
              <w:szCs w:val="23"/>
            </w:rPr>
          </w:pPr>
          <w:hyperlink w:history="true" w:anchor="bookmark16">
            <w:r>
              <w:rPr>
                <w:rFonts w:ascii="Times New Roman" w:hAnsi="Times New Roman" w:eastAsia="Times New Roman" w:cs="Times New Roman"/>
                <w:sz w:val="23"/>
                <w:szCs w:val="23"/>
                <w:spacing w:val="5"/>
                <w:position w:val="2"/>
              </w:rPr>
              <w:t>1.3.4</w:t>
            </w:r>
            <w:r>
              <w:rPr>
                <w:rFonts w:ascii="Times New Roman" w:hAnsi="Times New Roman" w:eastAsia="Times New Roman" w:cs="Times New Roman"/>
                <w:sz w:val="23"/>
                <w:szCs w:val="23"/>
                <w:spacing w:val="1"/>
                <w:position w:val="2"/>
              </w:rPr>
              <w:t xml:space="preserve">     </w:t>
            </w:r>
            <w:r>
              <w:rPr>
                <w:rFonts w:ascii="SimSun" w:hAnsi="SimSun" w:eastAsia="SimSun" w:cs="SimSun"/>
                <w:sz w:val="23"/>
                <w:szCs w:val="23"/>
                <w:spacing w:val="5"/>
                <w:position w:val="2"/>
              </w:rPr>
              <w:t>保险行业的经营特点</w:t>
            </w:r>
          </w:hyperlink>
          <w:r>
            <w:rPr>
              <w:rFonts w:ascii="SimSun" w:hAnsi="SimSun" w:eastAsia="SimSun" w:cs="SimSun"/>
              <w:sz w:val="23"/>
              <w:szCs w:val="23"/>
              <w:spacing w:val="43"/>
              <w:position w:val="2"/>
            </w:rPr>
            <w:t xml:space="preserve">  </w:t>
          </w:r>
          <w:r>
            <w:rPr>
              <w:rFonts w:ascii="SimSun" w:hAnsi="SimSun" w:eastAsia="SimSun" w:cs="SimSun"/>
              <w:sz w:val="23"/>
              <w:szCs w:val="23"/>
              <w:position w:val="2"/>
            </w:rPr>
            <w:tab/>
          </w:r>
          <w:r>
            <w:rPr>
              <w:rFonts w:ascii="SimSun" w:hAnsi="SimSun" w:eastAsia="SimSun" w:cs="SimSun"/>
              <w:sz w:val="23"/>
              <w:szCs w:val="23"/>
              <w:position w:val="2"/>
            </w:rPr>
            <w:t xml:space="preserve">   </w:t>
          </w:r>
          <w:r>
            <w:rPr>
              <w:rFonts w:ascii="Times New Roman" w:hAnsi="Times New Roman" w:eastAsia="Times New Roman" w:cs="Times New Roman"/>
              <w:sz w:val="23"/>
              <w:szCs w:val="23"/>
              <w:spacing w:val="-8"/>
              <w:position w:val="2"/>
            </w:rPr>
            <w:t>8</w:t>
          </w:r>
        </w:p>
        <w:p>
          <w:pPr>
            <w:ind w:left="909"/>
            <w:spacing w:before="28" w:line="337" w:lineRule="exact"/>
            <w:tabs>
              <w:tab w:val="right" w:leader="dot" w:pos="9050"/>
            </w:tabs>
            <w:rPr>
              <w:rFonts w:ascii="Times New Roman" w:hAnsi="Times New Roman" w:eastAsia="Times New Roman" w:cs="Times New Roman"/>
              <w:sz w:val="23"/>
              <w:szCs w:val="23"/>
            </w:rPr>
          </w:pPr>
          <w:hyperlink w:history="true" w:anchor="bookmark17">
            <w:r>
              <w:rPr>
                <w:rFonts w:ascii="Times New Roman" w:hAnsi="Times New Roman" w:eastAsia="Times New Roman" w:cs="Times New Roman"/>
                <w:sz w:val="23"/>
                <w:szCs w:val="23"/>
                <w:spacing w:val="6"/>
                <w:position w:val="2"/>
              </w:rPr>
              <w:t>1.3.5</w:t>
            </w:r>
            <w:r>
              <w:rPr>
                <w:rFonts w:ascii="Times New Roman" w:hAnsi="Times New Roman" w:eastAsia="Times New Roman" w:cs="Times New Roman"/>
                <w:sz w:val="23"/>
                <w:szCs w:val="23"/>
                <w:spacing w:val="3"/>
                <w:position w:val="2"/>
              </w:rPr>
              <w:t xml:space="preserve">     </w:t>
            </w:r>
            <w:r>
              <w:rPr>
                <w:rFonts w:ascii="SimSun" w:hAnsi="SimSun" w:eastAsia="SimSun" w:cs="SimSun"/>
                <w:sz w:val="23"/>
                <w:szCs w:val="23"/>
                <w:spacing w:val="6"/>
                <w:position w:val="2"/>
              </w:rPr>
              <w:t>保险行业与制造业、银行业的核心差异</w:t>
            </w:r>
          </w:hyperlink>
          <w:r>
            <w:rPr>
              <w:rFonts w:ascii="SimSun" w:hAnsi="SimSun" w:eastAsia="SimSun" w:cs="SimSun"/>
              <w:sz w:val="23"/>
              <w:szCs w:val="23"/>
              <w:spacing w:val="30"/>
              <w:position w:val="2"/>
            </w:rPr>
            <w:t xml:space="preserve">   </w:t>
          </w:r>
          <w:r>
            <w:rPr>
              <w:rFonts w:ascii="SimSun" w:hAnsi="SimSun" w:eastAsia="SimSun" w:cs="SimSun"/>
              <w:sz w:val="23"/>
              <w:szCs w:val="23"/>
              <w:position w:val="2"/>
            </w:rPr>
            <w:tab/>
          </w:r>
          <w:r>
            <w:rPr>
              <w:rFonts w:ascii="SimSun" w:hAnsi="SimSun" w:eastAsia="SimSun" w:cs="SimSun"/>
              <w:sz w:val="23"/>
              <w:szCs w:val="23"/>
              <w:position w:val="2"/>
            </w:rPr>
            <w:t xml:space="preserve">   </w:t>
          </w:r>
          <w:r>
            <w:rPr>
              <w:rFonts w:ascii="Times New Roman" w:hAnsi="Times New Roman" w:eastAsia="Times New Roman" w:cs="Times New Roman"/>
              <w:sz w:val="23"/>
              <w:szCs w:val="23"/>
              <w:spacing w:val="-8"/>
              <w:position w:val="2"/>
            </w:rPr>
            <w:t>9</w:t>
          </w:r>
        </w:p>
        <w:p>
          <w:pPr>
            <w:ind w:left="359"/>
            <w:spacing w:before="28" w:line="336" w:lineRule="exact"/>
            <w:tabs>
              <w:tab w:val="right" w:leader="dot" w:pos="9050"/>
            </w:tabs>
            <w:rPr>
              <w:rFonts w:ascii="Times New Roman" w:hAnsi="Times New Roman" w:eastAsia="Times New Roman" w:cs="Times New Roman"/>
              <w:sz w:val="23"/>
              <w:szCs w:val="23"/>
            </w:rPr>
          </w:pPr>
          <w:hyperlink w:history="true" w:anchor="bookmark18">
            <w:r>
              <w:rPr>
                <w:rFonts w:ascii="Times New Roman" w:hAnsi="Times New Roman" w:eastAsia="Times New Roman" w:cs="Times New Roman"/>
                <w:sz w:val="23"/>
                <w:szCs w:val="23"/>
                <w:spacing w:val="5"/>
                <w:position w:val="2"/>
              </w:rPr>
              <w:t>1.4</w:t>
            </w:r>
            <w:r>
              <w:rPr>
                <w:rFonts w:ascii="Times New Roman" w:hAnsi="Times New Roman" w:eastAsia="Times New Roman" w:cs="Times New Roman"/>
                <w:sz w:val="23"/>
                <w:szCs w:val="23"/>
                <w:spacing w:val="7"/>
                <w:position w:val="2"/>
              </w:rPr>
              <w:t xml:space="preserve">    </w:t>
            </w:r>
            <w:r>
              <w:rPr>
                <w:rFonts w:ascii="SimSun" w:hAnsi="SimSun" w:eastAsia="SimSun" w:cs="SimSun"/>
                <w:sz w:val="23"/>
                <w:szCs w:val="23"/>
                <w:spacing w:val="5"/>
                <w:position w:val="2"/>
              </w:rPr>
              <w:t>精算实务的核心职能</w:t>
            </w:r>
          </w:hyperlink>
          <w:r>
            <w:rPr>
              <w:rFonts w:ascii="SimSun" w:hAnsi="SimSun" w:eastAsia="SimSun" w:cs="SimSun"/>
              <w:sz w:val="23"/>
              <w:szCs w:val="23"/>
              <w:spacing w:val="58"/>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10</w:t>
          </w:r>
        </w:p>
        <w:p>
          <w:pPr>
            <w:ind w:left="909"/>
            <w:spacing w:before="29" w:line="336" w:lineRule="exact"/>
            <w:tabs>
              <w:tab w:val="right" w:leader="dot" w:pos="9050"/>
            </w:tabs>
            <w:rPr>
              <w:rFonts w:ascii="Times New Roman" w:hAnsi="Times New Roman" w:eastAsia="Times New Roman" w:cs="Times New Roman"/>
              <w:sz w:val="23"/>
              <w:szCs w:val="23"/>
            </w:rPr>
          </w:pPr>
          <w:hyperlink w:history="true" w:anchor="bookmark19">
            <w:r>
              <w:rPr>
                <w:rFonts w:ascii="Times New Roman" w:hAnsi="Times New Roman" w:eastAsia="Times New Roman" w:cs="Times New Roman"/>
                <w:sz w:val="23"/>
                <w:szCs w:val="23"/>
                <w:spacing w:val="6"/>
                <w:position w:val="2"/>
              </w:rPr>
              <w:t>1.4.1</w:t>
            </w:r>
            <w:r>
              <w:rPr>
                <w:rFonts w:ascii="Times New Roman" w:hAnsi="Times New Roman" w:eastAsia="Times New Roman" w:cs="Times New Roman"/>
                <w:sz w:val="23"/>
                <w:szCs w:val="23"/>
                <w:spacing w:val="3"/>
                <w:position w:val="2"/>
              </w:rPr>
              <w:t xml:space="preserve">     </w:t>
            </w:r>
            <w:r>
              <w:rPr>
                <w:rFonts w:ascii="SimSun" w:hAnsi="SimSun" w:eastAsia="SimSun" w:cs="SimSun"/>
                <w:sz w:val="23"/>
                <w:szCs w:val="23"/>
                <w:spacing w:val="6"/>
                <w:position w:val="2"/>
              </w:rPr>
              <w:t>精算实务的四大核心职能及其闭环关系</w:t>
            </w:r>
          </w:hyperlink>
          <w:r>
            <w:rPr>
              <w:rFonts w:ascii="SimSun" w:hAnsi="SimSun" w:eastAsia="SimSun" w:cs="SimSun"/>
              <w:sz w:val="23"/>
              <w:szCs w:val="23"/>
              <w:spacing w:val="30"/>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10</w:t>
          </w:r>
        </w:p>
        <w:p>
          <w:pPr>
            <w:ind w:left="909"/>
            <w:spacing w:before="29" w:line="336" w:lineRule="exact"/>
            <w:tabs>
              <w:tab w:val="right" w:leader="dot" w:pos="9050"/>
            </w:tabs>
            <w:rPr>
              <w:rFonts w:ascii="Times New Roman" w:hAnsi="Times New Roman" w:eastAsia="Times New Roman" w:cs="Times New Roman"/>
              <w:sz w:val="23"/>
              <w:szCs w:val="23"/>
            </w:rPr>
          </w:pPr>
          <w:hyperlink w:history="true" w:anchor="bookmark20">
            <w:r>
              <w:rPr>
                <w:rFonts w:ascii="Times New Roman" w:hAnsi="Times New Roman" w:eastAsia="Times New Roman" w:cs="Times New Roman"/>
                <w:sz w:val="23"/>
                <w:szCs w:val="23"/>
                <w:spacing w:val="2"/>
                <w:position w:val="2"/>
              </w:rPr>
              <w:t>1.4.2     </w:t>
            </w:r>
            <w:r>
              <w:rPr>
                <w:rFonts w:ascii="SimSun" w:hAnsi="SimSun" w:eastAsia="SimSun" w:cs="SimSun"/>
                <w:sz w:val="23"/>
                <w:szCs w:val="23"/>
                <w:spacing w:val="2"/>
                <w:position w:val="2"/>
              </w:rPr>
              <w:t>产品定价</w:t>
            </w:r>
          </w:hyperlink>
          <w:r>
            <w:rPr>
              <w:rFonts w:ascii="SimSun" w:hAnsi="SimSun" w:eastAsia="SimSun" w:cs="SimSun"/>
              <w:sz w:val="23"/>
              <w:szCs w:val="23"/>
              <w:spacing w:val="20"/>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10</w:t>
          </w:r>
        </w:p>
        <w:p>
          <w:pPr>
            <w:ind w:left="1674"/>
            <w:spacing w:before="28" w:line="337" w:lineRule="exact"/>
            <w:tabs>
              <w:tab w:val="right" w:leader="dot" w:pos="9050"/>
            </w:tabs>
            <w:rPr>
              <w:rFonts w:ascii="Times New Roman" w:hAnsi="Times New Roman" w:eastAsia="Times New Roman" w:cs="Times New Roman"/>
              <w:sz w:val="23"/>
              <w:szCs w:val="23"/>
            </w:rPr>
          </w:pPr>
          <w:hyperlink w:history="true" w:anchor="bookmark21">
            <w:r>
              <w:rPr>
                <w:rFonts w:ascii="Times New Roman" w:hAnsi="Times New Roman" w:eastAsia="Times New Roman" w:cs="Times New Roman"/>
                <w:sz w:val="23"/>
                <w:szCs w:val="23"/>
                <w:spacing w:val="4"/>
                <w:position w:val="2"/>
              </w:rPr>
              <w:t>1.4.2.1</w:t>
            </w:r>
            <w:r>
              <w:rPr>
                <w:rFonts w:ascii="Times New Roman" w:hAnsi="Times New Roman" w:eastAsia="Times New Roman" w:cs="Times New Roman"/>
                <w:sz w:val="23"/>
                <w:szCs w:val="23"/>
                <w:spacing w:val="11"/>
                <w:position w:val="2"/>
              </w:rPr>
              <w:t xml:space="preserve">     </w:t>
            </w:r>
            <w:r>
              <w:rPr>
                <w:rFonts w:ascii="SimSun" w:hAnsi="SimSun" w:eastAsia="SimSun" w:cs="SimSun"/>
                <w:sz w:val="23"/>
                <w:szCs w:val="23"/>
                <w:spacing w:val="4"/>
                <w:position w:val="2"/>
              </w:rPr>
              <w:t>定价要素与基本逻辑</w:t>
            </w:r>
          </w:hyperlink>
          <w:r>
            <w:rPr>
              <w:rFonts w:ascii="SimSun" w:hAnsi="SimSun" w:eastAsia="SimSun" w:cs="SimSun"/>
              <w:sz w:val="23"/>
              <w:szCs w:val="23"/>
              <w:spacing w:val="32"/>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10</w:t>
          </w:r>
        </w:p>
        <w:p>
          <w:pPr>
            <w:ind w:left="1674"/>
            <w:spacing w:before="28" w:line="336" w:lineRule="exact"/>
            <w:tabs>
              <w:tab w:val="right" w:leader="dot" w:pos="9050"/>
            </w:tabs>
            <w:rPr>
              <w:rFonts w:ascii="Times New Roman" w:hAnsi="Times New Roman" w:eastAsia="Times New Roman" w:cs="Times New Roman"/>
              <w:sz w:val="23"/>
              <w:szCs w:val="23"/>
            </w:rPr>
          </w:pPr>
          <w:hyperlink w:history="true" w:anchor="bookmark22">
            <w:r>
              <w:rPr>
                <w:rFonts w:ascii="Times New Roman" w:hAnsi="Times New Roman" w:eastAsia="Times New Roman" w:cs="Times New Roman"/>
                <w:sz w:val="23"/>
                <w:szCs w:val="23"/>
                <w:spacing w:val="6"/>
                <w:position w:val="2"/>
              </w:rPr>
              <w:t>1.4.2.2     </w:t>
            </w:r>
            <w:r>
              <w:rPr>
                <w:rFonts w:ascii="SimSun" w:hAnsi="SimSun" w:eastAsia="SimSun" w:cs="SimSun"/>
                <w:sz w:val="23"/>
                <w:szCs w:val="23"/>
                <w:spacing w:val="6"/>
                <w:position w:val="2"/>
              </w:rPr>
              <w:t>定价利率与附加费用率的制度约束</w:t>
            </w:r>
          </w:hyperlink>
          <w:r>
            <w:rPr>
              <w:rFonts w:ascii="SimSun" w:hAnsi="SimSun" w:eastAsia="SimSun" w:cs="SimSun"/>
              <w:sz w:val="23"/>
              <w:szCs w:val="23"/>
              <w:spacing w:val="41"/>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11</w:t>
          </w:r>
        </w:p>
        <w:p>
          <w:pPr>
            <w:ind w:left="1674"/>
            <w:spacing w:before="29" w:line="336" w:lineRule="exact"/>
            <w:tabs>
              <w:tab w:val="right" w:leader="dot" w:pos="9050"/>
            </w:tabs>
            <w:rPr>
              <w:rFonts w:ascii="Times New Roman" w:hAnsi="Times New Roman" w:eastAsia="Times New Roman" w:cs="Times New Roman"/>
              <w:sz w:val="23"/>
              <w:szCs w:val="23"/>
            </w:rPr>
          </w:pPr>
          <w:hyperlink w:history="true" w:anchor="bookmark23">
            <w:r>
              <w:rPr>
                <w:rFonts w:ascii="Times New Roman" w:hAnsi="Times New Roman" w:eastAsia="Times New Roman" w:cs="Times New Roman"/>
                <w:sz w:val="23"/>
                <w:szCs w:val="23"/>
                <w:spacing w:val="4"/>
                <w:position w:val="2"/>
              </w:rPr>
              <w:t>1.4.2.3</w:t>
            </w:r>
            <w:r>
              <w:rPr>
                <w:rFonts w:ascii="Times New Roman" w:hAnsi="Times New Roman" w:eastAsia="Times New Roman" w:cs="Times New Roman"/>
                <w:sz w:val="23"/>
                <w:szCs w:val="23"/>
                <w:spacing w:val="11"/>
                <w:position w:val="2"/>
              </w:rPr>
              <w:t xml:space="preserve">     </w:t>
            </w:r>
            <w:r>
              <w:rPr>
                <w:rFonts w:ascii="SimSun" w:hAnsi="SimSun" w:eastAsia="SimSun" w:cs="SimSun"/>
                <w:sz w:val="23"/>
                <w:szCs w:val="23"/>
                <w:spacing w:val="4"/>
                <w:position w:val="2"/>
              </w:rPr>
              <w:t>定价合规与行业趋势</w:t>
            </w:r>
          </w:hyperlink>
          <w:r>
            <w:rPr>
              <w:rFonts w:ascii="SimSun" w:hAnsi="SimSun" w:eastAsia="SimSun" w:cs="SimSun"/>
              <w:sz w:val="23"/>
              <w:szCs w:val="23"/>
              <w:spacing w:val="32"/>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11</w:t>
          </w:r>
        </w:p>
        <w:p>
          <w:pPr>
            <w:ind w:left="1674"/>
            <w:spacing w:before="29" w:line="336" w:lineRule="exact"/>
            <w:tabs>
              <w:tab w:val="right" w:leader="dot" w:pos="9050"/>
            </w:tabs>
            <w:rPr>
              <w:rFonts w:ascii="Times New Roman" w:hAnsi="Times New Roman" w:eastAsia="Times New Roman" w:cs="Times New Roman"/>
              <w:sz w:val="23"/>
              <w:szCs w:val="23"/>
            </w:rPr>
          </w:pPr>
          <w:hyperlink w:history="true" w:anchor="bookmark24">
            <w:r>
              <w:rPr>
                <w:rFonts w:ascii="Times New Roman" w:hAnsi="Times New Roman" w:eastAsia="Times New Roman" w:cs="Times New Roman"/>
                <w:sz w:val="23"/>
                <w:szCs w:val="23"/>
                <w:spacing w:val="6"/>
                <w:position w:val="2"/>
              </w:rPr>
              <w:t>1.4.2.4     </w:t>
            </w:r>
            <w:r>
              <w:rPr>
                <w:rFonts w:ascii="SimSun" w:hAnsi="SimSun" w:eastAsia="SimSun" w:cs="SimSun"/>
                <w:sz w:val="23"/>
                <w:szCs w:val="23"/>
                <w:spacing w:val="6"/>
                <w:position w:val="2"/>
              </w:rPr>
              <w:t>利润测试的目标、方法与结果解释</w:t>
            </w:r>
          </w:hyperlink>
          <w:r>
            <w:rPr>
              <w:rFonts w:ascii="SimSun" w:hAnsi="SimSun" w:eastAsia="SimSun" w:cs="SimSun"/>
              <w:sz w:val="23"/>
              <w:szCs w:val="23"/>
              <w:spacing w:val="41"/>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12</w:t>
          </w:r>
        </w:p>
        <w:p>
          <w:pPr>
            <w:ind w:left="1674"/>
            <w:spacing w:before="28" w:line="337" w:lineRule="exact"/>
            <w:tabs>
              <w:tab w:val="right" w:leader="dot" w:pos="9050"/>
            </w:tabs>
            <w:rPr>
              <w:rFonts w:ascii="Times New Roman" w:hAnsi="Times New Roman" w:eastAsia="Times New Roman" w:cs="Times New Roman"/>
              <w:sz w:val="23"/>
              <w:szCs w:val="23"/>
            </w:rPr>
          </w:pPr>
          <w:hyperlink w:history="true" w:anchor="bookmark25">
            <w:r>
              <w:rPr>
                <w:rFonts w:ascii="Times New Roman" w:hAnsi="Times New Roman" w:eastAsia="Times New Roman" w:cs="Times New Roman"/>
                <w:sz w:val="23"/>
                <w:szCs w:val="23"/>
                <w:spacing w:val="6"/>
                <w:position w:val="2"/>
              </w:rPr>
              <w:t>1.4.2.5     </w:t>
            </w:r>
            <w:r>
              <w:rPr>
                <w:rFonts w:ascii="SimSun" w:hAnsi="SimSun" w:eastAsia="SimSun" w:cs="SimSun"/>
                <w:sz w:val="23"/>
                <w:szCs w:val="23"/>
                <w:spacing w:val="6"/>
                <w:position w:val="2"/>
              </w:rPr>
              <w:t>产品定价的流程与跨部门协作</w:t>
            </w:r>
          </w:hyperlink>
          <w:r>
            <w:rPr>
              <w:rFonts w:ascii="SimSun" w:hAnsi="SimSun" w:eastAsia="SimSun" w:cs="SimSun"/>
              <w:sz w:val="23"/>
              <w:szCs w:val="23"/>
              <w:spacing w:val="23"/>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13</w:t>
          </w:r>
        </w:p>
        <w:p>
          <w:pPr>
            <w:ind w:left="909"/>
            <w:spacing w:before="28" w:line="336" w:lineRule="exact"/>
            <w:tabs>
              <w:tab w:val="right" w:leader="dot" w:pos="9050"/>
            </w:tabs>
            <w:rPr>
              <w:rFonts w:ascii="Times New Roman" w:hAnsi="Times New Roman" w:eastAsia="Times New Roman" w:cs="Times New Roman"/>
              <w:sz w:val="23"/>
              <w:szCs w:val="23"/>
            </w:rPr>
          </w:pPr>
          <w:hyperlink w:history="true" w:anchor="bookmark26">
            <w:r>
              <w:rPr>
                <w:rFonts w:ascii="Times New Roman" w:hAnsi="Times New Roman" w:eastAsia="Times New Roman" w:cs="Times New Roman"/>
                <w:sz w:val="23"/>
                <w:szCs w:val="23"/>
                <w:spacing w:val="2"/>
                <w:position w:val="2"/>
              </w:rPr>
              <w:t>1.4.3     </w:t>
            </w:r>
            <w:r>
              <w:rPr>
                <w:rFonts w:ascii="SimSun" w:hAnsi="SimSun" w:eastAsia="SimSun" w:cs="SimSun"/>
                <w:sz w:val="23"/>
                <w:szCs w:val="23"/>
                <w:spacing w:val="2"/>
                <w:position w:val="2"/>
              </w:rPr>
              <w:t>精算评估</w:t>
            </w:r>
          </w:hyperlink>
          <w:r>
            <w:rPr>
              <w:rFonts w:ascii="SimSun" w:hAnsi="SimSun" w:eastAsia="SimSun" w:cs="SimSun"/>
              <w:sz w:val="23"/>
              <w:szCs w:val="23"/>
              <w:spacing w:val="20"/>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13</w:t>
          </w:r>
        </w:p>
        <w:p>
          <w:pPr>
            <w:ind w:left="1674"/>
            <w:spacing w:before="29" w:line="336" w:lineRule="exact"/>
            <w:tabs>
              <w:tab w:val="right" w:leader="dot" w:pos="9050"/>
            </w:tabs>
            <w:rPr>
              <w:rFonts w:ascii="Times New Roman" w:hAnsi="Times New Roman" w:eastAsia="Times New Roman" w:cs="Times New Roman"/>
              <w:sz w:val="23"/>
              <w:szCs w:val="23"/>
            </w:rPr>
          </w:pPr>
          <w:hyperlink w:history="true" w:anchor="bookmark27">
            <w:r>
              <w:rPr>
                <w:rFonts w:ascii="Times New Roman" w:hAnsi="Times New Roman" w:eastAsia="Times New Roman" w:cs="Times New Roman"/>
                <w:sz w:val="23"/>
                <w:szCs w:val="23"/>
                <w:spacing w:val="5"/>
                <w:position w:val="2"/>
              </w:rPr>
              <w:t>1.4.3.1</w:t>
            </w:r>
            <w:r>
              <w:rPr>
                <w:rFonts w:ascii="Times New Roman" w:hAnsi="Times New Roman" w:eastAsia="Times New Roman" w:cs="Times New Roman"/>
                <w:sz w:val="23"/>
                <w:szCs w:val="23"/>
                <w:spacing w:val="8"/>
                <w:position w:val="2"/>
              </w:rPr>
              <w:t xml:space="preserve">     </w:t>
            </w:r>
            <w:r>
              <w:rPr>
                <w:rFonts w:ascii="SimSun" w:hAnsi="SimSun" w:eastAsia="SimSun" w:cs="SimSun"/>
                <w:sz w:val="23"/>
                <w:szCs w:val="23"/>
                <w:spacing w:val="5"/>
                <w:position w:val="2"/>
              </w:rPr>
              <w:t>准备金的性质与分类</w:t>
            </w:r>
          </w:hyperlink>
          <w:r>
            <w:rPr>
              <w:rFonts w:ascii="SimSun" w:hAnsi="SimSun" w:eastAsia="SimSun" w:cs="SimSun"/>
              <w:sz w:val="23"/>
              <w:szCs w:val="23"/>
              <w:spacing w:val="32"/>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13</w:t>
          </w:r>
        </w:p>
        <w:p>
          <w:pPr>
            <w:ind w:left="1674"/>
            <w:spacing w:before="29" w:line="336" w:lineRule="exact"/>
            <w:tabs>
              <w:tab w:val="right" w:leader="dot" w:pos="9050"/>
            </w:tabs>
            <w:rPr>
              <w:rFonts w:ascii="Times New Roman" w:hAnsi="Times New Roman" w:eastAsia="Times New Roman" w:cs="Times New Roman"/>
              <w:sz w:val="23"/>
              <w:szCs w:val="23"/>
            </w:rPr>
          </w:pPr>
          <w:hyperlink w:history="true" w:anchor="bookmark28">
            <w:r>
              <w:rPr>
                <w:rFonts w:ascii="Times New Roman" w:hAnsi="Times New Roman" w:eastAsia="Times New Roman" w:cs="Times New Roman"/>
                <w:sz w:val="23"/>
                <w:szCs w:val="23"/>
                <w:spacing w:val="5"/>
                <w:position w:val="2"/>
              </w:rPr>
              <w:t>1.4.3.2     </w:t>
            </w:r>
            <w:r>
              <w:rPr>
                <w:rFonts w:ascii="SimSun" w:hAnsi="SimSun" w:eastAsia="SimSun" w:cs="SimSun"/>
                <w:sz w:val="23"/>
                <w:szCs w:val="23"/>
                <w:spacing w:val="5"/>
                <w:position w:val="2"/>
              </w:rPr>
              <w:t>精算评估的四项关键要</w:t>
            </w:r>
            <w:r>
              <w:rPr>
                <w:rFonts w:ascii="SimSun" w:hAnsi="SimSun" w:eastAsia="SimSun" w:cs="SimSun"/>
                <w:sz w:val="23"/>
                <w:szCs w:val="23"/>
                <w:spacing w:val="4"/>
                <w:position w:val="2"/>
              </w:rPr>
              <w:t>素</w:t>
            </w:r>
          </w:hyperlink>
          <w:r>
            <w:rPr>
              <w:rFonts w:ascii="SimSun" w:hAnsi="SimSun" w:eastAsia="SimSun" w:cs="SimSun"/>
              <w:sz w:val="23"/>
              <w:szCs w:val="23"/>
              <w:spacing w:val="4"/>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13</w:t>
          </w:r>
        </w:p>
        <w:p>
          <w:pPr>
            <w:ind w:left="1674"/>
            <w:spacing w:before="28" w:line="337" w:lineRule="exact"/>
            <w:tabs>
              <w:tab w:val="right" w:leader="dot" w:pos="9050"/>
            </w:tabs>
            <w:rPr>
              <w:rFonts w:ascii="Times New Roman" w:hAnsi="Times New Roman" w:eastAsia="Times New Roman" w:cs="Times New Roman"/>
              <w:sz w:val="23"/>
              <w:szCs w:val="23"/>
            </w:rPr>
          </w:pPr>
          <w:hyperlink w:history="true" w:anchor="bookmark29">
            <w:r>
              <w:rPr>
                <w:rFonts w:ascii="Times New Roman" w:hAnsi="Times New Roman" w:eastAsia="Times New Roman" w:cs="Times New Roman"/>
                <w:sz w:val="23"/>
                <w:szCs w:val="23"/>
                <w:spacing w:val="5"/>
                <w:position w:val="2"/>
              </w:rPr>
              <w:t>1.4.3.3</w:t>
            </w:r>
            <w:r>
              <w:rPr>
                <w:rFonts w:ascii="Times New Roman" w:hAnsi="Times New Roman" w:eastAsia="Times New Roman" w:cs="Times New Roman"/>
                <w:sz w:val="23"/>
                <w:szCs w:val="23"/>
                <w:spacing w:val="7"/>
                <w:position w:val="2"/>
              </w:rPr>
              <w:t xml:space="preserve">     </w:t>
            </w:r>
            <w:r>
              <w:rPr>
                <w:rFonts w:ascii="SimSun" w:hAnsi="SimSun" w:eastAsia="SimSun" w:cs="SimSun"/>
                <w:sz w:val="23"/>
                <w:szCs w:val="23"/>
                <w:spacing w:val="5"/>
                <w:position w:val="2"/>
              </w:rPr>
              <w:t>评估方法与模型口径</w:t>
            </w:r>
          </w:hyperlink>
          <w:r>
            <w:rPr>
              <w:rFonts w:ascii="SimSun" w:hAnsi="SimSun" w:eastAsia="SimSun" w:cs="SimSun"/>
              <w:sz w:val="23"/>
              <w:szCs w:val="23"/>
              <w:spacing w:val="34"/>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10"/>
              <w:position w:val="2"/>
            </w:rPr>
            <w:t>1</w:t>
          </w:r>
          <w:r>
            <w:rPr>
              <w:rFonts w:ascii="Times New Roman" w:hAnsi="Times New Roman" w:eastAsia="Times New Roman" w:cs="Times New Roman"/>
              <w:sz w:val="23"/>
              <w:szCs w:val="23"/>
              <w:spacing w:val="-8"/>
              <w:position w:val="2"/>
            </w:rPr>
            <w:t>4</w:t>
          </w:r>
        </w:p>
        <w:p>
          <w:pPr>
            <w:ind w:left="1674"/>
            <w:spacing w:before="28" w:line="337" w:lineRule="exact"/>
            <w:tabs>
              <w:tab w:val="right" w:leader="dot" w:pos="9050"/>
            </w:tabs>
            <w:rPr>
              <w:rFonts w:ascii="Times New Roman" w:hAnsi="Times New Roman" w:eastAsia="Times New Roman" w:cs="Times New Roman"/>
              <w:sz w:val="23"/>
              <w:szCs w:val="23"/>
            </w:rPr>
          </w:pPr>
          <w:hyperlink w:history="true" w:anchor="bookmark30">
            <w:r>
              <w:rPr>
                <w:rFonts w:ascii="Times New Roman" w:hAnsi="Times New Roman" w:eastAsia="Times New Roman" w:cs="Times New Roman"/>
                <w:sz w:val="23"/>
                <w:szCs w:val="23"/>
                <w:spacing w:val="5"/>
                <w:position w:val="2"/>
              </w:rPr>
              <w:t>1.4.3.4</w:t>
            </w:r>
            <w:r>
              <w:rPr>
                <w:rFonts w:ascii="Times New Roman" w:hAnsi="Times New Roman" w:eastAsia="Times New Roman" w:cs="Times New Roman"/>
                <w:sz w:val="23"/>
                <w:szCs w:val="23"/>
                <w:spacing w:val="7"/>
                <w:position w:val="2"/>
              </w:rPr>
              <w:t xml:space="preserve">     </w:t>
            </w:r>
            <w:r>
              <w:rPr>
                <w:rFonts w:ascii="SimSun" w:hAnsi="SimSun" w:eastAsia="SimSun" w:cs="SimSun"/>
                <w:sz w:val="23"/>
                <w:szCs w:val="23"/>
                <w:spacing w:val="5"/>
                <w:position w:val="2"/>
              </w:rPr>
              <w:t>评估体系的演进</w:t>
            </w:r>
          </w:hyperlink>
          <w:r>
            <w:rPr>
              <w:rFonts w:ascii="SimSun" w:hAnsi="SimSun" w:eastAsia="SimSun" w:cs="SimSun"/>
              <w:sz w:val="23"/>
              <w:szCs w:val="23"/>
              <w:spacing w:val="5"/>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15</w:t>
          </w:r>
        </w:p>
        <w:p>
          <w:pPr>
            <w:ind w:left="1674"/>
            <w:spacing w:before="28" w:line="336" w:lineRule="exact"/>
            <w:tabs>
              <w:tab w:val="right" w:leader="dot" w:pos="9050"/>
            </w:tabs>
            <w:rPr>
              <w:rFonts w:ascii="Times New Roman" w:hAnsi="Times New Roman" w:eastAsia="Times New Roman" w:cs="Times New Roman"/>
              <w:sz w:val="23"/>
              <w:szCs w:val="23"/>
            </w:rPr>
          </w:pPr>
          <w:hyperlink w:history="true" w:anchor="bookmark31">
            <w:r>
              <w:rPr>
                <w:rFonts w:ascii="Times New Roman" w:hAnsi="Times New Roman" w:eastAsia="Times New Roman" w:cs="Times New Roman"/>
                <w:sz w:val="23"/>
                <w:szCs w:val="23"/>
                <w:spacing w:val="6"/>
                <w:position w:val="2"/>
              </w:rPr>
              <w:t>1.4.3.5     </w:t>
            </w:r>
            <w:r>
              <w:rPr>
                <w:rFonts w:ascii="SimSun" w:hAnsi="SimSun" w:eastAsia="SimSun" w:cs="SimSun"/>
                <w:sz w:val="23"/>
                <w:szCs w:val="23"/>
                <w:spacing w:val="6"/>
                <w:position w:val="2"/>
              </w:rPr>
              <w:t>准备金变动分析与利源分析</w:t>
            </w:r>
          </w:hyperlink>
          <w:r>
            <w:rPr>
              <w:rFonts w:ascii="SimSun" w:hAnsi="SimSun" w:eastAsia="SimSun" w:cs="SimSun"/>
              <w:sz w:val="23"/>
              <w:szCs w:val="23"/>
              <w:spacing w:val="26"/>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15</w:t>
          </w:r>
        </w:p>
      </w:sdtContent>
    </w:sdt>
    <w:p>
      <w:pPr>
        <w:spacing w:line="336" w:lineRule="exact"/>
        <w:sectPr>
          <w:footerReference w:type="default" r:id="rId1"/>
          <w:pgSz w:w="11906" w:h="16838"/>
          <w:pgMar w:top="1431" w:right="1417" w:bottom="978" w:left="1437" w:header="0" w:footer="769" w:gutter="0"/>
        </w:sectPr>
        <w:rPr>
          <w:rFonts w:ascii="Times New Roman" w:hAnsi="Times New Roman" w:eastAsia="Times New Roman" w:cs="Times New Roman"/>
          <w:sz w:val="23"/>
          <w:szCs w:val="23"/>
        </w:rPr>
      </w:pPr>
    </w:p>
    <w:sdt>
      <w:sdtPr>
        <w:rPr>
          <w:rFonts w:ascii="Times New Roman" w:hAnsi="Times New Roman" w:eastAsia="Times New Roman" w:cs="Times New Roman"/>
          <w:sz w:val="23"/>
          <w:szCs w:val="23"/>
        </w:rPr>
        <w:docPartObj>
          <w:docPartGallery w:val="Table of Contents"/>
          <w:docPartUnique/>
        </w:docPartObj>
      </w:sdtPr>
      <w:sdtEndPr>
        <w:rPr>
          <w:rFonts w:ascii="Times New Roman" w:hAnsi="Times New Roman" w:eastAsia="Times New Roman" w:cs="Times New Roman"/>
          <w:sz w:val="23"/>
          <w:szCs w:val="23"/>
        </w:rPr>
      </w:sdtEndPr>
      <w:sdtContent>
        <w:p>
          <w:pPr>
            <w:ind w:left="1326"/>
            <w:spacing w:before="67" w:line="336" w:lineRule="exact"/>
            <w:tabs>
              <w:tab w:val="right" w:leader="dot" w:pos="8702"/>
            </w:tabs>
            <w:rPr>
              <w:rFonts w:ascii="Times New Roman" w:hAnsi="Times New Roman" w:eastAsia="Times New Roman" w:cs="Times New Roman"/>
              <w:sz w:val="23"/>
              <w:szCs w:val="23"/>
            </w:rPr>
          </w:pPr>
          <w:hyperlink w:history="true" w:anchor="bookmark32">
            <w:r>
              <w:rPr>
                <w:rFonts w:ascii="Times New Roman" w:hAnsi="Times New Roman" w:eastAsia="Times New Roman" w:cs="Times New Roman"/>
                <w:sz w:val="23"/>
                <w:szCs w:val="23"/>
                <w:spacing w:val="5"/>
                <w:position w:val="2"/>
              </w:rPr>
              <w:t>1.4.3.6</w:t>
            </w:r>
            <w:r>
              <w:rPr>
                <w:rFonts w:ascii="Times New Roman" w:hAnsi="Times New Roman" w:eastAsia="Times New Roman" w:cs="Times New Roman"/>
                <w:sz w:val="23"/>
                <w:szCs w:val="23"/>
                <w:spacing w:val="7"/>
                <w:position w:val="2"/>
              </w:rPr>
              <w:t xml:space="preserve">     </w:t>
            </w:r>
            <w:r>
              <w:rPr>
                <w:rFonts w:ascii="SimSun" w:hAnsi="SimSun" w:eastAsia="SimSun" w:cs="SimSun"/>
                <w:sz w:val="23"/>
                <w:szCs w:val="23"/>
                <w:spacing w:val="5"/>
                <w:position w:val="2"/>
              </w:rPr>
              <w:t>精算评估的延伸职能</w:t>
            </w:r>
          </w:hyperlink>
          <w:r>
            <w:rPr>
              <w:rFonts w:ascii="SimSun" w:hAnsi="SimSun" w:eastAsia="SimSun" w:cs="SimSun"/>
              <w:sz w:val="23"/>
              <w:szCs w:val="23"/>
              <w:spacing w:val="34"/>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15</w:t>
          </w:r>
        </w:p>
        <w:p>
          <w:pPr>
            <w:ind w:left="561"/>
            <w:spacing w:before="22" w:line="336" w:lineRule="exact"/>
            <w:tabs>
              <w:tab w:val="right" w:leader="dot" w:pos="8702"/>
            </w:tabs>
            <w:rPr>
              <w:rFonts w:ascii="Times New Roman" w:hAnsi="Times New Roman" w:eastAsia="Times New Roman" w:cs="Times New Roman"/>
              <w:sz w:val="23"/>
              <w:szCs w:val="23"/>
            </w:rPr>
          </w:pPr>
          <w:hyperlink w:history="true" w:anchor="bookmark33">
            <w:r>
              <w:rPr>
                <w:rFonts w:ascii="Times New Roman" w:hAnsi="Times New Roman" w:eastAsia="Times New Roman" w:cs="Times New Roman"/>
                <w:sz w:val="23"/>
                <w:szCs w:val="23"/>
                <w:spacing w:val="2"/>
                <w:position w:val="2"/>
              </w:rPr>
              <w:t>1.4.4     </w:t>
            </w:r>
            <w:r>
              <w:rPr>
                <w:rFonts w:ascii="SimSun" w:hAnsi="SimSun" w:eastAsia="SimSun" w:cs="SimSun"/>
                <w:sz w:val="23"/>
                <w:szCs w:val="23"/>
                <w:spacing w:val="2"/>
                <w:position w:val="2"/>
              </w:rPr>
              <w:t>经验分析</w:t>
            </w:r>
          </w:hyperlink>
          <w:r>
            <w:rPr>
              <w:rFonts w:ascii="SimSun" w:hAnsi="SimSun" w:eastAsia="SimSun" w:cs="SimSun"/>
              <w:sz w:val="23"/>
              <w:szCs w:val="23"/>
              <w:spacing w:val="20"/>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16</w:t>
          </w:r>
        </w:p>
        <w:p>
          <w:pPr>
            <w:ind w:left="1326"/>
            <w:spacing w:before="22" w:line="336" w:lineRule="exact"/>
            <w:tabs>
              <w:tab w:val="right" w:leader="dot" w:pos="8702"/>
            </w:tabs>
            <w:rPr>
              <w:rFonts w:ascii="Times New Roman" w:hAnsi="Times New Roman" w:eastAsia="Times New Roman" w:cs="Times New Roman"/>
              <w:sz w:val="23"/>
              <w:szCs w:val="23"/>
            </w:rPr>
          </w:pPr>
          <w:hyperlink w:history="true" w:anchor="bookmark34">
            <w:r>
              <w:rPr>
                <w:rFonts w:ascii="Times New Roman" w:hAnsi="Times New Roman" w:eastAsia="Times New Roman" w:cs="Times New Roman"/>
                <w:sz w:val="23"/>
                <w:szCs w:val="23"/>
                <w:spacing w:val="5"/>
                <w:position w:val="2"/>
              </w:rPr>
              <w:t>1.4.4.1</w:t>
            </w:r>
            <w:r>
              <w:rPr>
                <w:rFonts w:ascii="Times New Roman" w:hAnsi="Times New Roman" w:eastAsia="Times New Roman" w:cs="Times New Roman"/>
                <w:sz w:val="23"/>
                <w:szCs w:val="23"/>
                <w:spacing w:val="8"/>
                <w:position w:val="2"/>
              </w:rPr>
              <w:t xml:space="preserve">     </w:t>
            </w:r>
            <w:r>
              <w:rPr>
                <w:rFonts w:ascii="SimSun" w:hAnsi="SimSun" w:eastAsia="SimSun" w:cs="SimSun"/>
                <w:sz w:val="23"/>
                <w:szCs w:val="23"/>
                <w:spacing w:val="5"/>
                <w:position w:val="2"/>
              </w:rPr>
              <w:t>经验分析的定义与定位</w:t>
            </w:r>
          </w:hyperlink>
          <w:r>
            <w:rPr>
              <w:rFonts w:ascii="SimSun" w:hAnsi="SimSun" w:eastAsia="SimSun" w:cs="SimSun"/>
              <w:sz w:val="23"/>
              <w:szCs w:val="23"/>
              <w:spacing w:val="15"/>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16</w:t>
          </w:r>
        </w:p>
        <w:p>
          <w:pPr>
            <w:ind w:left="1326"/>
            <w:spacing w:before="22" w:line="336" w:lineRule="exact"/>
            <w:tabs>
              <w:tab w:val="right" w:leader="dot" w:pos="8702"/>
            </w:tabs>
            <w:rPr>
              <w:rFonts w:ascii="Times New Roman" w:hAnsi="Times New Roman" w:eastAsia="Times New Roman" w:cs="Times New Roman"/>
              <w:sz w:val="23"/>
              <w:szCs w:val="23"/>
            </w:rPr>
          </w:pPr>
          <w:hyperlink w:history="true" w:anchor="bookmark35">
            <w:r>
              <w:rPr>
                <w:rFonts w:ascii="Times New Roman" w:hAnsi="Times New Roman" w:eastAsia="Times New Roman" w:cs="Times New Roman"/>
                <w:sz w:val="23"/>
                <w:szCs w:val="23"/>
                <w:spacing w:val="5"/>
                <w:position w:val="2"/>
              </w:rPr>
              <w:t>1.4.4.2</w:t>
            </w:r>
            <w:r>
              <w:rPr>
                <w:rFonts w:ascii="Times New Roman" w:hAnsi="Times New Roman" w:eastAsia="Times New Roman" w:cs="Times New Roman"/>
                <w:sz w:val="23"/>
                <w:szCs w:val="23"/>
                <w:spacing w:val="8"/>
                <w:position w:val="2"/>
              </w:rPr>
              <w:t xml:space="preserve">     </w:t>
            </w:r>
            <w:r>
              <w:rPr>
                <w:rFonts w:ascii="SimSun" w:hAnsi="SimSun" w:eastAsia="SimSun" w:cs="SimSun"/>
                <w:sz w:val="23"/>
                <w:szCs w:val="23"/>
                <w:spacing w:val="5"/>
                <w:position w:val="2"/>
              </w:rPr>
              <w:t>经验分析的目的与输出</w:t>
            </w:r>
          </w:hyperlink>
          <w:r>
            <w:rPr>
              <w:rFonts w:ascii="SimSun" w:hAnsi="SimSun" w:eastAsia="SimSun" w:cs="SimSun"/>
              <w:sz w:val="23"/>
              <w:szCs w:val="23"/>
              <w:spacing w:val="15"/>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16</w:t>
          </w:r>
        </w:p>
        <w:p>
          <w:pPr>
            <w:ind w:left="1326"/>
            <w:spacing w:before="22" w:line="336" w:lineRule="exact"/>
            <w:tabs>
              <w:tab w:val="right" w:leader="dot" w:pos="8702"/>
            </w:tabs>
            <w:rPr>
              <w:rFonts w:ascii="Times New Roman" w:hAnsi="Times New Roman" w:eastAsia="Times New Roman" w:cs="Times New Roman"/>
              <w:sz w:val="23"/>
              <w:szCs w:val="23"/>
            </w:rPr>
          </w:pPr>
          <w:hyperlink w:history="true" w:anchor="bookmark36">
            <w:r>
              <w:rPr>
                <w:rFonts w:ascii="Times New Roman" w:hAnsi="Times New Roman" w:eastAsia="Times New Roman" w:cs="Times New Roman"/>
                <w:sz w:val="23"/>
                <w:szCs w:val="23"/>
                <w:spacing w:val="5"/>
                <w:position w:val="2"/>
              </w:rPr>
              <w:t>1.4.4.3</w:t>
            </w:r>
            <w:r>
              <w:rPr>
                <w:rFonts w:ascii="Times New Roman" w:hAnsi="Times New Roman" w:eastAsia="Times New Roman" w:cs="Times New Roman"/>
                <w:sz w:val="23"/>
                <w:szCs w:val="23"/>
                <w:spacing w:val="8"/>
                <w:position w:val="2"/>
              </w:rPr>
              <w:t xml:space="preserve">     </w:t>
            </w:r>
            <w:r>
              <w:rPr>
                <w:rFonts w:ascii="SimSun" w:hAnsi="SimSun" w:eastAsia="SimSun" w:cs="SimSun"/>
                <w:sz w:val="23"/>
                <w:szCs w:val="23"/>
                <w:spacing w:val="5"/>
                <w:position w:val="2"/>
              </w:rPr>
              <w:t>经验分析的步骤与流程</w:t>
            </w:r>
          </w:hyperlink>
          <w:r>
            <w:rPr>
              <w:rFonts w:ascii="SimSun" w:hAnsi="SimSun" w:eastAsia="SimSun" w:cs="SimSun"/>
              <w:sz w:val="23"/>
              <w:szCs w:val="23"/>
              <w:spacing w:val="15"/>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16</w:t>
          </w:r>
        </w:p>
        <w:p>
          <w:pPr>
            <w:ind w:left="1326"/>
            <w:spacing w:before="23" w:line="336" w:lineRule="exact"/>
            <w:tabs>
              <w:tab w:val="right" w:leader="dot" w:pos="8702"/>
            </w:tabs>
            <w:rPr>
              <w:rFonts w:ascii="Times New Roman" w:hAnsi="Times New Roman" w:eastAsia="Times New Roman" w:cs="Times New Roman"/>
              <w:sz w:val="23"/>
              <w:szCs w:val="23"/>
            </w:rPr>
          </w:pPr>
          <w:hyperlink w:history="true" w:anchor="bookmark37">
            <w:r>
              <w:rPr>
                <w:rFonts w:ascii="Times New Roman" w:hAnsi="Times New Roman" w:eastAsia="Times New Roman" w:cs="Times New Roman"/>
                <w:sz w:val="23"/>
                <w:szCs w:val="23"/>
                <w:spacing w:val="6"/>
                <w:position w:val="2"/>
              </w:rPr>
              <w:t>1.4.4.4     </w:t>
            </w:r>
            <w:r>
              <w:rPr>
                <w:rFonts w:ascii="SimSun" w:hAnsi="SimSun" w:eastAsia="SimSun" w:cs="SimSun"/>
                <w:sz w:val="23"/>
                <w:szCs w:val="23"/>
                <w:spacing w:val="6"/>
                <w:position w:val="2"/>
              </w:rPr>
              <w:t>经验分析在风险管理中的应用</w:t>
            </w:r>
          </w:hyperlink>
          <w:r>
            <w:rPr>
              <w:rFonts w:ascii="SimSun" w:hAnsi="SimSun" w:eastAsia="SimSun" w:cs="SimSun"/>
              <w:sz w:val="23"/>
              <w:szCs w:val="23"/>
              <w:spacing w:val="23"/>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17</w:t>
          </w:r>
        </w:p>
        <w:p>
          <w:pPr>
            <w:ind w:left="561"/>
            <w:spacing w:before="22" w:line="336" w:lineRule="exact"/>
            <w:tabs>
              <w:tab w:val="right" w:leader="dot" w:pos="8702"/>
            </w:tabs>
            <w:rPr>
              <w:rFonts w:ascii="Times New Roman" w:hAnsi="Times New Roman" w:eastAsia="Times New Roman" w:cs="Times New Roman"/>
              <w:sz w:val="23"/>
              <w:szCs w:val="23"/>
            </w:rPr>
          </w:pPr>
          <w:hyperlink w:history="true" w:anchor="bookmark38">
            <w:r>
              <w:rPr>
                <w:rFonts w:ascii="Times New Roman" w:hAnsi="Times New Roman" w:eastAsia="Times New Roman" w:cs="Times New Roman"/>
                <w:sz w:val="23"/>
                <w:szCs w:val="23"/>
                <w:spacing w:val="2"/>
                <w:position w:val="2"/>
              </w:rPr>
              <w:t>1.4.5     </w:t>
            </w:r>
            <w:r>
              <w:rPr>
                <w:rFonts w:ascii="SimSun" w:hAnsi="SimSun" w:eastAsia="SimSun" w:cs="SimSun"/>
                <w:sz w:val="23"/>
                <w:szCs w:val="23"/>
                <w:spacing w:val="2"/>
                <w:position w:val="2"/>
              </w:rPr>
              <w:t>精算建模</w:t>
            </w:r>
          </w:hyperlink>
          <w:r>
            <w:rPr>
              <w:rFonts w:ascii="SimSun" w:hAnsi="SimSun" w:eastAsia="SimSun" w:cs="SimSun"/>
              <w:sz w:val="23"/>
              <w:szCs w:val="23"/>
              <w:spacing w:val="20"/>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17</w:t>
          </w:r>
        </w:p>
        <w:p>
          <w:pPr>
            <w:ind w:left="1326"/>
            <w:spacing w:before="23" w:line="336" w:lineRule="exact"/>
            <w:tabs>
              <w:tab w:val="right" w:leader="dot" w:pos="8702"/>
            </w:tabs>
            <w:rPr>
              <w:rFonts w:ascii="Times New Roman" w:hAnsi="Times New Roman" w:eastAsia="Times New Roman" w:cs="Times New Roman"/>
              <w:sz w:val="23"/>
              <w:szCs w:val="23"/>
            </w:rPr>
          </w:pPr>
          <w:hyperlink w:history="true" w:anchor="bookmark39">
            <w:r>
              <w:rPr>
                <w:rFonts w:ascii="Times New Roman" w:hAnsi="Times New Roman" w:eastAsia="Times New Roman" w:cs="Times New Roman"/>
                <w:sz w:val="23"/>
                <w:szCs w:val="23"/>
                <w:spacing w:val="5"/>
                <w:position w:val="2"/>
              </w:rPr>
              <w:t>1.4.5.1</w:t>
            </w:r>
            <w:r>
              <w:rPr>
                <w:rFonts w:ascii="Times New Roman" w:hAnsi="Times New Roman" w:eastAsia="Times New Roman" w:cs="Times New Roman"/>
                <w:sz w:val="23"/>
                <w:szCs w:val="23"/>
                <w:spacing w:val="8"/>
                <w:position w:val="2"/>
              </w:rPr>
              <w:t xml:space="preserve">     </w:t>
            </w:r>
            <w:r>
              <w:rPr>
                <w:rFonts w:ascii="SimSun" w:hAnsi="SimSun" w:eastAsia="SimSun" w:cs="SimSun"/>
                <w:sz w:val="23"/>
                <w:szCs w:val="23"/>
                <w:spacing w:val="5"/>
                <w:position w:val="2"/>
              </w:rPr>
              <w:t>精算建模的内涵与演进</w:t>
            </w:r>
          </w:hyperlink>
          <w:r>
            <w:rPr>
              <w:rFonts w:ascii="SimSun" w:hAnsi="SimSun" w:eastAsia="SimSun" w:cs="SimSun"/>
              <w:sz w:val="23"/>
              <w:szCs w:val="23"/>
              <w:spacing w:val="15"/>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17</w:t>
          </w:r>
        </w:p>
        <w:p>
          <w:pPr>
            <w:ind w:left="1326"/>
            <w:spacing w:before="22" w:line="337" w:lineRule="exact"/>
            <w:tabs>
              <w:tab w:val="right" w:leader="dot" w:pos="8702"/>
            </w:tabs>
            <w:rPr>
              <w:rFonts w:ascii="Times New Roman" w:hAnsi="Times New Roman" w:eastAsia="Times New Roman" w:cs="Times New Roman"/>
              <w:sz w:val="23"/>
              <w:szCs w:val="23"/>
            </w:rPr>
          </w:pPr>
          <w:hyperlink w:history="true" w:anchor="bookmark40">
            <w:r>
              <w:rPr>
                <w:rFonts w:ascii="Times New Roman" w:hAnsi="Times New Roman" w:eastAsia="Times New Roman" w:cs="Times New Roman"/>
                <w:sz w:val="23"/>
                <w:szCs w:val="23"/>
                <w:spacing w:val="5"/>
                <w:position w:val="2"/>
              </w:rPr>
              <w:t>1.4.5.2</w:t>
            </w:r>
            <w:r>
              <w:rPr>
                <w:rFonts w:ascii="Times New Roman" w:hAnsi="Times New Roman" w:eastAsia="Times New Roman" w:cs="Times New Roman"/>
                <w:sz w:val="23"/>
                <w:szCs w:val="23"/>
                <w:spacing w:val="7"/>
                <w:position w:val="2"/>
              </w:rPr>
              <w:t xml:space="preserve">     </w:t>
            </w:r>
            <w:r>
              <w:rPr>
                <w:rFonts w:ascii="SimSun" w:hAnsi="SimSun" w:eastAsia="SimSun" w:cs="SimSun"/>
                <w:sz w:val="23"/>
                <w:szCs w:val="23"/>
                <w:spacing w:val="5"/>
                <w:position w:val="2"/>
              </w:rPr>
              <w:t>精算模型的构成</w:t>
            </w:r>
          </w:hyperlink>
          <w:r>
            <w:rPr>
              <w:rFonts w:ascii="SimSun" w:hAnsi="SimSun" w:eastAsia="SimSun" w:cs="SimSun"/>
              <w:sz w:val="23"/>
              <w:szCs w:val="23"/>
              <w:spacing w:val="5"/>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18</w:t>
          </w:r>
        </w:p>
        <w:p>
          <w:pPr>
            <w:ind w:left="1326"/>
            <w:spacing w:before="22" w:line="336" w:lineRule="exact"/>
            <w:tabs>
              <w:tab w:val="right" w:leader="dot" w:pos="8702"/>
            </w:tabs>
            <w:rPr>
              <w:rFonts w:ascii="Times New Roman" w:hAnsi="Times New Roman" w:eastAsia="Times New Roman" w:cs="Times New Roman"/>
              <w:sz w:val="23"/>
              <w:szCs w:val="23"/>
            </w:rPr>
          </w:pPr>
          <w:hyperlink w:history="true" w:anchor="bookmark41">
            <w:r>
              <w:rPr>
                <w:rFonts w:ascii="Times New Roman" w:hAnsi="Times New Roman" w:eastAsia="Times New Roman" w:cs="Times New Roman"/>
                <w:sz w:val="23"/>
                <w:szCs w:val="23"/>
                <w:spacing w:val="5"/>
                <w:position w:val="2"/>
              </w:rPr>
              <w:t>1.4.5.3</w:t>
            </w:r>
            <w:r>
              <w:rPr>
                <w:rFonts w:ascii="Times New Roman" w:hAnsi="Times New Roman" w:eastAsia="Times New Roman" w:cs="Times New Roman"/>
                <w:sz w:val="23"/>
                <w:szCs w:val="23"/>
                <w:spacing w:val="7"/>
                <w:position w:val="2"/>
              </w:rPr>
              <w:t xml:space="preserve">     </w:t>
            </w:r>
            <w:r>
              <w:rPr>
                <w:rFonts w:ascii="SimSun" w:hAnsi="SimSun" w:eastAsia="SimSun" w:cs="SimSun"/>
                <w:sz w:val="23"/>
                <w:szCs w:val="23"/>
                <w:spacing w:val="5"/>
                <w:position w:val="2"/>
              </w:rPr>
              <w:t>精算算法的基本步骤</w:t>
            </w:r>
          </w:hyperlink>
          <w:r>
            <w:rPr>
              <w:rFonts w:ascii="SimSun" w:hAnsi="SimSun" w:eastAsia="SimSun" w:cs="SimSun"/>
              <w:sz w:val="23"/>
              <w:szCs w:val="23"/>
              <w:spacing w:val="34"/>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18</w:t>
          </w:r>
        </w:p>
        <w:p>
          <w:pPr>
            <w:ind w:left="1326"/>
            <w:spacing w:before="22" w:line="337" w:lineRule="exact"/>
            <w:tabs>
              <w:tab w:val="right" w:leader="dot" w:pos="8702"/>
            </w:tabs>
            <w:rPr>
              <w:rFonts w:ascii="Times New Roman" w:hAnsi="Times New Roman" w:eastAsia="Times New Roman" w:cs="Times New Roman"/>
              <w:sz w:val="23"/>
              <w:szCs w:val="23"/>
            </w:rPr>
          </w:pPr>
          <w:hyperlink w:history="true" w:anchor="bookmark42">
            <w:r>
              <w:rPr>
                <w:rFonts w:ascii="Times New Roman" w:hAnsi="Times New Roman" w:eastAsia="Times New Roman" w:cs="Times New Roman"/>
                <w:sz w:val="23"/>
                <w:szCs w:val="23"/>
                <w:spacing w:val="5"/>
                <w:position w:val="2"/>
              </w:rPr>
              <w:t>1.4.5.4</w:t>
            </w:r>
            <w:r>
              <w:rPr>
                <w:rFonts w:ascii="Times New Roman" w:hAnsi="Times New Roman" w:eastAsia="Times New Roman" w:cs="Times New Roman"/>
                <w:sz w:val="23"/>
                <w:szCs w:val="23"/>
                <w:spacing w:val="7"/>
                <w:position w:val="2"/>
              </w:rPr>
              <w:t xml:space="preserve">     </w:t>
            </w:r>
            <w:r>
              <w:rPr>
                <w:rFonts w:ascii="SimSun" w:hAnsi="SimSun" w:eastAsia="SimSun" w:cs="SimSun"/>
                <w:sz w:val="23"/>
                <w:szCs w:val="23"/>
                <w:spacing w:val="5"/>
                <w:position w:val="2"/>
              </w:rPr>
              <w:t>精算建模的核心步骤</w:t>
            </w:r>
          </w:hyperlink>
          <w:r>
            <w:rPr>
              <w:rFonts w:ascii="SimSun" w:hAnsi="SimSun" w:eastAsia="SimSun" w:cs="SimSun"/>
              <w:sz w:val="23"/>
              <w:szCs w:val="23"/>
              <w:spacing w:val="34"/>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19</w:t>
          </w:r>
        </w:p>
        <w:p>
          <w:pPr>
            <w:ind w:left="1326"/>
            <w:spacing w:before="22" w:line="336" w:lineRule="exact"/>
            <w:tabs>
              <w:tab w:val="right" w:leader="dot" w:pos="8702"/>
            </w:tabs>
            <w:rPr>
              <w:rFonts w:ascii="Times New Roman" w:hAnsi="Times New Roman" w:eastAsia="Times New Roman" w:cs="Times New Roman"/>
              <w:sz w:val="23"/>
              <w:szCs w:val="23"/>
            </w:rPr>
          </w:pPr>
          <w:hyperlink w:history="true" w:anchor="bookmark43">
            <w:r>
              <w:rPr>
                <w:rFonts w:ascii="Times New Roman" w:hAnsi="Times New Roman" w:eastAsia="Times New Roman" w:cs="Times New Roman"/>
                <w:sz w:val="23"/>
                <w:szCs w:val="23"/>
                <w:spacing w:val="5"/>
                <w:position w:val="2"/>
              </w:rPr>
              <w:t>1.4.5.5</w:t>
            </w:r>
            <w:r>
              <w:rPr>
                <w:rFonts w:ascii="Times New Roman" w:hAnsi="Times New Roman" w:eastAsia="Times New Roman" w:cs="Times New Roman"/>
                <w:sz w:val="23"/>
                <w:szCs w:val="23"/>
                <w:spacing w:val="7"/>
                <w:position w:val="2"/>
              </w:rPr>
              <w:t xml:space="preserve">     </w:t>
            </w:r>
            <w:r>
              <w:rPr>
                <w:rFonts w:ascii="SimSun" w:hAnsi="SimSun" w:eastAsia="SimSun" w:cs="SimSun"/>
                <w:sz w:val="23"/>
                <w:szCs w:val="23"/>
                <w:spacing w:val="5"/>
                <w:position w:val="2"/>
              </w:rPr>
              <w:t>精算建模的常用工具</w:t>
            </w:r>
          </w:hyperlink>
          <w:r>
            <w:rPr>
              <w:rFonts w:ascii="SimSun" w:hAnsi="SimSun" w:eastAsia="SimSun" w:cs="SimSun"/>
              <w:sz w:val="23"/>
              <w:szCs w:val="23"/>
              <w:spacing w:val="34"/>
              <w:position w:val="2"/>
            </w:rPr>
            <w:t xml:space="preserve">   </w:t>
          </w:r>
          <w:r>
            <w:rPr>
              <w:rFonts w:ascii="SimSun" w:hAnsi="SimSun" w:eastAsia="SimSun" w:cs="SimSun"/>
              <w:sz w:val="23"/>
              <w:szCs w:val="23"/>
              <w:position w:val="2"/>
            </w:rPr>
            <w:tab/>
          </w:r>
          <w:r>
            <w:rPr>
              <w:rFonts w:ascii="SimSun" w:hAnsi="SimSun" w:eastAsia="SimSun" w:cs="SimSun"/>
              <w:sz w:val="23"/>
              <w:szCs w:val="23"/>
              <w:spacing w:val="6"/>
              <w:position w:val="2"/>
            </w:rPr>
            <w:t xml:space="preserve">  </w:t>
          </w:r>
          <w:r>
            <w:rPr>
              <w:rFonts w:ascii="Times New Roman" w:hAnsi="Times New Roman" w:eastAsia="Times New Roman" w:cs="Times New Roman"/>
              <w:sz w:val="23"/>
              <w:szCs w:val="23"/>
              <w:spacing w:val="-9"/>
              <w:position w:val="2"/>
            </w:rPr>
            <w:t>19</w:t>
          </w:r>
        </w:p>
        <w:p>
          <w:pPr>
            <w:ind w:left="11"/>
            <w:spacing w:before="22" w:line="337" w:lineRule="exact"/>
            <w:tabs>
              <w:tab w:val="right" w:leader="dot" w:pos="8702"/>
            </w:tabs>
            <w:rPr>
              <w:rFonts w:ascii="Times New Roman" w:hAnsi="Times New Roman" w:eastAsia="Times New Roman" w:cs="Times New Roman"/>
              <w:sz w:val="23"/>
              <w:szCs w:val="23"/>
            </w:rPr>
          </w:pPr>
          <w:hyperlink w:history="true" w:anchor="bookmark44">
            <w:r>
              <w:rPr>
                <w:rFonts w:ascii="Times New Roman" w:hAnsi="Times New Roman" w:eastAsia="Times New Roman" w:cs="Times New Roman"/>
                <w:sz w:val="23"/>
                <w:szCs w:val="23"/>
                <w:spacing w:val="5"/>
                <w:position w:val="2"/>
              </w:rPr>
              <w:t>1.5    </w:t>
            </w:r>
            <w:r>
              <w:rPr>
                <w:rFonts w:ascii="SimSun" w:hAnsi="SimSun" w:eastAsia="SimSun" w:cs="SimSun"/>
                <w:sz w:val="23"/>
                <w:szCs w:val="23"/>
                <w:spacing w:val="5"/>
                <w:position w:val="2"/>
              </w:rPr>
              <w:t>精算控制循环与方法论</w:t>
            </w:r>
          </w:hyperlink>
          <w:r>
            <w:rPr>
              <w:rFonts w:ascii="SimSun" w:hAnsi="SimSun" w:eastAsia="SimSun" w:cs="SimSun"/>
              <w:sz w:val="23"/>
              <w:szCs w:val="23"/>
              <w:spacing w:val="36"/>
              <w:position w:val="2"/>
            </w:rPr>
            <w:t xml:space="preserve">  </w:t>
          </w:r>
          <w:r>
            <w:rPr>
              <w:rFonts w:ascii="SimSun" w:hAnsi="SimSun" w:eastAsia="SimSun" w:cs="SimSun"/>
              <w:sz w:val="23"/>
              <w:szCs w:val="23"/>
              <w:position w:val="2"/>
            </w:rPr>
            <w:tab/>
          </w:r>
          <w:r>
            <w:rPr>
              <w:rFonts w:ascii="SimSun" w:hAnsi="SimSun" w:eastAsia="SimSun" w:cs="SimSun"/>
              <w:sz w:val="23"/>
              <w:szCs w:val="23"/>
              <w:spacing w:val="1"/>
              <w:position w:val="2"/>
            </w:rPr>
            <w:t xml:space="preserve">  </w:t>
          </w:r>
          <w:r>
            <w:rPr>
              <w:rFonts w:ascii="Times New Roman" w:hAnsi="Times New Roman" w:eastAsia="Times New Roman" w:cs="Times New Roman"/>
              <w:sz w:val="23"/>
              <w:szCs w:val="23"/>
              <w:spacing w:val="-4"/>
              <w:position w:val="2"/>
            </w:rPr>
            <w:t>20</w:t>
          </w:r>
        </w:p>
        <w:p>
          <w:pPr>
            <w:ind w:left="561"/>
            <w:spacing w:before="22" w:line="336" w:lineRule="exact"/>
            <w:tabs>
              <w:tab w:val="right" w:leader="dot" w:pos="8702"/>
            </w:tabs>
            <w:rPr>
              <w:rFonts w:ascii="Times New Roman" w:hAnsi="Times New Roman" w:eastAsia="Times New Roman" w:cs="Times New Roman"/>
              <w:sz w:val="23"/>
              <w:szCs w:val="23"/>
            </w:rPr>
          </w:pPr>
          <w:hyperlink w:history="true" w:anchor="bookmark45">
            <w:r>
              <w:rPr>
                <w:rFonts w:ascii="Times New Roman" w:hAnsi="Times New Roman" w:eastAsia="Times New Roman" w:cs="Times New Roman"/>
                <w:sz w:val="23"/>
                <w:szCs w:val="23"/>
                <w:spacing w:val="6"/>
                <w:position w:val="2"/>
              </w:rPr>
              <w:t>1.5.1</w:t>
            </w:r>
            <w:r>
              <w:rPr>
                <w:rFonts w:ascii="Times New Roman" w:hAnsi="Times New Roman" w:eastAsia="Times New Roman" w:cs="Times New Roman"/>
                <w:sz w:val="23"/>
                <w:szCs w:val="23"/>
                <w:spacing w:val="1"/>
                <w:position w:val="2"/>
              </w:rPr>
              <w:t xml:space="preserve">     </w:t>
            </w:r>
            <w:r>
              <w:rPr>
                <w:rFonts w:ascii="SimSun" w:hAnsi="SimSun" w:eastAsia="SimSun" w:cs="SimSun"/>
                <w:sz w:val="23"/>
                <w:szCs w:val="23"/>
                <w:spacing w:val="6"/>
                <w:position w:val="2"/>
              </w:rPr>
              <w:t>精算控制循环的定义与核心逻辑</w:t>
            </w:r>
          </w:hyperlink>
          <w:r>
            <w:rPr>
              <w:rFonts w:ascii="SimSun" w:hAnsi="SimSun" w:eastAsia="SimSun" w:cs="SimSun"/>
              <w:sz w:val="23"/>
              <w:szCs w:val="23"/>
              <w:spacing w:val="23"/>
              <w:position w:val="2"/>
            </w:rPr>
            <w:t xml:space="preserve">   </w:t>
          </w:r>
          <w:r>
            <w:rPr>
              <w:rFonts w:ascii="SimSun" w:hAnsi="SimSun" w:eastAsia="SimSun" w:cs="SimSun"/>
              <w:sz w:val="23"/>
              <w:szCs w:val="23"/>
              <w:position w:val="2"/>
            </w:rPr>
            <w:tab/>
          </w:r>
          <w:r>
            <w:rPr>
              <w:rFonts w:ascii="SimSun" w:hAnsi="SimSun" w:eastAsia="SimSun" w:cs="SimSun"/>
              <w:sz w:val="23"/>
              <w:szCs w:val="23"/>
              <w:spacing w:val="1"/>
              <w:position w:val="2"/>
            </w:rPr>
            <w:t xml:space="preserve">  </w:t>
          </w:r>
          <w:r>
            <w:rPr>
              <w:rFonts w:ascii="Times New Roman" w:hAnsi="Times New Roman" w:eastAsia="Times New Roman" w:cs="Times New Roman"/>
              <w:sz w:val="23"/>
              <w:szCs w:val="23"/>
              <w:spacing w:val="-4"/>
              <w:position w:val="2"/>
            </w:rPr>
            <w:t>20</w:t>
          </w:r>
        </w:p>
        <w:p>
          <w:pPr>
            <w:ind w:left="561"/>
            <w:spacing w:before="22" w:line="337" w:lineRule="exact"/>
            <w:tabs>
              <w:tab w:val="right" w:leader="dot" w:pos="8702"/>
            </w:tabs>
            <w:rPr>
              <w:rFonts w:ascii="Times New Roman" w:hAnsi="Times New Roman" w:eastAsia="Times New Roman" w:cs="Times New Roman"/>
              <w:sz w:val="23"/>
              <w:szCs w:val="23"/>
            </w:rPr>
          </w:pPr>
          <w:hyperlink w:history="true" w:anchor="bookmark46">
            <w:r>
              <w:rPr>
                <w:rFonts w:ascii="Times New Roman" w:hAnsi="Times New Roman" w:eastAsia="Times New Roman" w:cs="Times New Roman"/>
                <w:sz w:val="23"/>
                <w:szCs w:val="23"/>
                <w:spacing w:val="5"/>
                <w:position w:val="2"/>
              </w:rPr>
              <w:t>1.5.2</w:t>
            </w:r>
            <w:r>
              <w:rPr>
                <w:rFonts w:ascii="Times New Roman" w:hAnsi="Times New Roman" w:eastAsia="Times New Roman" w:cs="Times New Roman"/>
                <w:sz w:val="23"/>
                <w:szCs w:val="23"/>
                <w:spacing w:val="3"/>
                <w:position w:val="2"/>
              </w:rPr>
              <w:t xml:space="preserve">     </w:t>
            </w:r>
            <w:r>
              <w:rPr>
                <w:rFonts w:ascii="SimSun" w:hAnsi="SimSun" w:eastAsia="SimSun" w:cs="SimSun"/>
                <w:sz w:val="23"/>
                <w:szCs w:val="23"/>
                <w:spacing w:val="5"/>
                <w:position w:val="2"/>
              </w:rPr>
              <w:t>应用场景与关键运行条件</w:t>
            </w:r>
          </w:hyperlink>
          <w:r>
            <w:rPr>
              <w:rFonts w:ascii="SimSun" w:hAnsi="SimSun" w:eastAsia="SimSun" w:cs="SimSun"/>
              <w:sz w:val="23"/>
              <w:szCs w:val="23"/>
              <w:spacing w:val="15"/>
              <w:position w:val="2"/>
            </w:rPr>
            <w:t xml:space="preserve">   </w:t>
          </w:r>
          <w:r>
            <w:rPr>
              <w:rFonts w:ascii="SimSun" w:hAnsi="SimSun" w:eastAsia="SimSun" w:cs="SimSun"/>
              <w:sz w:val="23"/>
              <w:szCs w:val="23"/>
              <w:position w:val="2"/>
            </w:rPr>
            <w:tab/>
          </w:r>
          <w:r>
            <w:rPr>
              <w:rFonts w:ascii="SimSun" w:hAnsi="SimSun" w:eastAsia="SimSun" w:cs="SimSun"/>
              <w:sz w:val="23"/>
              <w:szCs w:val="23"/>
              <w:spacing w:val="1"/>
              <w:position w:val="2"/>
            </w:rPr>
            <w:t xml:space="preserve">  </w:t>
          </w:r>
          <w:r>
            <w:rPr>
              <w:rFonts w:ascii="Times New Roman" w:hAnsi="Times New Roman" w:eastAsia="Times New Roman" w:cs="Times New Roman"/>
              <w:sz w:val="23"/>
              <w:szCs w:val="23"/>
              <w:spacing w:val="-4"/>
              <w:position w:val="2"/>
            </w:rPr>
            <w:t>21</w:t>
          </w:r>
        </w:p>
      </w:sdtContent>
    </w:sdt>
    <w:p>
      <w:pPr>
        <w:spacing w:line="337" w:lineRule="exact"/>
        <w:sectPr>
          <w:footerReference w:type="default" r:id="rId2"/>
          <w:pgSz w:w="11906" w:h="16838"/>
          <w:pgMar w:top="1319" w:right="1417" w:bottom="978" w:left="1785" w:header="0" w:footer="769" w:gutter="0"/>
        </w:sectPr>
        <w:rPr>
          <w:rFonts w:ascii="Times New Roman" w:hAnsi="Times New Roman" w:eastAsia="Times New Roman" w:cs="Times New Roman"/>
          <w:sz w:val="23"/>
          <w:szCs w:val="23"/>
        </w:rPr>
      </w:pPr>
    </w:p>
    <w:p>
      <w:pPr>
        <w:pStyle w:val="BodyText"/>
        <w:rPr/>
      </w:pPr>
      <w:r/>
    </w:p>
    <w:p>
      <w:pPr>
        <w:sectPr>
          <w:headerReference w:type="default" r:id="rId3"/>
          <w:footerReference w:type="default" r:id="rId4"/>
          <w:pgSz w:w="11906" w:h="16838"/>
          <w:pgMar w:top="1" w:right="1785" w:bottom="978" w:left="1785" w:header="0" w:footer="770" w:gutter="0"/>
        </w:sectPr>
        <w:rPr/>
      </w:pP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10"/>
        <w:spacing w:before="159" w:line="223" w:lineRule="auto"/>
        <w:outlineLvl w:val="0"/>
        <w:rPr>
          <w:rFonts w:ascii="SimHei" w:hAnsi="SimHei" w:eastAsia="SimHei" w:cs="SimHei"/>
          <w:sz w:val="49"/>
          <w:szCs w:val="49"/>
        </w:rPr>
      </w:pPr>
      <w:bookmarkStart w:name="bookmark1" w:id="1"/>
      <w:bookmarkEnd w:id="1"/>
      <w:r>
        <w:rPr>
          <w:rFonts w:ascii="SimHei" w:hAnsi="SimHei" w:eastAsia="SimHei" w:cs="SimHei"/>
          <w:sz w:val="49"/>
          <w:szCs w:val="49"/>
          <w:spacing w:val="-1"/>
        </w:rPr>
        <w:t>第</w:t>
      </w:r>
      <w:r>
        <w:rPr>
          <w:rFonts w:ascii="SimHei" w:hAnsi="SimHei" w:eastAsia="SimHei" w:cs="SimHei"/>
          <w:sz w:val="49"/>
          <w:szCs w:val="49"/>
          <w:spacing w:val="-1"/>
        </w:rPr>
        <w:t xml:space="preserve"> </w:t>
      </w:r>
      <w:r>
        <w:rPr>
          <w:rFonts w:ascii="Times New Roman" w:hAnsi="Times New Roman" w:eastAsia="Times New Roman" w:cs="Times New Roman"/>
          <w:sz w:val="49"/>
          <w:szCs w:val="49"/>
          <w:b/>
          <w:bCs/>
          <w:spacing w:val="-1"/>
        </w:rPr>
        <w:t>1</w:t>
      </w:r>
      <w:r>
        <w:rPr>
          <w:rFonts w:ascii="Times New Roman" w:hAnsi="Times New Roman" w:eastAsia="Times New Roman" w:cs="Times New Roman"/>
          <w:sz w:val="49"/>
          <w:szCs w:val="49"/>
          <w:b/>
          <w:bCs/>
          <w:spacing w:val="95"/>
        </w:rPr>
        <w:t xml:space="preserve"> </w:t>
      </w:r>
      <w:r>
        <w:rPr>
          <w:rFonts w:ascii="SimHei" w:hAnsi="SimHei" w:eastAsia="SimHei" w:cs="SimHei"/>
          <w:sz w:val="49"/>
          <w:szCs w:val="49"/>
          <w:spacing w:val="-1"/>
        </w:rPr>
        <w:t>章</w:t>
      </w:r>
      <w:r>
        <w:rPr>
          <w:rFonts w:ascii="SimHei" w:hAnsi="SimHei" w:eastAsia="SimHei" w:cs="SimHei"/>
          <w:sz w:val="49"/>
          <w:szCs w:val="49"/>
          <w:spacing w:val="-1"/>
        </w:rPr>
        <w:t xml:space="preserve">  </w:t>
      </w:r>
      <w:r>
        <w:rPr>
          <w:rFonts w:ascii="SimHei" w:hAnsi="SimHei" w:eastAsia="SimHei" w:cs="SimHei"/>
          <w:sz w:val="49"/>
          <w:szCs w:val="49"/>
          <w:spacing w:val="-1"/>
        </w:rPr>
        <w:t>保险精算实务概论</w:t>
      </w:r>
    </w:p>
    <w:p>
      <w:pPr>
        <w:pStyle w:val="BodyText"/>
        <w:spacing w:line="262" w:lineRule="auto"/>
        <w:rPr/>
      </w:pPr>
      <w:r/>
    </w:p>
    <w:p>
      <w:pPr>
        <w:pStyle w:val="BodyText"/>
        <w:spacing w:line="263" w:lineRule="auto"/>
        <w:rPr/>
      </w:pPr>
      <w:r/>
    </w:p>
    <w:p>
      <w:pPr>
        <w:pStyle w:val="BodyText"/>
        <w:spacing w:line="263" w:lineRule="auto"/>
        <w:rPr/>
      </w:pPr>
      <w:r/>
    </w:p>
    <w:p>
      <w:pPr>
        <w:ind w:right="115" w:firstLine="480"/>
        <w:spacing w:before="75" w:line="288" w:lineRule="auto"/>
        <w:jc w:val="both"/>
        <w:rPr>
          <w:rFonts w:ascii="SimSun" w:hAnsi="SimSun" w:eastAsia="SimSun" w:cs="SimSun"/>
          <w:sz w:val="23"/>
          <w:szCs w:val="23"/>
        </w:rPr>
      </w:pPr>
      <w:r>
        <w:rPr>
          <w:rFonts w:ascii="SimSun" w:hAnsi="SimSun" w:eastAsia="SimSun" w:cs="SimSun"/>
          <w:sz w:val="23"/>
          <w:szCs w:val="23"/>
          <w:spacing w:val="12"/>
        </w:rPr>
        <w:t>保险精算是融合数学、统计学、金融学、计算</w:t>
      </w:r>
      <w:r>
        <w:rPr>
          <w:rFonts w:ascii="SimSun" w:hAnsi="SimSun" w:eastAsia="SimSun" w:cs="SimSun"/>
          <w:sz w:val="23"/>
          <w:szCs w:val="23"/>
          <w:spacing w:val="11"/>
        </w:rPr>
        <w:t>机技术与风险管理理论的交叉领域，</w:t>
      </w:r>
      <w:r>
        <w:rPr>
          <w:rFonts w:ascii="SimSun" w:hAnsi="SimSun" w:eastAsia="SimSun" w:cs="SimSun"/>
          <w:sz w:val="23"/>
          <w:szCs w:val="23"/>
          <w:spacing w:val="4"/>
        </w:rPr>
        <w:t>其核心任务在于对未来不确定性事件的财务影响进行科学量化、评估</w:t>
      </w:r>
      <w:r>
        <w:rPr>
          <w:rFonts w:ascii="SimSun" w:hAnsi="SimSun" w:eastAsia="SimSun" w:cs="SimSun"/>
          <w:sz w:val="23"/>
          <w:szCs w:val="23"/>
          <w:spacing w:val="3"/>
        </w:rPr>
        <w:t>与管理，</w:t>
      </w:r>
      <w:r>
        <w:rPr>
          <w:rFonts w:ascii="SimSun" w:hAnsi="SimSun" w:eastAsia="SimSun" w:cs="SimSun"/>
          <w:sz w:val="23"/>
          <w:szCs w:val="23"/>
          <w:spacing w:val="62"/>
        </w:rPr>
        <w:t xml:space="preserve"> </w:t>
      </w:r>
      <w:r>
        <w:rPr>
          <w:rFonts w:ascii="SimSun" w:hAnsi="SimSun" w:eastAsia="SimSun" w:cs="SimSun"/>
          <w:sz w:val="23"/>
          <w:szCs w:val="23"/>
          <w:spacing w:val="3"/>
        </w:rPr>
        <w:t>从而支持</w:t>
      </w:r>
      <w:r>
        <w:rPr>
          <w:rFonts w:ascii="SimSun" w:hAnsi="SimSun" w:eastAsia="SimSun" w:cs="SimSun"/>
          <w:sz w:val="23"/>
          <w:szCs w:val="23"/>
          <w:spacing w:val="8"/>
        </w:rPr>
        <w:t>风险转移、风险控制与价值创造。伴随金融市场复杂化、风险形态多样化与监管制度持</w:t>
      </w:r>
      <w:r>
        <w:rPr>
          <w:rFonts w:ascii="SimSun" w:hAnsi="SimSun" w:eastAsia="SimSun" w:cs="SimSun"/>
          <w:sz w:val="23"/>
          <w:szCs w:val="23"/>
          <w:spacing w:val="8"/>
        </w:rPr>
        <w:t>续演进，精算技术的应用已由传统保险领域扩展至医疗保障、银行投资、公共管理与企</w:t>
      </w:r>
      <w:r>
        <w:rPr>
          <w:rFonts w:ascii="SimSun" w:hAnsi="SimSun" w:eastAsia="SimSun" w:cs="SimSun"/>
          <w:sz w:val="23"/>
          <w:szCs w:val="23"/>
          <w:spacing w:val="4"/>
        </w:rPr>
        <w:t>业风险管理等多个场景。精算工作的专业性不仅体现在模型与计算，</w:t>
      </w:r>
      <w:r>
        <w:rPr>
          <w:rFonts w:ascii="SimSun" w:hAnsi="SimSun" w:eastAsia="SimSun" w:cs="SimSun"/>
          <w:sz w:val="23"/>
          <w:szCs w:val="23"/>
          <w:spacing w:val="62"/>
        </w:rPr>
        <w:t xml:space="preserve"> </w:t>
      </w:r>
      <w:r>
        <w:rPr>
          <w:rFonts w:ascii="SimSun" w:hAnsi="SimSun" w:eastAsia="SimSun" w:cs="SimSun"/>
          <w:sz w:val="23"/>
          <w:szCs w:val="23"/>
          <w:spacing w:val="3"/>
        </w:rPr>
        <w:t>更体现在对业务机</w:t>
      </w:r>
      <w:r>
        <w:rPr>
          <w:rFonts w:ascii="SimSun" w:hAnsi="SimSun" w:eastAsia="SimSun" w:cs="SimSun"/>
          <w:sz w:val="23"/>
          <w:szCs w:val="23"/>
          <w:spacing w:val="7"/>
        </w:rPr>
        <w:t>制的理解、对数据与假设的审慎治理、对风险与价值的统一刻画，</w:t>
      </w:r>
      <w:r>
        <w:rPr>
          <w:rFonts w:ascii="SimSun" w:hAnsi="SimSun" w:eastAsia="SimSun" w:cs="SimSun"/>
          <w:sz w:val="23"/>
          <w:szCs w:val="23"/>
          <w:spacing w:val="-57"/>
        </w:rPr>
        <w:t xml:space="preserve"> </w:t>
      </w:r>
      <w:r>
        <w:rPr>
          <w:rFonts w:ascii="SimSun" w:hAnsi="SimSun" w:eastAsia="SimSun" w:cs="SimSun"/>
          <w:sz w:val="23"/>
          <w:szCs w:val="23"/>
          <w:spacing w:val="7"/>
        </w:rPr>
        <w:t>以及对管理层</w:t>
      </w:r>
      <w:r>
        <w:rPr>
          <w:rFonts w:ascii="SimSun" w:hAnsi="SimSun" w:eastAsia="SimSun" w:cs="SimSun"/>
          <w:sz w:val="23"/>
          <w:szCs w:val="23"/>
          <w:spacing w:val="6"/>
        </w:rPr>
        <w:t>与利益</w:t>
      </w:r>
      <w:r>
        <w:rPr>
          <w:rFonts w:ascii="SimSun" w:hAnsi="SimSun" w:eastAsia="SimSun" w:cs="SimSun"/>
          <w:sz w:val="23"/>
          <w:szCs w:val="23"/>
          <w:spacing w:val="2"/>
        </w:rPr>
        <w:t>相关方的有效沟通表达。本章将从精算学的定义与内涵出发， 逐层阐述精算师职业定位、</w:t>
      </w:r>
      <w:r>
        <w:rPr>
          <w:rFonts w:ascii="SimSun" w:hAnsi="SimSun" w:eastAsia="SimSun" w:cs="SimSun"/>
          <w:sz w:val="23"/>
          <w:szCs w:val="23"/>
          <w:spacing w:val="4"/>
        </w:rPr>
        <w:t>保险公司运作机制、精算实务四大核心职能与精算控制循环方法论，</w:t>
      </w:r>
      <w:r>
        <w:rPr>
          <w:rFonts w:ascii="SimSun" w:hAnsi="SimSun" w:eastAsia="SimSun" w:cs="SimSun"/>
          <w:sz w:val="23"/>
          <w:szCs w:val="23"/>
          <w:spacing w:val="62"/>
        </w:rPr>
        <w:t xml:space="preserve"> </w:t>
      </w:r>
      <w:r>
        <w:rPr>
          <w:rFonts w:ascii="SimSun" w:hAnsi="SimSun" w:eastAsia="SimSun" w:cs="SimSun"/>
          <w:sz w:val="23"/>
          <w:szCs w:val="23"/>
          <w:spacing w:val="3"/>
        </w:rPr>
        <w:t>为后续章节的深入</w:t>
      </w:r>
      <w:r>
        <w:rPr>
          <w:rFonts w:ascii="SimSun" w:hAnsi="SimSun" w:eastAsia="SimSun" w:cs="SimSun"/>
          <w:sz w:val="23"/>
          <w:szCs w:val="23"/>
          <w:spacing w:val="5"/>
        </w:rPr>
        <w:t>学习构建完整的知识框架。</w:t>
      </w:r>
    </w:p>
    <w:p>
      <w:pPr>
        <w:ind w:firstLine="480"/>
        <w:spacing w:before="14" w:line="287" w:lineRule="auto"/>
        <w:rPr>
          <w:rFonts w:ascii="SimSun" w:hAnsi="SimSun" w:eastAsia="SimSun" w:cs="SimSun"/>
          <w:sz w:val="23"/>
          <w:szCs w:val="23"/>
        </w:rPr>
      </w:pPr>
      <w:r>
        <w:rPr>
          <w:rFonts w:ascii="SimSun" w:hAnsi="SimSun" w:eastAsia="SimSun" w:cs="SimSun"/>
          <w:sz w:val="23"/>
          <w:szCs w:val="23"/>
          <w:spacing w:val="3"/>
        </w:rPr>
        <w:t>本章围绕保险精算实务的基本框架展开，</w:t>
      </w:r>
      <w:r>
        <w:rPr>
          <w:rFonts w:ascii="SimSun" w:hAnsi="SimSun" w:eastAsia="SimSun" w:cs="SimSun"/>
          <w:sz w:val="23"/>
          <w:szCs w:val="23"/>
          <w:spacing w:val="95"/>
        </w:rPr>
        <w:t xml:space="preserve"> </w:t>
      </w:r>
      <w:r>
        <w:rPr>
          <w:rFonts w:ascii="SimSun" w:hAnsi="SimSun" w:eastAsia="SimSun" w:cs="SimSun"/>
          <w:sz w:val="23"/>
          <w:szCs w:val="23"/>
          <w:spacing w:val="3"/>
        </w:rPr>
        <w:t>旨</w:t>
      </w:r>
      <w:r>
        <w:rPr>
          <w:rFonts w:ascii="SimSun" w:hAnsi="SimSun" w:eastAsia="SimSun" w:cs="SimSun"/>
          <w:sz w:val="23"/>
          <w:szCs w:val="23"/>
          <w:spacing w:val="2"/>
        </w:rPr>
        <w:t>在实现如下学习目标。其一，理解精算</w:t>
      </w:r>
      <w:r>
        <w:rPr>
          <w:rFonts w:ascii="SimSun" w:hAnsi="SimSun" w:eastAsia="SimSun" w:cs="SimSun"/>
          <w:sz w:val="23"/>
          <w:szCs w:val="23"/>
          <w:spacing w:val="15"/>
        </w:rPr>
        <w:t>学的核心定义、本质内涵及主要应用领域，准</w:t>
      </w:r>
      <w:r>
        <w:rPr>
          <w:rFonts w:ascii="SimSun" w:hAnsi="SimSun" w:eastAsia="SimSun" w:cs="SimSun"/>
          <w:sz w:val="23"/>
          <w:szCs w:val="23"/>
          <w:spacing w:val="14"/>
        </w:rPr>
        <w:t>确把握“不确定性事件”与“财务影响”</w:t>
      </w:r>
      <w:r>
        <w:rPr>
          <w:rFonts w:ascii="SimSun" w:hAnsi="SimSun" w:eastAsia="SimSun" w:cs="SimSun"/>
          <w:sz w:val="23"/>
          <w:szCs w:val="23"/>
          <w:spacing w:val="5"/>
        </w:rPr>
        <w:t>两项核心要素，并理解精算学将个体不确定性转化为集合可管理风险的基本机制。其二，</w:t>
      </w:r>
      <w:r>
        <w:rPr>
          <w:rFonts w:ascii="SimSun" w:hAnsi="SimSun" w:eastAsia="SimSun" w:cs="SimSun"/>
          <w:sz w:val="23"/>
          <w:szCs w:val="23"/>
          <w:spacing w:val="4"/>
        </w:rPr>
        <w:t>明确精算师的职业资格要求、核心职责与职业素养，</w:t>
      </w:r>
      <w:r>
        <w:rPr>
          <w:rFonts w:ascii="SimSun" w:hAnsi="SimSun" w:eastAsia="SimSun" w:cs="SimSun"/>
          <w:sz w:val="23"/>
          <w:szCs w:val="23"/>
          <w:spacing w:val="65"/>
        </w:rPr>
        <w:t xml:space="preserve"> </w:t>
      </w:r>
      <w:r>
        <w:rPr>
          <w:rFonts w:ascii="SimSun" w:hAnsi="SimSun" w:eastAsia="SimSun" w:cs="SimSun"/>
          <w:sz w:val="23"/>
          <w:szCs w:val="23"/>
          <w:spacing w:val="4"/>
        </w:rPr>
        <w:t>理解精算</w:t>
      </w:r>
      <w:r>
        <w:rPr>
          <w:rFonts w:ascii="SimSun" w:hAnsi="SimSun" w:eastAsia="SimSun" w:cs="SimSun"/>
          <w:sz w:val="23"/>
          <w:szCs w:val="23"/>
          <w:spacing w:val="3"/>
        </w:rPr>
        <w:t>师在公司治理、监管约束</w:t>
      </w:r>
      <w:r>
        <w:rPr>
          <w:rFonts w:ascii="SimSun" w:hAnsi="SimSun" w:eastAsia="SimSun" w:cs="SimSun"/>
          <w:sz w:val="23"/>
          <w:szCs w:val="23"/>
          <w:spacing w:val="10"/>
        </w:rPr>
        <w:t>与公共利益之间的角色定位，</w:t>
      </w:r>
      <w:r>
        <w:rPr>
          <w:rFonts w:ascii="SimSun" w:hAnsi="SimSun" w:eastAsia="SimSun" w:cs="SimSun"/>
          <w:sz w:val="23"/>
          <w:szCs w:val="23"/>
          <w:spacing w:val="-52"/>
        </w:rPr>
        <w:t xml:space="preserve"> </w:t>
      </w:r>
      <w:r>
        <w:rPr>
          <w:rFonts w:ascii="SimSun" w:hAnsi="SimSun" w:eastAsia="SimSun" w:cs="SimSun"/>
          <w:sz w:val="23"/>
          <w:szCs w:val="23"/>
          <w:spacing w:val="10"/>
        </w:rPr>
        <w:t>以及国内外制度安排在能力侧重与职业边</w:t>
      </w:r>
      <w:r>
        <w:rPr>
          <w:rFonts w:ascii="SimSun" w:hAnsi="SimSun" w:eastAsia="SimSun" w:cs="SimSun"/>
          <w:sz w:val="23"/>
          <w:szCs w:val="23"/>
          <w:spacing w:val="9"/>
        </w:rPr>
        <w:t>界方面的差异。</w:t>
      </w:r>
      <w:r>
        <w:rPr>
          <w:rFonts w:ascii="SimSun" w:hAnsi="SimSun" w:eastAsia="SimSun" w:cs="SimSun"/>
          <w:sz w:val="23"/>
          <w:szCs w:val="23"/>
          <w:spacing w:val="-1"/>
        </w:rPr>
        <w:t>其三，熟悉保险公司的运营逻辑与经营特点，</w:t>
      </w:r>
      <w:r>
        <w:rPr>
          <w:rFonts w:ascii="SimSun" w:hAnsi="SimSun" w:eastAsia="SimSun" w:cs="SimSun"/>
          <w:sz w:val="23"/>
          <w:szCs w:val="23"/>
          <w:spacing w:val="70"/>
        </w:rPr>
        <w:t xml:space="preserve"> </w:t>
      </w:r>
      <w:r>
        <w:rPr>
          <w:rFonts w:ascii="SimSun" w:hAnsi="SimSun" w:eastAsia="SimSun" w:cs="SimSun"/>
          <w:sz w:val="23"/>
          <w:szCs w:val="23"/>
          <w:spacing w:val="-1"/>
        </w:rPr>
        <w:t>掌握保险经</w:t>
      </w:r>
      <w:r>
        <w:rPr>
          <w:rFonts w:ascii="SimSun" w:hAnsi="SimSun" w:eastAsia="SimSun" w:cs="SimSun"/>
          <w:sz w:val="23"/>
          <w:szCs w:val="23"/>
          <w:spacing w:val="-2"/>
        </w:rPr>
        <w:t>营“收入在前、成本在后，</w:t>
      </w:r>
      <w:r>
        <w:rPr>
          <w:rFonts w:ascii="SimSun" w:hAnsi="SimSun" w:eastAsia="SimSun" w:cs="SimSun"/>
          <w:sz w:val="23"/>
          <w:szCs w:val="23"/>
          <w:spacing w:val="72"/>
        </w:rPr>
        <w:t xml:space="preserve"> </w:t>
      </w:r>
      <w:r>
        <w:rPr>
          <w:rFonts w:ascii="SimSun" w:hAnsi="SimSun" w:eastAsia="SimSun" w:cs="SimSun"/>
          <w:sz w:val="23"/>
          <w:szCs w:val="23"/>
          <w:spacing w:val="-2"/>
        </w:rPr>
        <w:t>收</w:t>
      </w:r>
      <w:r>
        <w:rPr>
          <w:rFonts w:ascii="SimSun" w:hAnsi="SimSun" w:eastAsia="SimSun" w:cs="SimSun"/>
          <w:sz w:val="23"/>
          <w:szCs w:val="23"/>
          <w:spacing w:val="7"/>
        </w:rPr>
        <w:t>入相对确定、成本具有不确定性”的结构性特征，</w:t>
      </w:r>
      <w:r>
        <w:rPr>
          <w:rFonts w:ascii="SimSun" w:hAnsi="SimSun" w:eastAsia="SimSun" w:cs="SimSun"/>
          <w:sz w:val="23"/>
          <w:szCs w:val="23"/>
          <w:spacing w:val="-49"/>
        </w:rPr>
        <w:t xml:space="preserve"> </w:t>
      </w:r>
      <w:r>
        <w:rPr>
          <w:rFonts w:ascii="SimSun" w:hAnsi="SimSun" w:eastAsia="SimSun" w:cs="SimSun"/>
          <w:sz w:val="23"/>
          <w:szCs w:val="23"/>
          <w:spacing w:val="7"/>
        </w:rPr>
        <w:t>理解风险个</w:t>
      </w:r>
      <w:r>
        <w:rPr>
          <w:rFonts w:ascii="SimSun" w:hAnsi="SimSun" w:eastAsia="SimSun" w:cs="SimSun"/>
          <w:sz w:val="23"/>
          <w:szCs w:val="23"/>
          <w:spacing w:val="6"/>
        </w:rPr>
        <w:t>体差异性与集合平衡性对</w:t>
      </w:r>
      <w:r>
        <w:rPr>
          <w:rFonts w:ascii="SimSun" w:hAnsi="SimSun" w:eastAsia="SimSun" w:cs="SimSun"/>
          <w:sz w:val="23"/>
          <w:szCs w:val="23"/>
        </w:rPr>
        <w:t xml:space="preserve"> </w:t>
      </w:r>
      <w:r>
        <w:rPr>
          <w:rFonts w:ascii="SimSun" w:hAnsi="SimSun" w:eastAsia="SimSun" w:cs="SimSun"/>
          <w:sz w:val="23"/>
          <w:szCs w:val="23"/>
        </w:rPr>
        <w:t>定价与准备金制度的基础性意义。其四，</w:t>
      </w:r>
      <w:r>
        <w:rPr>
          <w:rFonts w:ascii="SimSun" w:hAnsi="SimSun" w:eastAsia="SimSun" w:cs="SimSun"/>
          <w:sz w:val="23"/>
          <w:szCs w:val="23"/>
          <w:spacing w:val="67"/>
        </w:rPr>
        <w:t xml:space="preserve"> </w:t>
      </w:r>
      <w:r>
        <w:rPr>
          <w:rFonts w:ascii="SimSun" w:hAnsi="SimSun" w:eastAsia="SimSun" w:cs="SimSun"/>
          <w:sz w:val="23"/>
          <w:szCs w:val="23"/>
        </w:rPr>
        <w:t>系统掌握精算</w:t>
      </w:r>
      <w:r>
        <w:rPr>
          <w:rFonts w:ascii="SimSun" w:hAnsi="SimSun" w:eastAsia="SimSun" w:cs="SimSun"/>
          <w:sz w:val="23"/>
          <w:szCs w:val="23"/>
          <w:spacing w:val="-1"/>
        </w:rPr>
        <w:t>实务的四项核心职能，</w:t>
      </w:r>
      <w:r>
        <w:rPr>
          <w:rFonts w:ascii="SimSun" w:hAnsi="SimSun" w:eastAsia="SimSun" w:cs="SimSun"/>
          <w:sz w:val="23"/>
          <w:szCs w:val="23"/>
          <w:spacing w:val="38"/>
        </w:rPr>
        <w:t xml:space="preserve"> </w:t>
      </w:r>
      <w:r>
        <w:rPr>
          <w:rFonts w:ascii="SimSun" w:hAnsi="SimSun" w:eastAsia="SimSun" w:cs="SimSun"/>
          <w:sz w:val="23"/>
          <w:szCs w:val="23"/>
          <w:spacing w:val="-1"/>
        </w:rPr>
        <w:t>即产品定</w:t>
      </w:r>
      <w:r>
        <w:rPr>
          <w:rFonts w:ascii="SimSun" w:hAnsi="SimSun" w:eastAsia="SimSun" w:cs="SimSun"/>
          <w:sz w:val="23"/>
          <w:szCs w:val="23"/>
          <w:spacing w:val="4"/>
        </w:rPr>
        <w:t>价、精算评估、经验分析与精算建模的操作逻辑、关</w:t>
      </w:r>
      <w:r>
        <w:rPr>
          <w:rFonts w:ascii="SimSun" w:hAnsi="SimSun" w:eastAsia="SimSun" w:cs="SimSun"/>
          <w:sz w:val="23"/>
          <w:szCs w:val="23"/>
          <w:spacing w:val="3"/>
        </w:rPr>
        <w:t>键流程及相互关系，</w:t>
      </w:r>
      <w:r>
        <w:rPr>
          <w:rFonts w:ascii="SimSun" w:hAnsi="SimSun" w:eastAsia="SimSun" w:cs="SimSun"/>
          <w:sz w:val="23"/>
          <w:szCs w:val="23"/>
          <w:spacing w:val="69"/>
        </w:rPr>
        <w:t xml:space="preserve"> </w:t>
      </w:r>
      <w:r>
        <w:rPr>
          <w:rFonts w:ascii="SimSun" w:hAnsi="SimSun" w:eastAsia="SimSun" w:cs="SimSun"/>
          <w:sz w:val="23"/>
          <w:szCs w:val="23"/>
          <w:spacing w:val="3"/>
        </w:rPr>
        <w:t>并理解其与监</w:t>
      </w:r>
      <w:r>
        <w:rPr>
          <w:rFonts w:ascii="SimSun" w:hAnsi="SimSun" w:eastAsia="SimSun" w:cs="SimSun"/>
          <w:sz w:val="23"/>
          <w:szCs w:val="23"/>
          <w:spacing w:val="4"/>
        </w:rPr>
        <w:t>管合规、经营管理和风险治理的内在衔接。其五，</w:t>
      </w:r>
      <w:r>
        <w:rPr>
          <w:rFonts w:ascii="SimSun" w:hAnsi="SimSun" w:eastAsia="SimSun" w:cs="SimSun"/>
          <w:sz w:val="23"/>
          <w:szCs w:val="23"/>
          <w:spacing w:val="64"/>
        </w:rPr>
        <w:t xml:space="preserve"> </w:t>
      </w:r>
      <w:r>
        <w:rPr>
          <w:rFonts w:ascii="SimSun" w:hAnsi="SimSun" w:eastAsia="SimSun" w:cs="SimSun"/>
          <w:sz w:val="23"/>
          <w:szCs w:val="23"/>
          <w:spacing w:val="4"/>
        </w:rPr>
        <w:t>理解精算控制</w:t>
      </w:r>
      <w:r>
        <w:rPr>
          <w:rFonts w:ascii="SimSun" w:hAnsi="SimSun" w:eastAsia="SimSun" w:cs="SimSun"/>
          <w:sz w:val="23"/>
          <w:szCs w:val="23"/>
          <w:spacing w:val="3"/>
        </w:rPr>
        <w:t>循环方法论与本课程体</w:t>
      </w:r>
      <w:r>
        <w:rPr>
          <w:rFonts w:ascii="SimSun" w:hAnsi="SimSun" w:eastAsia="SimSun" w:cs="SimSun"/>
          <w:sz w:val="23"/>
          <w:szCs w:val="23"/>
          <w:spacing w:val="4"/>
        </w:rPr>
        <w:t>系设计、学习要求之间的对应关系，</w:t>
      </w:r>
      <w:r>
        <w:rPr>
          <w:rFonts w:ascii="SimSun" w:hAnsi="SimSun" w:eastAsia="SimSun" w:cs="SimSun"/>
          <w:sz w:val="23"/>
          <w:szCs w:val="23"/>
          <w:spacing w:val="72"/>
        </w:rPr>
        <w:t xml:space="preserve"> </w:t>
      </w:r>
      <w:r>
        <w:rPr>
          <w:rFonts w:ascii="SimSun" w:hAnsi="SimSun" w:eastAsia="SimSun" w:cs="SimSun"/>
          <w:sz w:val="23"/>
          <w:szCs w:val="23"/>
          <w:spacing w:val="4"/>
        </w:rPr>
        <w:t>能够以“</w:t>
      </w:r>
      <w:r>
        <w:rPr>
          <w:rFonts w:ascii="SimSun" w:hAnsi="SimSun" w:eastAsia="SimSun" w:cs="SimSun"/>
          <w:sz w:val="23"/>
          <w:szCs w:val="23"/>
          <w:spacing w:val="3"/>
        </w:rPr>
        <w:t>数据—假设—模型—结果—反馈”的闭环</w:t>
      </w:r>
      <w:r>
        <w:rPr>
          <w:rFonts w:ascii="SimSun" w:hAnsi="SimSun" w:eastAsia="SimSun" w:cs="SimSun"/>
          <w:sz w:val="23"/>
          <w:szCs w:val="23"/>
          <w:spacing w:val="6"/>
        </w:rPr>
        <w:t>视角组织后续章节学习与案例分析。</w:t>
      </w:r>
    </w:p>
    <w:p>
      <w:pPr>
        <w:pStyle w:val="BodyText"/>
        <w:spacing w:line="356" w:lineRule="auto"/>
        <w:rPr/>
      </w:pPr>
      <w:r/>
    </w:p>
    <w:p>
      <w:pPr>
        <w:ind w:left="21"/>
        <w:spacing w:before="111" w:line="223" w:lineRule="auto"/>
        <w:outlineLvl w:val="1"/>
        <w:rPr>
          <w:rFonts w:ascii="SimHei" w:hAnsi="SimHei" w:eastAsia="SimHei" w:cs="SimHei"/>
          <w:sz w:val="34"/>
          <w:szCs w:val="34"/>
        </w:rPr>
      </w:pPr>
      <w:bookmarkStart w:name="bookmark2" w:id="2"/>
      <w:bookmarkEnd w:id="2"/>
      <w:bookmarkStart w:name="bookmark3" w:id="3"/>
      <w:bookmarkEnd w:id="3"/>
      <w:r>
        <w:rPr>
          <w:rFonts w:ascii="Times New Roman" w:hAnsi="Times New Roman" w:eastAsia="Times New Roman" w:cs="Times New Roman"/>
          <w:sz w:val="34"/>
          <w:szCs w:val="34"/>
          <w:b/>
          <w:bCs/>
          <w:spacing w:val="5"/>
        </w:rPr>
        <w:t>1.1    </w:t>
      </w:r>
      <w:r>
        <w:rPr>
          <w:rFonts w:ascii="SimHei" w:hAnsi="SimHei" w:eastAsia="SimHei" w:cs="SimHei"/>
          <w:sz w:val="34"/>
          <w:szCs w:val="34"/>
          <w:spacing w:val="5"/>
        </w:rPr>
        <w:t>精算学的定义与核心内涵</w:t>
      </w:r>
    </w:p>
    <w:p>
      <w:pPr>
        <w:pStyle w:val="BodyText"/>
        <w:spacing w:line="283" w:lineRule="auto"/>
        <w:rPr/>
      </w:pPr>
      <w:r/>
    </w:p>
    <w:p>
      <w:pPr>
        <w:ind w:left="16"/>
        <w:spacing w:before="91" w:line="225" w:lineRule="auto"/>
        <w:outlineLvl w:val="2"/>
        <w:rPr>
          <w:rFonts w:ascii="SimHei" w:hAnsi="SimHei" w:eastAsia="SimHei" w:cs="SimHei"/>
          <w:sz w:val="28"/>
          <w:szCs w:val="28"/>
        </w:rPr>
      </w:pPr>
      <w:bookmarkStart w:name="bookmark47" w:id="4"/>
      <w:bookmarkEnd w:id="4"/>
      <w:r>
        <w:rPr>
          <w:rFonts w:ascii="Times New Roman" w:hAnsi="Times New Roman" w:eastAsia="Times New Roman" w:cs="Times New Roman"/>
          <w:sz w:val="28"/>
          <w:szCs w:val="28"/>
          <w:b/>
          <w:bCs/>
          <w:spacing w:val="8"/>
        </w:rPr>
        <w:t>1.1.1    </w:t>
      </w:r>
      <w:r>
        <w:rPr>
          <w:rFonts w:ascii="SimHei" w:hAnsi="SimHei" w:eastAsia="SimHei" w:cs="SimHei"/>
          <w:sz w:val="28"/>
          <w:szCs w:val="28"/>
          <w:spacing w:val="8"/>
        </w:rPr>
        <w:t>精算学的本质界定</w:t>
      </w:r>
    </w:p>
    <w:p>
      <w:pPr>
        <w:ind w:right="230" w:firstLine="479"/>
        <w:spacing w:before="220" w:line="288" w:lineRule="auto"/>
        <w:jc w:val="both"/>
        <w:rPr>
          <w:rFonts w:ascii="SimSun" w:hAnsi="SimSun" w:eastAsia="SimSun" w:cs="SimSun"/>
          <w:sz w:val="23"/>
          <w:szCs w:val="23"/>
        </w:rPr>
      </w:pPr>
      <w:r>
        <w:rPr>
          <w:rFonts w:ascii="SimSun" w:hAnsi="SimSun" w:eastAsia="SimSun" w:cs="SimSun"/>
          <w:sz w:val="23"/>
          <w:szCs w:val="23"/>
          <w:spacing w:val="4"/>
        </w:rPr>
        <w:t>精算学的研究对象并非不确定性事件本身的物理机理，</w:t>
      </w:r>
      <w:r>
        <w:rPr>
          <w:rFonts w:ascii="SimSun" w:hAnsi="SimSun" w:eastAsia="SimSun" w:cs="SimSun"/>
          <w:sz w:val="23"/>
          <w:szCs w:val="23"/>
          <w:spacing w:val="53"/>
        </w:rPr>
        <w:t xml:space="preserve"> </w:t>
      </w:r>
      <w:r>
        <w:rPr>
          <w:rFonts w:ascii="SimSun" w:hAnsi="SimSun" w:eastAsia="SimSun" w:cs="SimSun"/>
          <w:sz w:val="23"/>
          <w:szCs w:val="23"/>
          <w:spacing w:val="4"/>
        </w:rPr>
        <w:t>而是</w:t>
      </w:r>
      <w:r>
        <w:rPr>
          <w:rFonts w:ascii="SimSun" w:hAnsi="SimSun" w:eastAsia="SimSun" w:cs="SimSun"/>
          <w:sz w:val="23"/>
          <w:szCs w:val="23"/>
          <w:spacing w:val="3"/>
        </w:rPr>
        <w:t>这些事件可能引发的财</w:t>
      </w:r>
      <w:r>
        <w:rPr>
          <w:rFonts w:ascii="SimSun" w:hAnsi="SimSun" w:eastAsia="SimSun" w:cs="SimSun"/>
          <w:sz w:val="23"/>
          <w:szCs w:val="23"/>
          <w:spacing w:val="8"/>
        </w:rPr>
        <w:t>务后果及其在时间维度上的分布规律。精算学强调在不确定性条件下进行可检验、可解</w:t>
      </w:r>
      <w:r>
        <w:rPr>
          <w:rFonts w:ascii="SimSun" w:hAnsi="SimSun" w:eastAsia="SimSun" w:cs="SimSun"/>
          <w:sz w:val="23"/>
          <w:szCs w:val="23"/>
          <w:spacing w:val="-1"/>
        </w:rPr>
        <w:t>释、可复核的数量分析，</w:t>
      </w:r>
      <w:r>
        <w:rPr>
          <w:rFonts w:ascii="SimSun" w:hAnsi="SimSun" w:eastAsia="SimSun" w:cs="SimSun"/>
          <w:sz w:val="23"/>
          <w:szCs w:val="23"/>
          <w:spacing w:val="63"/>
        </w:rPr>
        <w:t xml:space="preserve"> </w:t>
      </w:r>
      <w:r>
        <w:rPr>
          <w:rFonts w:ascii="SimSun" w:hAnsi="SimSun" w:eastAsia="SimSun" w:cs="SimSun"/>
          <w:sz w:val="23"/>
          <w:szCs w:val="23"/>
          <w:spacing w:val="-1"/>
        </w:rPr>
        <w:t>使风险从个体层面转化为可管理的集合风险，</w:t>
      </w:r>
      <w:r>
        <w:rPr>
          <w:rFonts w:ascii="SimSun" w:hAnsi="SimSun" w:eastAsia="SimSun" w:cs="SimSun"/>
          <w:sz w:val="23"/>
          <w:szCs w:val="23"/>
          <w:spacing w:val="68"/>
        </w:rPr>
        <w:t xml:space="preserve"> </w:t>
      </w:r>
      <w:r>
        <w:rPr>
          <w:rFonts w:ascii="SimSun" w:hAnsi="SimSun" w:eastAsia="SimSun" w:cs="SimSun"/>
          <w:sz w:val="23"/>
          <w:szCs w:val="23"/>
          <w:spacing w:val="-1"/>
        </w:rPr>
        <w:t>并在此基础</w:t>
      </w:r>
      <w:r>
        <w:rPr>
          <w:rFonts w:ascii="SimSun" w:hAnsi="SimSun" w:eastAsia="SimSun" w:cs="SimSun"/>
          <w:sz w:val="23"/>
          <w:szCs w:val="23"/>
          <w:spacing w:val="-2"/>
        </w:rPr>
        <w:t>上形</w:t>
      </w:r>
      <w:r>
        <w:rPr>
          <w:rFonts w:ascii="SimSun" w:hAnsi="SimSun" w:eastAsia="SimSun" w:cs="SimSun"/>
          <w:sz w:val="23"/>
          <w:szCs w:val="23"/>
          <w:spacing w:val="8"/>
        </w:rPr>
        <w:t>成对定价、准备金、资本与风险治理的制度化支持。精算学在学科渊源上最早以保险业</w:t>
      </w:r>
      <w:r>
        <w:rPr>
          <w:rFonts w:ascii="SimSun" w:hAnsi="SimSun" w:eastAsia="SimSun" w:cs="SimSun"/>
          <w:sz w:val="23"/>
          <w:szCs w:val="23"/>
          <w:spacing w:val="2"/>
        </w:rPr>
        <w:t>务为主要实践土壤，</w:t>
      </w:r>
      <w:r>
        <w:rPr>
          <w:rFonts w:ascii="SimSun" w:hAnsi="SimSun" w:eastAsia="SimSun" w:cs="SimSun"/>
          <w:sz w:val="23"/>
          <w:szCs w:val="23"/>
          <w:spacing w:val="-26"/>
        </w:rPr>
        <w:t xml:space="preserve"> </w:t>
      </w:r>
      <w:r>
        <w:rPr>
          <w:rFonts w:ascii="SimSun" w:hAnsi="SimSun" w:eastAsia="SimSun" w:cs="SimSun"/>
          <w:sz w:val="23"/>
          <w:szCs w:val="23"/>
          <w:spacing w:val="2"/>
        </w:rPr>
        <w:t>随后随着金融市场的发</w:t>
      </w:r>
      <w:r>
        <w:rPr>
          <w:rFonts w:ascii="SimSun" w:hAnsi="SimSun" w:eastAsia="SimSun" w:cs="SimSun"/>
          <w:sz w:val="23"/>
          <w:szCs w:val="23"/>
          <w:spacing w:val="1"/>
        </w:rPr>
        <w:t>展与风险管理需求的外溢，</w:t>
      </w:r>
      <w:r>
        <w:rPr>
          <w:rFonts w:ascii="SimSun" w:hAnsi="SimSun" w:eastAsia="SimSun" w:cs="SimSun"/>
          <w:sz w:val="23"/>
          <w:szCs w:val="23"/>
          <w:spacing w:val="60"/>
        </w:rPr>
        <w:t xml:space="preserve"> </w:t>
      </w:r>
      <w:r>
        <w:rPr>
          <w:rFonts w:ascii="SimSun" w:hAnsi="SimSun" w:eastAsia="SimSun" w:cs="SimSun"/>
          <w:sz w:val="23"/>
          <w:szCs w:val="23"/>
          <w:spacing w:val="1"/>
        </w:rPr>
        <w:t>其方法体系在更</w:t>
      </w:r>
    </w:p>
    <w:p>
      <w:pPr>
        <w:spacing w:line="288" w:lineRule="auto"/>
        <w:sectPr>
          <w:footerReference w:type="default" r:id="rId5"/>
          <w:pgSz w:w="11906" w:h="16838"/>
          <w:pgMar w:top="400" w:right="1186" w:bottom="980" w:left="1425" w:header="0" w:footer="769" w:gutter="0"/>
        </w:sectPr>
        <w:rPr>
          <w:rFonts w:ascii="SimSun" w:hAnsi="SimSun" w:eastAsia="SimSun" w:cs="SimSun"/>
          <w:sz w:val="23"/>
          <w:szCs w:val="23"/>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left="12" w:right="114" w:hanging="12"/>
        <w:spacing w:before="75" w:line="288" w:lineRule="auto"/>
        <w:rPr>
          <w:rFonts w:ascii="SimSun" w:hAnsi="SimSun" w:eastAsia="SimSun" w:cs="SimSun"/>
          <w:sz w:val="23"/>
          <w:szCs w:val="23"/>
        </w:rPr>
      </w:pPr>
      <w:r>
        <w:rPr>
          <w:rFonts w:ascii="SimSun" w:hAnsi="SimSun" w:eastAsia="SimSun" w:cs="SimSun"/>
          <w:sz w:val="23"/>
          <w:szCs w:val="23"/>
          <w:spacing w:val="4"/>
        </w:rPr>
        <w:t>广的金融与公共管理领域得到扩展应用，</w:t>
      </w:r>
      <w:r>
        <w:rPr>
          <w:rFonts w:ascii="SimSun" w:hAnsi="SimSun" w:eastAsia="SimSun" w:cs="SimSun"/>
          <w:sz w:val="23"/>
          <w:szCs w:val="23"/>
          <w:spacing w:val="55"/>
        </w:rPr>
        <w:t xml:space="preserve"> </w:t>
      </w:r>
      <w:r>
        <w:rPr>
          <w:rFonts w:ascii="SimSun" w:hAnsi="SimSun" w:eastAsia="SimSun" w:cs="SimSun"/>
          <w:sz w:val="23"/>
          <w:szCs w:val="23"/>
          <w:spacing w:val="4"/>
        </w:rPr>
        <w:t>但核心逻辑始终围绕“不确定性事件与财</w:t>
      </w:r>
      <w:r>
        <w:rPr>
          <w:rFonts w:ascii="SimSun" w:hAnsi="SimSun" w:eastAsia="SimSun" w:cs="SimSun"/>
          <w:sz w:val="23"/>
          <w:szCs w:val="23"/>
          <w:spacing w:val="3"/>
        </w:rPr>
        <w:t>务影</w:t>
      </w:r>
      <w:r>
        <w:rPr>
          <w:rFonts w:ascii="SimSun" w:hAnsi="SimSun" w:eastAsia="SimSun" w:cs="SimSun"/>
          <w:sz w:val="23"/>
          <w:szCs w:val="23"/>
          <w:spacing w:val="-3"/>
        </w:rPr>
        <w:t>响”展开。</w:t>
      </w:r>
    </w:p>
    <w:p>
      <w:pPr>
        <w:ind w:firstLine="482"/>
        <w:spacing w:before="5" w:line="287" w:lineRule="auto"/>
        <w:jc w:val="both"/>
        <w:rPr>
          <w:rFonts w:ascii="SimSun" w:hAnsi="SimSun" w:eastAsia="SimSun" w:cs="SimSun"/>
          <w:sz w:val="23"/>
          <w:szCs w:val="23"/>
        </w:rPr>
      </w:pPr>
      <w:r>
        <w:rPr>
          <w:rFonts w:ascii="SimSun" w:hAnsi="SimSun" w:eastAsia="SimSun" w:cs="SimSun"/>
          <w:sz w:val="23"/>
          <w:szCs w:val="23"/>
          <w:spacing w:val="2"/>
        </w:rPr>
        <w:t>从学科界定看，</w:t>
      </w:r>
      <w:r>
        <w:rPr>
          <w:rFonts w:ascii="SimSun" w:hAnsi="SimSun" w:eastAsia="SimSun" w:cs="SimSun"/>
          <w:sz w:val="23"/>
          <w:szCs w:val="23"/>
          <w:spacing w:val="-61"/>
        </w:rPr>
        <w:t xml:space="preserve"> </w:t>
      </w:r>
      <w:r>
        <w:rPr>
          <w:rFonts w:ascii="SimSun" w:hAnsi="SimSun" w:eastAsia="SimSun" w:cs="SimSun"/>
          <w:sz w:val="23"/>
          <w:szCs w:val="23"/>
          <w:spacing w:val="2"/>
        </w:rPr>
        <w:t>精算学可以概括为运用概率论与数理统计等数学工</w:t>
      </w:r>
      <w:r>
        <w:rPr>
          <w:rFonts w:ascii="SimSun" w:hAnsi="SimSun" w:eastAsia="SimSun" w:cs="SimSun"/>
          <w:sz w:val="23"/>
          <w:szCs w:val="23"/>
          <w:spacing w:val="1"/>
        </w:rPr>
        <w:t>具，</w:t>
      </w:r>
      <w:r>
        <w:rPr>
          <w:rFonts w:ascii="SimSun" w:hAnsi="SimSun" w:eastAsia="SimSun" w:cs="SimSun"/>
          <w:sz w:val="23"/>
          <w:szCs w:val="23"/>
          <w:spacing w:val="65"/>
        </w:rPr>
        <w:t xml:space="preserve"> </w:t>
      </w:r>
      <w:r>
        <w:rPr>
          <w:rFonts w:ascii="SimSun" w:hAnsi="SimSun" w:eastAsia="SimSun" w:cs="SimSun"/>
          <w:sz w:val="23"/>
          <w:szCs w:val="23"/>
          <w:spacing w:val="1"/>
        </w:rPr>
        <w:t>并结合金融</w:t>
      </w:r>
      <w:r>
        <w:rPr>
          <w:rFonts w:ascii="SimSun" w:hAnsi="SimSun" w:eastAsia="SimSun" w:cs="SimSun"/>
          <w:sz w:val="23"/>
          <w:szCs w:val="23"/>
          <w:spacing w:val="3"/>
        </w:rPr>
        <w:t>与经济学原理以及计算技术，</w:t>
      </w:r>
      <w:r>
        <w:rPr>
          <w:rFonts w:ascii="SimSun" w:hAnsi="SimSun" w:eastAsia="SimSun" w:cs="SimSun"/>
          <w:sz w:val="23"/>
          <w:szCs w:val="23"/>
          <w:spacing w:val="-24"/>
        </w:rPr>
        <w:t xml:space="preserve"> </w:t>
      </w:r>
      <w:r>
        <w:rPr>
          <w:rFonts w:ascii="SimSun" w:hAnsi="SimSun" w:eastAsia="SimSun" w:cs="SimSun"/>
          <w:sz w:val="23"/>
          <w:szCs w:val="23"/>
          <w:spacing w:val="3"/>
        </w:rPr>
        <w:t>对保险、金融、投资与财务等领域的风险进行预测、分</w:t>
      </w:r>
      <w:r>
        <w:rPr>
          <w:rFonts w:ascii="SimSun" w:hAnsi="SimSun" w:eastAsia="SimSun" w:cs="SimSun"/>
          <w:sz w:val="23"/>
          <w:szCs w:val="23"/>
          <w:spacing w:val="2"/>
        </w:rPr>
        <w:t>析、</w:t>
      </w:r>
      <w:r>
        <w:rPr>
          <w:rFonts w:ascii="SimSun" w:hAnsi="SimSun" w:eastAsia="SimSun" w:cs="SimSun"/>
          <w:sz w:val="23"/>
          <w:szCs w:val="23"/>
          <w:spacing w:val="5"/>
        </w:rPr>
        <w:t>评估与管理的学科体系。该界定隐含两条主线。第一条主线是风险事件的随机性， 具体</w:t>
      </w:r>
      <w:r>
        <w:rPr>
          <w:rFonts w:ascii="SimSun" w:hAnsi="SimSun" w:eastAsia="SimSun" w:cs="SimSun"/>
          <w:sz w:val="23"/>
          <w:szCs w:val="23"/>
          <w:spacing w:val="11"/>
        </w:rPr>
        <w:t>包括发生与否、发生时间与损失程度的不确定性；第二条主线是财务影响的可计量性，</w:t>
      </w:r>
      <w:r>
        <w:rPr>
          <w:rFonts w:ascii="SimSun" w:hAnsi="SimSun" w:eastAsia="SimSun" w:cs="SimSun"/>
          <w:sz w:val="23"/>
          <w:szCs w:val="23"/>
          <w:spacing w:val="4"/>
        </w:rPr>
        <w:t>即将风险事件映射为现金流的发生概率、发生时间与发生金额</w:t>
      </w:r>
      <w:r>
        <w:rPr>
          <w:rFonts w:ascii="SimSun" w:hAnsi="SimSun" w:eastAsia="SimSun" w:cs="SimSun"/>
          <w:sz w:val="23"/>
          <w:szCs w:val="23"/>
          <w:spacing w:val="3"/>
        </w:rPr>
        <w:t>，</w:t>
      </w:r>
      <w:r>
        <w:rPr>
          <w:rFonts w:ascii="SimSun" w:hAnsi="SimSun" w:eastAsia="SimSun" w:cs="SimSun"/>
          <w:sz w:val="23"/>
          <w:szCs w:val="23"/>
          <w:spacing w:val="65"/>
        </w:rPr>
        <w:t xml:space="preserve"> </w:t>
      </w:r>
      <w:r>
        <w:rPr>
          <w:rFonts w:ascii="SimSun" w:hAnsi="SimSun" w:eastAsia="SimSun" w:cs="SimSun"/>
          <w:sz w:val="23"/>
          <w:szCs w:val="23"/>
          <w:spacing w:val="3"/>
        </w:rPr>
        <w:t>并在货币时间价值框架</w:t>
      </w:r>
      <w:r>
        <w:rPr>
          <w:rFonts w:ascii="SimSun" w:hAnsi="SimSun" w:eastAsia="SimSun" w:cs="SimSun"/>
          <w:sz w:val="23"/>
          <w:szCs w:val="23"/>
          <w:spacing w:val="5"/>
        </w:rPr>
        <w:t>下进行折现、聚合与风险调整。</w:t>
      </w:r>
    </w:p>
    <w:p>
      <w:pPr>
        <w:ind w:right="114" w:firstLine="478"/>
        <w:spacing w:before="3" w:line="288" w:lineRule="auto"/>
        <w:jc w:val="both"/>
        <w:rPr>
          <w:rFonts w:ascii="SimSun" w:hAnsi="SimSun" w:eastAsia="SimSun" w:cs="SimSun"/>
          <w:sz w:val="23"/>
          <w:szCs w:val="23"/>
        </w:rPr>
      </w:pPr>
      <w:r>
        <w:rPr>
          <w:rFonts w:ascii="SimSun" w:hAnsi="SimSun" w:eastAsia="SimSun" w:cs="SimSun"/>
          <w:sz w:val="23"/>
          <w:szCs w:val="23"/>
          <w:spacing w:val="8"/>
        </w:rPr>
        <w:t>精算学在实践中体现为一套从问题识别、模型构建到结果解释与反馈优化的完整链</w:t>
      </w:r>
      <w:r>
        <w:rPr>
          <w:rFonts w:ascii="SimSun" w:hAnsi="SimSun" w:eastAsia="SimSun" w:cs="SimSun"/>
          <w:sz w:val="23"/>
          <w:szCs w:val="23"/>
          <w:spacing w:val="4"/>
        </w:rPr>
        <w:t>条。精算人员需要在制度与监管约束下提出可执行的方案，</w:t>
      </w:r>
      <w:r>
        <w:rPr>
          <w:rFonts w:ascii="SimSun" w:hAnsi="SimSun" w:eastAsia="SimSun" w:cs="SimSun"/>
          <w:sz w:val="23"/>
          <w:szCs w:val="23"/>
          <w:spacing w:val="65"/>
        </w:rPr>
        <w:t xml:space="preserve"> </w:t>
      </w:r>
      <w:r>
        <w:rPr>
          <w:rFonts w:ascii="SimSun" w:hAnsi="SimSun" w:eastAsia="SimSun" w:cs="SimSun"/>
          <w:sz w:val="23"/>
          <w:szCs w:val="23"/>
          <w:spacing w:val="3"/>
        </w:rPr>
        <w:t>并对结果的稳健性与敏感性</w:t>
      </w:r>
      <w:r>
        <w:rPr>
          <w:rFonts w:ascii="SimSun" w:hAnsi="SimSun" w:eastAsia="SimSun" w:cs="SimSun"/>
          <w:sz w:val="23"/>
          <w:szCs w:val="23"/>
          <w:spacing w:val="5"/>
        </w:rPr>
        <w:t>承担专业责任。在这一意义上，精算并非单纯的计算工作， 而是兼具技术属性与治理属</w:t>
      </w:r>
      <w:r>
        <w:rPr>
          <w:rFonts w:ascii="SimSun" w:hAnsi="SimSun" w:eastAsia="SimSun" w:cs="SimSun"/>
          <w:sz w:val="23"/>
          <w:szCs w:val="23"/>
          <w:spacing w:val="2"/>
        </w:rPr>
        <w:t>性的专业活动。</w:t>
      </w:r>
    </w:p>
    <w:p>
      <w:pPr>
        <w:pStyle w:val="BodyText"/>
        <w:spacing w:line="283" w:lineRule="auto"/>
        <w:rPr/>
      </w:pPr>
      <w:r/>
    </w:p>
    <w:p>
      <w:pPr>
        <w:ind w:left="16"/>
        <w:spacing w:before="91" w:line="225" w:lineRule="auto"/>
        <w:outlineLvl w:val="2"/>
        <w:rPr>
          <w:rFonts w:ascii="SimHei" w:hAnsi="SimHei" w:eastAsia="SimHei" w:cs="SimHei"/>
          <w:sz w:val="28"/>
          <w:szCs w:val="28"/>
        </w:rPr>
      </w:pPr>
      <w:bookmarkStart w:name="bookmark4" w:id="5"/>
      <w:bookmarkEnd w:id="5"/>
      <w:r>
        <w:rPr>
          <w:rFonts w:ascii="Times New Roman" w:hAnsi="Times New Roman" w:eastAsia="Times New Roman" w:cs="Times New Roman"/>
          <w:sz w:val="28"/>
          <w:szCs w:val="28"/>
          <w:b/>
          <w:bCs/>
          <w:spacing w:val="8"/>
        </w:rPr>
        <w:t>1.1.2    </w:t>
      </w:r>
      <w:r>
        <w:rPr>
          <w:rFonts w:ascii="SimHei" w:hAnsi="SimHei" w:eastAsia="SimHei" w:cs="SimHei"/>
          <w:sz w:val="28"/>
          <w:szCs w:val="28"/>
          <w:spacing w:val="8"/>
        </w:rPr>
        <w:t>精算学的核心要素</w:t>
      </w:r>
    </w:p>
    <w:p>
      <w:pPr>
        <w:ind w:left="3" w:firstLine="475"/>
        <w:spacing w:before="212" w:line="289" w:lineRule="auto"/>
        <w:rPr>
          <w:rFonts w:ascii="SimSun" w:hAnsi="SimSun" w:eastAsia="SimSun" w:cs="SimSun"/>
          <w:sz w:val="23"/>
          <w:szCs w:val="23"/>
        </w:rPr>
      </w:pPr>
      <w:r>
        <w:rPr>
          <w:rFonts w:ascii="SimSun" w:hAnsi="SimSun" w:eastAsia="SimSun" w:cs="SimSun"/>
          <w:sz w:val="23"/>
          <w:szCs w:val="23"/>
          <w:spacing w:val="2"/>
        </w:rPr>
        <w:t>精算分析的基本逻辑可以分解为四项核心要素： 不确定性事件识别、财务影</w:t>
      </w:r>
      <w:r>
        <w:rPr>
          <w:rFonts w:ascii="SimSun" w:hAnsi="SimSun" w:eastAsia="SimSun" w:cs="SimSun"/>
          <w:sz w:val="23"/>
          <w:szCs w:val="23"/>
          <w:spacing w:val="1"/>
        </w:rPr>
        <w:t>响量化、</w:t>
      </w:r>
      <w:r>
        <w:rPr>
          <w:rFonts w:ascii="SimSun" w:hAnsi="SimSun" w:eastAsia="SimSun" w:cs="SimSun"/>
          <w:sz w:val="23"/>
          <w:szCs w:val="23"/>
          <w:spacing w:val="8"/>
        </w:rPr>
        <w:t>分析方法体系与决策支持输出。四项要素共同构成精算工作的</w:t>
      </w:r>
      <w:r>
        <w:rPr>
          <w:rFonts w:ascii="SimSun" w:hAnsi="SimSun" w:eastAsia="SimSun" w:cs="SimSun"/>
          <w:sz w:val="23"/>
          <w:szCs w:val="23"/>
          <w:spacing w:val="7"/>
        </w:rPr>
        <w:t>输入、处理与输出框架。</w:t>
      </w:r>
    </w:p>
    <w:p>
      <w:pPr>
        <w:ind w:left="2669"/>
        <w:spacing w:before="154" w:line="226" w:lineRule="auto"/>
        <w:rPr>
          <w:rFonts w:ascii="SimSun" w:hAnsi="SimSun" w:eastAsia="SimSun" w:cs="SimSun"/>
          <w:sz w:val="23"/>
          <w:szCs w:val="23"/>
        </w:rPr>
      </w:pPr>
      <w:r>
        <w:rPr>
          <w:rFonts w:ascii="SimSun" w:hAnsi="SimSun" w:eastAsia="SimSun" w:cs="SimSun"/>
          <w:sz w:val="23"/>
          <w:szCs w:val="23"/>
          <w:spacing w:val="4"/>
        </w:rPr>
        <w:t>表 </w:t>
      </w:r>
      <w:r>
        <w:rPr>
          <w:rFonts w:ascii="Times New Roman" w:hAnsi="Times New Roman" w:eastAsia="Times New Roman" w:cs="Times New Roman"/>
          <w:sz w:val="23"/>
          <w:szCs w:val="23"/>
          <w:spacing w:val="4"/>
        </w:rPr>
        <w:t>1.1:</w:t>
      </w:r>
      <w:r>
        <w:rPr>
          <w:rFonts w:ascii="Times New Roman" w:hAnsi="Times New Roman" w:eastAsia="Times New Roman" w:cs="Times New Roman"/>
          <w:sz w:val="23"/>
          <w:szCs w:val="23"/>
          <w:spacing w:val="59"/>
        </w:rPr>
        <w:t xml:space="preserve"> </w:t>
      </w:r>
      <w:r>
        <w:rPr>
          <w:rFonts w:ascii="SimSun" w:hAnsi="SimSun" w:eastAsia="SimSun" w:cs="SimSun"/>
          <w:sz w:val="23"/>
          <w:szCs w:val="23"/>
          <w:spacing w:val="4"/>
        </w:rPr>
        <w:t>精算学核心要素的逻辑框架</w:t>
      </w:r>
    </w:p>
    <w:p>
      <w:pPr>
        <w:spacing w:line="210" w:lineRule="exact"/>
        <w:rPr/>
      </w:pPr>
      <w:r/>
    </w:p>
    <w:tbl>
      <w:tblPr>
        <w:tblStyle w:val="TableNormal"/>
        <w:tblW w:w="9004" w:type="dxa"/>
        <w:tblInd w:w="2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70"/>
        <w:gridCol w:w="7134"/>
      </w:tblGrid>
      <w:tr>
        <w:trPr>
          <w:trHeight w:val="476" w:hRule="atLeast"/>
        </w:trPr>
        <w:tc>
          <w:tcPr>
            <w:tcW w:w="1870" w:type="dxa"/>
            <w:vAlign w:val="top"/>
            <w:tcBorders>
              <w:bottom w:val="single" w:color="000000" w:sz="4" w:space="0"/>
              <w:top w:val="single" w:color="000000" w:sz="6" w:space="0"/>
            </w:tcBorders>
          </w:tcPr>
          <w:p>
            <w:pPr>
              <w:pStyle w:val="TableText"/>
              <w:ind w:left="131"/>
              <w:spacing w:before="116" w:line="227" w:lineRule="auto"/>
              <w:rPr/>
            </w:pPr>
            <w:r>
              <w:rPr>
                <w:spacing w:val="6"/>
              </w:rPr>
              <w:t>核心要素</w:t>
            </w:r>
          </w:p>
        </w:tc>
        <w:tc>
          <w:tcPr>
            <w:tcW w:w="7134" w:type="dxa"/>
            <w:vAlign w:val="top"/>
            <w:tcBorders>
              <w:bottom w:val="single" w:color="000000" w:sz="4" w:space="0"/>
              <w:top w:val="single" w:color="000000" w:sz="6" w:space="0"/>
            </w:tcBorders>
          </w:tcPr>
          <w:p>
            <w:pPr>
              <w:pStyle w:val="TableText"/>
              <w:ind w:left="159"/>
              <w:spacing w:before="116" w:line="227" w:lineRule="auto"/>
              <w:rPr/>
            </w:pPr>
            <w:r>
              <w:rPr>
                <w:spacing w:val="1"/>
              </w:rPr>
              <w:t>内涵与要点</w:t>
            </w:r>
          </w:p>
        </w:tc>
      </w:tr>
      <w:tr>
        <w:trPr>
          <w:trHeight w:val="5485" w:hRule="atLeast"/>
        </w:trPr>
        <w:tc>
          <w:tcPr>
            <w:tcW w:w="1870" w:type="dxa"/>
            <w:vAlign w:val="top"/>
            <w:tcBorders>
              <w:bottom w:val="single" w:color="000000" w:sz="4" w:space="0"/>
              <w:top w:val="single" w:color="000000" w:sz="4" w:space="0"/>
            </w:tcBorders>
          </w:tcPr>
          <w:p>
            <w:pPr>
              <w:pStyle w:val="TableText"/>
              <w:ind w:left="130" w:right="117" w:firstLine="1"/>
              <w:spacing w:before="108" w:line="290" w:lineRule="auto"/>
              <w:rPr/>
            </w:pPr>
            <w:r>
              <w:rPr>
                <w:spacing w:val="39"/>
              </w:rPr>
              <w:t>不确定性事件</w:t>
            </w:r>
            <w:r>
              <w:rPr>
                <w:spacing w:val="3"/>
              </w:rPr>
              <w:t>识别</w:t>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129"/>
              <w:spacing w:before="75" w:line="227" w:lineRule="auto"/>
              <w:rPr/>
            </w:pPr>
            <w:r>
              <w:rPr>
                <w:spacing w:val="7"/>
              </w:rPr>
              <w:t>财务影响量化</w:t>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TableText"/>
              <w:ind w:left="131"/>
              <w:spacing w:before="74" w:line="228" w:lineRule="auto"/>
              <w:rPr/>
            </w:pPr>
            <w:r>
              <w:rPr>
                <w:spacing w:val="7"/>
              </w:rPr>
              <w:t>分析方法体系</w:t>
            </w:r>
          </w:p>
        </w:tc>
        <w:tc>
          <w:tcPr>
            <w:tcW w:w="7134" w:type="dxa"/>
            <w:vAlign w:val="top"/>
            <w:tcBorders>
              <w:bottom w:val="single" w:color="000000" w:sz="4" w:space="0"/>
              <w:top w:val="single" w:color="000000" w:sz="4" w:space="0"/>
            </w:tcBorders>
          </w:tcPr>
          <w:p>
            <w:pPr>
              <w:pStyle w:val="TableText"/>
              <w:ind w:left="129" w:right="118"/>
              <w:spacing w:before="107" w:line="288" w:lineRule="auto"/>
              <w:jc w:val="both"/>
              <w:rPr/>
            </w:pPr>
            <w:r>
              <w:rPr>
                <w:spacing w:val="16"/>
              </w:rPr>
              <w:t>精算工作的起点在于识别特定场景下的关键风险事件</w:t>
            </w:r>
            <w:r>
              <w:rPr>
                <w:spacing w:val="15"/>
              </w:rPr>
              <w:t>并界定其边</w:t>
            </w:r>
            <w:r>
              <w:rPr>
                <w:spacing w:val="1"/>
              </w:rPr>
              <w:t>界条件。寿险常见事件包括身故、生存、疾病与残疾；</w:t>
            </w:r>
            <w:r>
              <w:rPr>
                <w:spacing w:val="70"/>
              </w:rPr>
              <w:t xml:space="preserve"> </w:t>
            </w:r>
            <w:r>
              <w:rPr>
                <w:spacing w:val="1"/>
              </w:rPr>
              <w:t>财险常见事</w:t>
            </w:r>
            <w:r>
              <w:rPr>
                <w:spacing w:val="2"/>
              </w:rPr>
              <w:t>件包括交通事故、财产损毁与责任纠纷；</w:t>
            </w:r>
            <w:r>
              <w:rPr>
                <w:spacing w:val="48"/>
              </w:rPr>
              <w:t xml:space="preserve"> </w:t>
            </w:r>
            <w:r>
              <w:rPr>
                <w:spacing w:val="2"/>
              </w:rPr>
              <w:t>健康险常</w:t>
            </w:r>
            <w:r>
              <w:rPr>
                <w:spacing w:val="1"/>
              </w:rPr>
              <w:t>见事件包括疾病</w:t>
            </w:r>
            <w:r>
              <w:rPr>
                <w:spacing w:val="2"/>
              </w:rPr>
              <w:t>诊断、医疗服务使用与护理需求；</w:t>
            </w:r>
            <w:r>
              <w:rPr>
                <w:spacing w:val="50"/>
              </w:rPr>
              <w:t xml:space="preserve"> </w:t>
            </w:r>
            <w:r>
              <w:rPr>
                <w:spacing w:val="2"/>
              </w:rPr>
              <w:t>金融投资场</w:t>
            </w:r>
            <w:r>
              <w:rPr>
                <w:spacing w:val="1"/>
              </w:rPr>
              <w:t>景常见事件包括利率</w:t>
            </w:r>
            <w:r>
              <w:rPr>
                <w:spacing w:val="7"/>
              </w:rPr>
              <w:t>波动、汇率变动与资产价格波动。事件识别需明确给付条件、触发</w:t>
            </w:r>
            <w:r>
              <w:rPr>
                <w:spacing w:val="6"/>
              </w:rPr>
              <w:t>机制与除外责任，以保证计量对象边界清晰。</w:t>
            </w:r>
          </w:p>
          <w:p>
            <w:pPr>
              <w:pStyle w:val="TableText"/>
              <w:ind w:left="129" w:right="118" w:hanging="1"/>
              <w:spacing w:before="4" w:line="287" w:lineRule="auto"/>
              <w:jc w:val="both"/>
              <w:rPr/>
            </w:pPr>
            <w:r>
              <w:rPr>
                <w:spacing w:val="3"/>
              </w:rPr>
              <w:t>将风险事件映射为可量化现金流， 并明确现金流的金额、时点与分</w:t>
            </w:r>
            <w:r>
              <w:rPr>
                <w:spacing w:val="2"/>
              </w:rPr>
              <w:t>布。量化需同时处理损失金额与发生时间分布，</w:t>
            </w:r>
            <w:r>
              <w:rPr>
                <w:spacing w:val="47"/>
              </w:rPr>
              <w:t xml:space="preserve"> </w:t>
            </w:r>
            <w:r>
              <w:rPr>
                <w:spacing w:val="2"/>
              </w:rPr>
              <w:t>后</w:t>
            </w:r>
            <w:r>
              <w:rPr>
                <w:spacing w:val="1"/>
              </w:rPr>
              <w:t>者要求在计量中</w:t>
            </w:r>
            <w:r>
              <w:rPr>
                <w:spacing w:val="2"/>
              </w:rPr>
              <w:t>纳入货币时间价值与贴现机制。对保险业务而言，</w:t>
            </w:r>
            <w:r>
              <w:rPr>
                <w:spacing w:val="45"/>
              </w:rPr>
              <w:t xml:space="preserve"> </w:t>
            </w:r>
            <w:r>
              <w:rPr>
                <w:spacing w:val="2"/>
              </w:rPr>
              <w:t>量化</w:t>
            </w:r>
            <w:r>
              <w:rPr>
                <w:spacing w:val="1"/>
              </w:rPr>
              <w:t>不仅包括赔</w:t>
            </w:r>
            <w:r>
              <w:rPr>
                <w:spacing w:val="7"/>
              </w:rPr>
              <w:t>付现金流，也包括保费、费用、退保、红利等相关现金流的统一刻</w:t>
            </w:r>
            <w:r>
              <w:rPr>
                <w:spacing w:val="-8"/>
              </w:rPr>
              <w:t>画。</w:t>
            </w:r>
          </w:p>
          <w:p>
            <w:pPr>
              <w:pStyle w:val="TableText"/>
              <w:ind w:left="131" w:right="3"/>
              <w:spacing w:before="1" w:line="285" w:lineRule="auto"/>
              <w:jc w:val="both"/>
              <w:rPr/>
            </w:pPr>
            <w:r>
              <w:rPr>
                <w:spacing w:val="2"/>
              </w:rPr>
              <w:t>方法体系以概率统计与数理模型为基础，</w:t>
            </w:r>
            <w:r>
              <w:rPr>
                <w:spacing w:val="39"/>
              </w:rPr>
              <w:t xml:space="preserve"> </w:t>
            </w:r>
            <w:r>
              <w:rPr>
                <w:spacing w:val="2"/>
              </w:rPr>
              <w:t>并结合金融理论与计算技</w:t>
            </w:r>
            <w:r>
              <w:rPr>
                <w:spacing w:val="-1"/>
              </w:rPr>
              <w:t>术。数学工具用于刻画随机性与分布结构， 金融理论用于处理折现、</w:t>
            </w:r>
            <w:r>
              <w:rPr>
                <w:spacing w:val="4"/>
              </w:rPr>
              <w:t>风险收益平衡与资产负债管理，</w:t>
            </w:r>
            <w:r>
              <w:rPr>
                <w:spacing w:val="-19"/>
              </w:rPr>
              <w:t xml:space="preserve"> </w:t>
            </w:r>
            <w:r>
              <w:rPr>
                <w:spacing w:val="4"/>
              </w:rPr>
              <w:t>计算技术用于支持大规模数据处理</w:t>
            </w:r>
            <w:r>
              <w:rPr>
                <w:spacing w:val="7"/>
              </w:rPr>
              <w:t>与复杂模型运算，并形成可重复、可审计的计算流程。</w:t>
            </w:r>
          </w:p>
        </w:tc>
      </w:tr>
    </w:tbl>
    <w:p>
      <w:pPr>
        <w:ind w:left="8443"/>
        <w:spacing w:before="112" w:line="228" w:lineRule="auto"/>
        <w:rPr>
          <w:rFonts w:ascii="SimSun" w:hAnsi="SimSun" w:eastAsia="SimSun" w:cs="SimSun"/>
          <w:sz w:val="23"/>
          <w:szCs w:val="23"/>
        </w:rPr>
      </w:pPr>
      <w:r>
        <w:rPr>
          <w:rFonts w:ascii="SimSun" w:hAnsi="SimSun" w:eastAsia="SimSun" w:cs="SimSun"/>
          <w:sz w:val="23"/>
          <w:szCs w:val="23"/>
          <w:spacing w:val="3"/>
        </w:rPr>
        <w:t>续表</w:t>
      </w:r>
    </w:p>
    <w:p>
      <w:pPr>
        <w:spacing w:line="228" w:lineRule="auto"/>
        <w:sectPr>
          <w:footerReference w:type="default" r:id="rId6"/>
          <w:pgSz w:w="11906" w:h="16838"/>
          <w:pgMar w:top="400" w:right="1302" w:bottom="980" w:left="1425" w:header="0" w:footer="769" w:gutter="0"/>
        </w:sectPr>
        <w:rPr>
          <w:rFonts w:ascii="SimSun" w:hAnsi="SimSun" w:eastAsia="SimSun" w:cs="SimSun"/>
          <w:sz w:val="23"/>
          <w:szCs w:val="23"/>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2425"/>
        <w:spacing w:before="74" w:line="226" w:lineRule="auto"/>
        <w:rPr>
          <w:rFonts w:ascii="SimSun" w:hAnsi="SimSun" w:eastAsia="SimSun" w:cs="SimSun"/>
          <w:sz w:val="23"/>
          <w:szCs w:val="23"/>
        </w:rPr>
      </w:pPr>
      <w:r>
        <w:rPr>
          <w:rFonts w:ascii="SimSun" w:hAnsi="SimSun" w:eastAsia="SimSun" w:cs="SimSun"/>
          <w:sz w:val="23"/>
          <w:szCs w:val="23"/>
          <w:spacing w:val="4"/>
        </w:rPr>
        <w:t>表 </w:t>
      </w:r>
      <w:r>
        <w:rPr>
          <w:rFonts w:ascii="Times New Roman" w:hAnsi="Times New Roman" w:eastAsia="Times New Roman" w:cs="Times New Roman"/>
          <w:sz w:val="23"/>
          <w:szCs w:val="23"/>
          <w:spacing w:val="4"/>
        </w:rPr>
        <w:t>1.1:</w:t>
      </w:r>
      <w:r>
        <w:rPr>
          <w:rFonts w:ascii="Times New Roman" w:hAnsi="Times New Roman" w:eastAsia="Times New Roman" w:cs="Times New Roman"/>
          <w:sz w:val="23"/>
          <w:szCs w:val="23"/>
          <w:spacing w:val="56"/>
        </w:rPr>
        <w:t xml:space="preserve"> </w:t>
      </w:r>
      <w:r>
        <w:rPr>
          <w:rFonts w:ascii="SimSun" w:hAnsi="SimSun" w:eastAsia="SimSun" w:cs="SimSun"/>
          <w:sz w:val="23"/>
          <w:szCs w:val="23"/>
          <w:spacing w:val="4"/>
        </w:rPr>
        <w:t>精算学核心要素的逻辑框架（</w:t>
      </w:r>
      <w:r>
        <w:rPr>
          <w:rFonts w:ascii="SimSun" w:hAnsi="SimSun" w:eastAsia="SimSun" w:cs="SimSun"/>
          <w:sz w:val="23"/>
          <w:szCs w:val="23"/>
          <w:spacing w:val="3"/>
        </w:rPr>
        <w:t>续）</w:t>
      </w:r>
    </w:p>
    <w:p>
      <w:pPr>
        <w:spacing w:line="209" w:lineRule="exact"/>
        <w:rPr/>
      </w:pPr>
      <w:r/>
    </w:p>
    <w:tbl>
      <w:tblPr>
        <w:tblStyle w:val="TableNormal"/>
        <w:tblW w:w="9004" w:type="dxa"/>
        <w:tblInd w:w="3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63"/>
        <w:gridCol w:w="7241"/>
      </w:tblGrid>
      <w:tr>
        <w:trPr>
          <w:trHeight w:val="473" w:hRule="atLeast"/>
        </w:trPr>
        <w:tc>
          <w:tcPr>
            <w:tcW w:w="1763" w:type="dxa"/>
            <w:vAlign w:val="top"/>
            <w:tcBorders>
              <w:bottom w:val="single" w:color="000000" w:sz="4" w:space="0"/>
              <w:top w:val="single" w:color="000000" w:sz="6" w:space="0"/>
            </w:tcBorders>
          </w:tcPr>
          <w:p>
            <w:pPr>
              <w:pStyle w:val="TableText"/>
              <w:ind w:left="131"/>
              <w:spacing w:before="116" w:line="227" w:lineRule="auto"/>
              <w:rPr/>
            </w:pPr>
            <w:r>
              <w:rPr>
                <w:spacing w:val="6"/>
              </w:rPr>
              <w:t>核心要素</w:t>
            </w:r>
          </w:p>
        </w:tc>
        <w:tc>
          <w:tcPr>
            <w:tcW w:w="7241" w:type="dxa"/>
            <w:vAlign w:val="top"/>
            <w:tcBorders>
              <w:bottom w:val="single" w:color="000000" w:sz="4" w:space="0"/>
              <w:top w:val="single" w:color="000000" w:sz="6" w:space="0"/>
            </w:tcBorders>
          </w:tcPr>
          <w:p>
            <w:pPr>
              <w:pStyle w:val="TableText"/>
              <w:ind w:left="266"/>
              <w:spacing w:before="116" w:line="227" w:lineRule="auto"/>
              <w:rPr/>
            </w:pPr>
            <w:r>
              <w:rPr>
                <w:spacing w:val="1"/>
              </w:rPr>
              <w:t>内涵与要点</w:t>
            </w:r>
          </w:p>
        </w:tc>
      </w:tr>
      <w:tr>
        <w:trPr>
          <w:trHeight w:val="1546" w:hRule="atLeast"/>
        </w:trPr>
        <w:tc>
          <w:tcPr>
            <w:tcW w:w="1763" w:type="dxa"/>
            <w:vAlign w:val="top"/>
            <w:tcBorders>
              <w:top w:val="single" w:color="000000" w:sz="4" w:space="0"/>
              <w:bottom w:val="single" w:color="000000" w:sz="6" w:space="0"/>
            </w:tcBorders>
          </w:tcPr>
          <w:p>
            <w:pPr>
              <w:pStyle w:val="TableText"/>
              <w:ind w:left="136"/>
              <w:spacing w:before="112" w:line="227" w:lineRule="auto"/>
              <w:rPr/>
            </w:pPr>
            <w:r>
              <w:rPr>
                <w:spacing w:val="6"/>
              </w:rPr>
              <w:t>决策支持输出</w:t>
            </w:r>
          </w:p>
        </w:tc>
        <w:tc>
          <w:tcPr>
            <w:tcW w:w="7241" w:type="dxa"/>
            <w:vAlign w:val="top"/>
            <w:tcBorders>
              <w:top w:val="single" w:color="000000" w:sz="4" w:space="0"/>
              <w:bottom w:val="single" w:color="000000" w:sz="6" w:space="0"/>
            </w:tcBorders>
          </w:tcPr>
          <w:p>
            <w:pPr>
              <w:pStyle w:val="TableText"/>
              <w:ind w:left="237" w:right="118"/>
              <w:spacing w:before="110" w:line="286" w:lineRule="auto"/>
              <w:jc w:val="both"/>
              <w:rPr/>
            </w:pPr>
            <w:r>
              <w:rPr>
                <w:spacing w:val="4"/>
              </w:rPr>
              <w:t>精算输出面向实际决策，</w:t>
            </w:r>
            <w:r>
              <w:rPr>
                <w:spacing w:val="-18"/>
              </w:rPr>
              <w:t xml:space="preserve"> </w:t>
            </w:r>
            <w:r>
              <w:rPr>
                <w:spacing w:val="4"/>
              </w:rPr>
              <w:t>典型成果包括定价方案、准备金与负债评</w:t>
            </w:r>
            <w:r>
              <w:rPr>
                <w:spacing w:val="7"/>
              </w:rPr>
              <w:t>估结果、偿付能力与风险度量报告、经营管理建议与信息披露支持</w:t>
            </w:r>
            <w:r>
              <w:rPr>
                <w:spacing w:val="2"/>
              </w:rPr>
              <w:t>等。输出既应满足合规口径，</w:t>
            </w:r>
            <w:r>
              <w:rPr>
                <w:spacing w:val="50"/>
              </w:rPr>
              <w:t xml:space="preserve"> </w:t>
            </w:r>
            <w:r>
              <w:rPr>
                <w:spacing w:val="2"/>
              </w:rPr>
              <w:t>也应满足经营</w:t>
            </w:r>
            <w:r>
              <w:rPr>
                <w:spacing w:val="1"/>
              </w:rPr>
              <w:t>管理对可解释性与可执</w:t>
            </w:r>
            <w:r>
              <w:rPr>
                <w:spacing w:val="1"/>
              </w:rPr>
              <w:t>行性的要求。</w:t>
            </w:r>
          </w:p>
        </w:tc>
      </w:tr>
    </w:tbl>
    <w:p>
      <w:pPr>
        <w:pStyle w:val="BodyText"/>
        <w:spacing w:line="332" w:lineRule="auto"/>
        <w:rPr/>
      </w:pPr>
      <w:r/>
    </w:p>
    <w:p>
      <w:pPr>
        <w:pStyle w:val="BodyText"/>
        <w:spacing w:line="333" w:lineRule="auto"/>
        <w:rPr/>
      </w:pPr>
      <w:r/>
    </w:p>
    <w:p>
      <w:pPr>
        <w:ind w:left="8" w:right="172" w:firstLine="481"/>
        <w:spacing w:before="74" w:line="288" w:lineRule="auto"/>
        <w:jc w:val="both"/>
        <w:rPr>
          <w:rFonts w:ascii="SimSun" w:hAnsi="SimSun" w:eastAsia="SimSun" w:cs="SimSun"/>
          <w:sz w:val="23"/>
          <w:szCs w:val="23"/>
        </w:rPr>
      </w:pPr>
      <w:r>
        <w:rPr>
          <w:rFonts w:ascii="SimSun" w:hAnsi="SimSun" w:eastAsia="SimSun" w:cs="SimSun"/>
          <w:sz w:val="23"/>
          <w:szCs w:val="23"/>
          <w:spacing w:val="4"/>
        </w:rPr>
        <w:t>上述四项要素需要在同一逻辑链条中协调一</w:t>
      </w:r>
      <w:r>
        <w:rPr>
          <w:rFonts w:ascii="SimSun" w:hAnsi="SimSun" w:eastAsia="SimSun" w:cs="SimSun"/>
          <w:sz w:val="23"/>
          <w:szCs w:val="23"/>
          <w:spacing w:val="3"/>
        </w:rPr>
        <w:t>致。若事件识别不完整，</w:t>
      </w:r>
      <w:r>
        <w:rPr>
          <w:rFonts w:ascii="SimSun" w:hAnsi="SimSun" w:eastAsia="SimSun" w:cs="SimSun"/>
          <w:sz w:val="23"/>
          <w:szCs w:val="23"/>
          <w:spacing w:val="58"/>
        </w:rPr>
        <w:t xml:space="preserve"> </w:t>
      </w:r>
      <w:r>
        <w:rPr>
          <w:rFonts w:ascii="SimSun" w:hAnsi="SimSun" w:eastAsia="SimSun" w:cs="SimSun"/>
          <w:sz w:val="23"/>
          <w:szCs w:val="23"/>
          <w:spacing w:val="3"/>
        </w:rPr>
        <w:t>模型输出将出</w:t>
      </w:r>
      <w:r>
        <w:rPr>
          <w:rFonts w:ascii="SimSun" w:hAnsi="SimSun" w:eastAsia="SimSun" w:cs="SimSun"/>
          <w:sz w:val="23"/>
          <w:szCs w:val="23"/>
          <w:spacing w:val="4"/>
        </w:rPr>
        <w:t>现系统性偏差；</w:t>
      </w:r>
      <w:r>
        <w:rPr>
          <w:rFonts w:ascii="SimSun" w:hAnsi="SimSun" w:eastAsia="SimSun" w:cs="SimSun"/>
          <w:sz w:val="23"/>
          <w:szCs w:val="23"/>
          <w:spacing w:val="-57"/>
        </w:rPr>
        <w:t xml:space="preserve"> </w:t>
      </w:r>
      <w:r>
        <w:rPr>
          <w:rFonts w:ascii="SimSun" w:hAnsi="SimSun" w:eastAsia="SimSun" w:cs="SimSun"/>
          <w:sz w:val="23"/>
          <w:szCs w:val="23"/>
          <w:spacing w:val="4"/>
        </w:rPr>
        <w:t>若财务影响量化忽略时间维度， 结果难以与资产负债</w:t>
      </w:r>
      <w:r>
        <w:rPr>
          <w:rFonts w:ascii="SimSun" w:hAnsi="SimSun" w:eastAsia="SimSun" w:cs="SimSun"/>
          <w:sz w:val="23"/>
          <w:szCs w:val="23"/>
          <w:spacing w:val="3"/>
        </w:rPr>
        <w:t>管理或利润计量对</w:t>
      </w:r>
      <w:r>
        <w:rPr>
          <w:rFonts w:ascii="SimSun" w:hAnsi="SimSun" w:eastAsia="SimSun" w:cs="SimSun"/>
          <w:sz w:val="23"/>
          <w:szCs w:val="23"/>
          <w:spacing w:val="2"/>
        </w:rPr>
        <w:t>接；若方法体系缺乏可解释性， 难以形成可审计的专业意见； 若输出无法转化为决策语</w:t>
      </w:r>
      <w:r>
        <w:rPr>
          <w:rFonts w:ascii="SimSun" w:hAnsi="SimSun" w:eastAsia="SimSun" w:cs="SimSun"/>
          <w:sz w:val="23"/>
          <w:szCs w:val="23"/>
          <w:spacing w:val="6"/>
        </w:rPr>
        <w:t>言，则精算结论难以落地，专业价值无法实现。</w:t>
      </w:r>
    </w:p>
    <w:p>
      <w:pPr>
        <w:pStyle w:val="BodyText"/>
        <w:spacing w:line="358" w:lineRule="auto"/>
        <w:rPr/>
      </w:pPr>
      <w:r/>
    </w:p>
    <w:p>
      <w:pPr>
        <w:pStyle w:val="BodyText"/>
        <w:spacing w:line="358" w:lineRule="auto"/>
        <w:rPr/>
      </w:pPr>
      <w:r/>
    </w:p>
    <w:p>
      <w:pPr>
        <w:ind w:left="24"/>
        <w:spacing w:before="92" w:line="225" w:lineRule="auto"/>
        <w:outlineLvl w:val="2"/>
        <w:rPr>
          <w:rFonts w:ascii="SimHei" w:hAnsi="SimHei" w:eastAsia="SimHei" w:cs="SimHei"/>
          <w:sz w:val="28"/>
          <w:szCs w:val="28"/>
        </w:rPr>
      </w:pPr>
      <w:bookmarkStart w:name="bookmark5" w:id="6"/>
      <w:bookmarkEnd w:id="6"/>
      <w:r>
        <w:rPr>
          <w:rFonts w:ascii="Times New Roman" w:hAnsi="Times New Roman" w:eastAsia="Times New Roman" w:cs="Times New Roman"/>
          <w:sz w:val="28"/>
          <w:szCs w:val="28"/>
          <w:b/>
          <w:bCs/>
          <w:spacing w:val="8"/>
        </w:rPr>
        <w:t>1.1.3    </w:t>
      </w:r>
      <w:r>
        <w:rPr>
          <w:rFonts w:ascii="SimHei" w:hAnsi="SimHei" w:eastAsia="SimHei" w:cs="SimHei"/>
          <w:sz w:val="28"/>
          <w:szCs w:val="28"/>
          <w:spacing w:val="8"/>
        </w:rPr>
        <w:t>精算学的一般方法与工具</w:t>
      </w:r>
    </w:p>
    <w:p>
      <w:pPr>
        <w:pStyle w:val="BodyText"/>
        <w:spacing w:line="280" w:lineRule="auto"/>
        <w:rPr/>
      </w:pPr>
      <w:r/>
    </w:p>
    <w:p>
      <w:pPr>
        <w:ind w:left="9" w:right="172" w:firstLine="478"/>
        <w:spacing w:before="75" w:line="288" w:lineRule="auto"/>
        <w:jc w:val="both"/>
        <w:rPr>
          <w:rFonts w:ascii="SimSun" w:hAnsi="SimSun" w:eastAsia="SimSun" w:cs="SimSun"/>
          <w:sz w:val="23"/>
          <w:szCs w:val="23"/>
        </w:rPr>
      </w:pPr>
      <w:r>
        <w:rPr>
          <w:rFonts w:ascii="SimSun" w:hAnsi="SimSun" w:eastAsia="SimSun" w:cs="SimSun"/>
          <w:sz w:val="23"/>
          <w:szCs w:val="23"/>
          <w:spacing w:val="8"/>
        </w:rPr>
        <w:t>精算实务通常遵循由“分析对象—未来现金流—发生概率—折现与风险调整”构成</w:t>
      </w:r>
      <w:r>
        <w:rPr>
          <w:rFonts w:ascii="SimSun" w:hAnsi="SimSun" w:eastAsia="SimSun" w:cs="SimSun"/>
          <w:sz w:val="23"/>
          <w:szCs w:val="23"/>
          <w:spacing w:val="4"/>
        </w:rPr>
        <w:t>的基本方法框架。该框架强调在明确对象边界与数据范围后，</w:t>
      </w:r>
      <w:r>
        <w:rPr>
          <w:rFonts w:ascii="SimSun" w:hAnsi="SimSun" w:eastAsia="SimSun" w:cs="SimSun"/>
          <w:sz w:val="23"/>
          <w:szCs w:val="23"/>
          <w:spacing w:val="58"/>
        </w:rPr>
        <w:t xml:space="preserve"> </w:t>
      </w:r>
      <w:r>
        <w:rPr>
          <w:rFonts w:ascii="SimSun" w:hAnsi="SimSun" w:eastAsia="SimSun" w:cs="SimSun"/>
          <w:sz w:val="23"/>
          <w:szCs w:val="23"/>
          <w:spacing w:val="4"/>
        </w:rPr>
        <w:t>对未来现金流</w:t>
      </w:r>
      <w:r>
        <w:rPr>
          <w:rFonts w:ascii="SimSun" w:hAnsi="SimSun" w:eastAsia="SimSun" w:cs="SimSun"/>
          <w:sz w:val="23"/>
          <w:szCs w:val="23"/>
          <w:spacing w:val="3"/>
        </w:rPr>
        <w:t>进行系统列</w:t>
      </w:r>
      <w:r>
        <w:rPr>
          <w:rFonts w:ascii="SimSun" w:hAnsi="SimSun" w:eastAsia="SimSun" w:cs="SimSun"/>
          <w:sz w:val="23"/>
          <w:szCs w:val="23"/>
          <w:spacing w:val="5"/>
        </w:rPr>
        <w:t>示与分类，对现金流发生概率进行建模或估计， 并在评估时点与折现率口径下完成现值</w:t>
      </w:r>
      <w:r>
        <w:rPr>
          <w:rFonts w:ascii="SimSun" w:hAnsi="SimSun" w:eastAsia="SimSun" w:cs="SimSun"/>
          <w:sz w:val="23"/>
          <w:szCs w:val="23"/>
          <w:spacing w:val="4"/>
        </w:rPr>
        <w:t>计算及风险调整。为保证模型运行的可维护性与结果的可复</w:t>
      </w:r>
      <w:r>
        <w:rPr>
          <w:rFonts w:ascii="SimSun" w:hAnsi="SimSun" w:eastAsia="SimSun" w:cs="SimSun"/>
          <w:sz w:val="23"/>
          <w:szCs w:val="23"/>
          <w:spacing w:val="3"/>
        </w:rPr>
        <w:t>核性，</w:t>
      </w:r>
      <w:r>
        <w:rPr>
          <w:rFonts w:ascii="SimSun" w:hAnsi="SimSun" w:eastAsia="SimSun" w:cs="SimSun"/>
          <w:sz w:val="23"/>
          <w:szCs w:val="23"/>
          <w:spacing w:val="65"/>
        </w:rPr>
        <w:t xml:space="preserve"> </w:t>
      </w:r>
      <w:r>
        <w:rPr>
          <w:rFonts w:ascii="SimSun" w:hAnsi="SimSun" w:eastAsia="SimSun" w:cs="SimSun"/>
          <w:sz w:val="23"/>
          <w:szCs w:val="23"/>
          <w:spacing w:val="3"/>
        </w:rPr>
        <w:t>实践中通常将模型进</w:t>
      </w:r>
      <w:r>
        <w:rPr>
          <w:rFonts w:ascii="SimSun" w:hAnsi="SimSun" w:eastAsia="SimSun" w:cs="SimSun"/>
          <w:sz w:val="23"/>
          <w:szCs w:val="23"/>
          <w:spacing w:val="4"/>
        </w:rPr>
        <w:t>一步拆分为数据输入、参数、假设、算法与数据输</w:t>
      </w:r>
      <w:r>
        <w:rPr>
          <w:rFonts w:ascii="SimSun" w:hAnsi="SimSun" w:eastAsia="SimSun" w:cs="SimSun"/>
          <w:sz w:val="23"/>
          <w:szCs w:val="23"/>
          <w:spacing w:val="3"/>
        </w:rPr>
        <w:t>出等模块，</w:t>
      </w:r>
      <w:r>
        <w:rPr>
          <w:rFonts w:ascii="SimSun" w:hAnsi="SimSun" w:eastAsia="SimSun" w:cs="SimSun"/>
          <w:sz w:val="23"/>
          <w:szCs w:val="23"/>
          <w:spacing w:val="69"/>
        </w:rPr>
        <w:t xml:space="preserve"> </w:t>
      </w:r>
      <w:r>
        <w:rPr>
          <w:rFonts w:ascii="SimSun" w:hAnsi="SimSun" w:eastAsia="SimSun" w:cs="SimSun"/>
          <w:sz w:val="23"/>
          <w:szCs w:val="23"/>
          <w:spacing w:val="3"/>
        </w:rPr>
        <w:t>并通过版本管理与校验机</w:t>
      </w:r>
      <w:r>
        <w:rPr>
          <w:rFonts w:ascii="SimSun" w:hAnsi="SimSun" w:eastAsia="SimSun" w:cs="SimSun"/>
          <w:sz w:val="23"/>
          <w:szCs w:val="23"/>
          <w:spacing w:val="4"/>
        </w:rPr>
        <w:t>制保证口径一致。</w:t>
      </w:r>
    </w:p>
    <w:p>
      <w:pPr>
        <w:ind w:left="8" w:right="172" w:firstLine="479"/>
        <w:spacing w:before="66" w:line="289" w:lineRule="auto"/>
        <w:rPr>
          <w:rFonts w:ascii="SimSun" w:hAnsi="SimSun" w:eastAsia="SimSun" w:cs="SimSun"/>
          <w:sz w:val="23"/>
          <w:szCs w:val="23"/>
        </w:rPr>
      </w:pPr>
      <w:r>
        <w:rPr>
          <w:rFonts w:ascii="SimSun" w:hAnsi="SimSun" w:eastAsia="SimSun" w:cs="SimSun"/>
          <w:sz w:val="23"/>
          <w:szCs w:val="23"/>
          <w:spacing w:val="8"/>
        </w:rPr>
        <w:t>精算工具可概括为数学统计工具、金融经济工具与计算实现工具的组合。为便于理</w:t>
      </w:r>
      <w:r>
        <w:rPr>
          <w:rFonts w:ascii="SimSun" w:hAnsi="SimSun" w:eastAsia="SimSun" w:cs="SimSun"/>
          <w:sz w:val="23"/>
          <w:szCs w:val="23"/>
          <w:spacing w:val="7"/>
        </w:rPr>
        <w:t>解其在实务中的典型用途，表</w:t>
      </w:r>
      <w:hyperlink w:history="true" w:anchor="bookmark48">
        <w:r>
          <w:rPr>
            <w:rFonts w:ascii="Times New Roman" w:hAnsi="Times New Roman" w:eastAsia="Times New Roman" w:cs="Times New Roman"/>
            <w:sz w:val="23"/>
            <w:szCs w:val="23"/>
            <w:spacing w:val="7"/>
          </w:rPr>
          <w:t>1.2</w:t>
        </w:r>
      </w:hyperlink>
      <w:r>
        <w:rPr>
          <w:rFonts w:ascii="SimSun" w:hAnsi="SimSun" w:eastAsia="SimSun" w:cs="SimSun"/>
          <w:sz w:val="23"/>
          <w:szCs w:val="23"/>
          <w:spacing w:val="7"/>
        </w:rPr>
        <w:t>给出精算实务的工具与应用场景的对应关系。</w:t>
      </w:r>
    </w:p>
    <w:p>
      <w:pPr>
        <w:pStyle w:val="BodyText"/>
        <w:spacing w:line="357" w:lineRule="auto"/>
        <w:rPr/>
      </w:pPr>
      <w:r/>
    </w:p>
    <w:p>
      <w:pPr>
        <w:ind w:left="2763"/>
        <w:spacing w:before="76" w:line="226" w:lineRule="auto"/>
        <w:rPr>
          <w:rFonts w:ascii="SimSun" w:hAnsi="SimSun" w:eastAsia="SimSun" w:cs="SimSun"/>
          <w:sz w:val="23"/>
          <w:szCs w:val="23"/>
        </w:rPr>
      </w:pPr>
      <w:bookmarkStart w:name="bookmark48" w:id="7"/>
      <w:bookmarkEnd w:id="7"/>
      <w:r>
        <w:rPr>
          <w:rFonts w:ascii="SimSun" w:hAnsi="SimSun" w:eastAsia="SimSun" w:cs="SimSun"/>
          <w:sz w:val="23"/>
          <w:szCs w:val="23"/>
          <w:spacing w:val="4"/>
        </w:rPr>
        <w:t>表 </w:t>
      </w:r>
      <w:r>
        <w:rPr>
          <w:rFonts w:ascii="Times New Roman" w:hAnsi="Times New Roman" w:eastAsia="Times New Roman" w:cs="Times New Roman"/>
          <w:sz w:val="23"/>
          <w:szCs w:val="23"/>
          <w:spacing w:val="4"/>
        </w:rPr>
        <w:t>1.2:</w:t>
      </w:r>
      <w:r>
        <w:rPr>
          <w:rFonts w:ascii="Times New Roman" w:hAnsi="Times New Roman" w:eastAsia="Times New Roman" w:cs="Times New Roman"/>
          <w:sz w:val="23"/>
          <w:szCs w:val="23"/>
          <w:spacing w:val="59"/>
        </w:rPr>
        <w:t xml:space="preserve"> </w:t>
      </w:r>
      <w:r>
        <w:rPr>
          <w:rFonts w:ascii="SimSun" w:hAnsi="SimSun" w:eastAsia="SimSun" w:cs="SimSun"/>
          <w:sz w:val="23"/>
          <w:szCs w:val="23"/>
          <w:spacing w:val="4"/>
        </w:rPr>
        <w:t>精算实务的工具与典型用途</w:t>
      </w:r>
    </w:p>
    <w:p>
      <w:pPr>
        <w:spacing w:line="210" w:lineRule="exact"/>
        <w:rPr/>
      </w:pPr>
      <w:r/>
    </w:p>
    <w:tbl>
      <w:tblPr>
        <w:tblStyle w:val="TableNormal"/>
        <w:tblW w:w="9243"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61"/>
        <w:gridCol w:w="3519"/>
        <w:gridCol w:w="3863"/>
      </w:tblGrid>
      <w:tr>
        <w:trPr>
          <w:trHeight w:val="475" w:hRule="atLeast"/>
        </w:trPr>
        <w:tc>
          <w:tcPr>
            <w:tcW w:w="1861" w:type="dxa"/>
            <w:vAlign w:val="top"/>
            <w:tcBorders>
              <w:bottom w:val="single" w:color="000000" w:sz="4" w:space="0"/>
              <w:top w:val="single" w:color="000000" w:sz="6" w:space="0"/>
            </w:tcBorders>
          </w:tcPr>
          <w:p>
            <w:pPr>
              <w:pStyle w:val="TableText"/>
              <w:ind w:left="131"/>
              <w:spacing w:before="116" w:line="227" w:lineRule="auto"/>
              <w:rPr/>
            </w:pPr>
            <w:r>
              <w:rPr>
                <w:spacing w:val="6"/>
              </w:rPr>
              <w:t>工具类别</w:t>
            </w:r>
          </w:p>
        </w:tc>
        <w:tc>
          <w:tcPr>
            <w:tcW w:w="3519" w:type="dxa"/>
            <w:vAlign w:val="top"/>
            <w:tcBorders>
              <w:bottom w:val="single" w:color="000000" w:sz="4" w:space="0"/>
              <w:top w:val="single" w:color="000000" w:sz="6" w:space="0"/>
            </w:tcBorders>
          </w:tcPr>
          <w:p>
            <w:pPr>
              <w:pStyle w:val="TableText"/>
              <w:ind w:left="320"/>
              <w:spacing w:before="116" w:line="227" w:lineRule="auto"/>
              <w:rPr/>
            </w:pPr>
            <w:r>
              <w:rPr>
                <w:spacing w:val="8"/>
              </w:rPr>
              <w:t>代表性工具与方法</w:t>
            </w:r>
          </w:p>
        </w:tc>
        <w:tc>
          <w:tcPr>
            <w:tcW w:w="3863" w:type="dxa"/>
            <w:vAlign w:val="top"/>
            <w:tcBorders>
              <w:bottom w:val="single" w:color="000000" w:sz="4" w:space="0"/>
              <w:top w:val="single" w:color="000000" w:sz="6" w:space="0"/>
            </w:tcBorders>
          </w:tcPr>
          <w:p>
            <w:pPr>
              <w:pStyle w:val="TableText"/>
              <w:ind w:left="130"/>
              <w:spacing w:before="116" w:line="227" w:lineRule="auto"/>
              <w:rPr/>
            </w:pPr>
            <w:r>
              <w:rPr>
                <w:spacing w:val="5"/>
              </w:rPr>
              <w:t>典型用途</w:t>
            </w:r>
          </w:p>
        </w:tc>
      </w:tr>
      <w:tr>
        <w:trPr>
          <w:trHeight w:val="3337" w:hRule="atLeast"/>
        </w:trPr>
        <w:tc>
          <w:tcPr>
            <w:tcW w:w="1861" w:type="dxa"/>
            <w:vAlign w:val="top"/>
            <w:tcBorders>
              <w:top w:val="single" w:color="000000" w:sz="4" w:space="0"/>
              <w:bottom w:val="single" w:color="000000" w:sz="6" w:space="0"/>
            </w:tcBorders>
          </w:tcPr>
          <w:p>
            <w:pPr>
              <w:pStyle w:val="TableText"/>
              <w:ind w:left="130"/>
              <w:spacing w:before="110" w:line="227" w:lineRule="auto"/>
              <w:rPr/>
            </w:pPr>
            <w:r>
              <w:rPr>
                <w:spacing w:val="7"/>
              </w:rPr>
              <w:t>数学统计工具</w:t>
            </w:r>
          </w:p>
          <w:p>
            <w:pPr>
              <w:spacing w:line="356" w:lineRule="auto"/>
              <w:rPr>
                <w:rFonts w:ascii="Arial"/>
                <w:sz w:val="21"/>
              </w:rPr>
            </w:pPr>
            <w:r/>
          </w:p>
          <w:p>
            <w:pPr>
              <w:spacing w:line="357" w:lineRule="auto"/>
              <w:rPr>
                <w:rFonts w:ascii="Arial"/>
                <w:sz w:val="21"/>
              </w:rPr>
            </w:pPr>
            <w:r/>
          </w:p>
          <w:p>
            <w:pPr>
              <w:pStyle w:val="TableText"/>
              <w:ind w:left="130"/>
              <w:spacing w:before="75" w:line="228" w:lineRule="auto"/>
              <w:rPr/>
            </w:pPr>
            <w:r>
              <w:rPr>
                <w:spacing w:val="7"/>
              </w:rPr>
              <w:t>金融经济工具</w:t>
            </w:r>
          </w:p>
          <w:p>
            <w:pPr>
              <w:spacing w:line="356" w:lineRule="auto"/>
              <w:rPr>
                <w:rFonts w:ascii="Arial"/>
                <w:sz w:val="21"/>
              </w:rPr>
            </w:pPr>
            <w:r/>
          </w:p>
          <w:p>
            <w:pPr>
              <w:spacing w:line="356" w:lineRule="auto"/>
              <w:rPr>
                <w:rFonts w:ascii="Arial"/>
                <w:sz w:val="21"/>
              </w:rPr>
            </w:pPr>
            <w:r/>
          </w:p>
          <w:p>
            <w:pPr>
              <w:pStyle w:val="TableText"/>
              <w:ind w:left="128"/>
              <w:spacing w:before="75" w:line="227" w:lineRule="auto"/>
              <w:rPr/>
            </w:pPr>
            <w:r>
              <w:rPr>
                <w:spacing w:val="7"/>
              </w:rPr>
              <w:t>计算实现工具</w:t>
            </w:r>
          </w:p>
        </w:tc>
        <w:tc>
          <w:tcPr>
            <w:tcW w:w="3519" w:type="dxa"/>
            <w:vAlign w:val="top"/>
            <w:tcBorders>
              <w:top w:val="single" w:color="000000" w:sz="4" w:space="0"/>
              <w:bottom w:val="single" w:color="000000" w:sz="6" w:space="0"/>
            </w:tcBorders>
          </w:tcPr>
          <w:p>
            <w:pPr>
              <w:pStyle w:val="TableText"/>
              <w:ind w:left="320" w:right="122"/>
              <w:spacing w:before="109" w:line="288" w:lineRule="auto"/>
              <w:jc w:val="both"/>
              <w:rPr/>
            </w:pPr>
            <w:r>
              <w:rPr>
                <w:spacing w:val="6"/>
              </w:rPr>
              <w:t>概率论、数理统计、回归与生</w:t>
            </w:r>
            <w:r>
              <w:rPr>
                <w:spacing w:val="6"/>
              </w:rPr>
              <w:t>存分析、随机过程、时间序列</w:t>
            </w:r>
            <w:r>
              <w:rPr/>
              <w:t>等</w:t>
            </w:r>
          </w:p>
          <w:p>
            <w:pPr>
              <w:pStyle w:val="TableText"/>
              <w:ind w:left="322" w:right="8"/>
              <w:spacing w:before="2" w:line="287" w:lineRule="auto"/>
              <w:jc w:val="both"/>
              <w:rPr/>
            </w:pPr>
            <w:r>
              <w:rPr>
                <w:spacing w:val="-3"/>
              </w:rPr>
              <w:t>折现与期限结构、现金流现值、</w:t>
            </w:r>
            <w:r>
              <w:rPr>
                <w:spacing w:val="6"/>
              </w:rPr>
              <w:t>资产负债匹配、风险收益平衡</w:t>
            </w:r>
            <w:r>
              <w:rPr/>
              <w:t>等</w:t>
            </w:r>
          </w:p>
          <w:p>
            <w:pPr>
              <w:pStyle w:val="TableText"/>
              <w:ind w:left="325" w:right="123" w:hanging="4"/>
              <w:spacing w:line="289" w:lineRule="auto"/>
              <w:jc w:val="both"/>
              <w:rPr/>
            </w:pPr>
            <w:r>
              <w:rPr>
                <w:spacing w:val="6"/>
              </w:rPr>
              <w:t>精算软件、编程语言、数据库</w:t>
            </w:r>
            <w:r>
              <w:rPr>
                <w:spacing w:val="7"/>
              </w:rPr>
              <w:t>与大数据处理框架等</w:t>
            </w:r>
          </w:p>
        </w:tc>
        <w:tc>
          <w:tcPr>
            <w:tcW w:w="3863" w:type="dxa"/>
            <w:vAlign w:val="top"/>
            <w:tcBorders>
              <w:top w:val="single" w:color="000000" w:sz="4" w:space="0"/>
              <w:bottom w:val="single" w:color="000000" w:sz="6" w:space="0"/>
            </w:tcBorders>
          </w:tcPr>
          <w:p>
            <w:pPr>
              <w:pStyle w:val="TableText"/>
              <w:ind w:left="126" w:right="118" w:firstLine="2"/>
              <w:spacing w:before="110" w:line="289" w:lineRule="auto"/>
              <w:rPr/>
            </w:pPr>
            <w:r>
              <w:rPr>
                <w:spacing w:val="11"/>
              </w:rPr>
              <w:t>发生率估计、经验分析、敏感性与</w:t>
            </w:r>
            <w:r>
              <w:rPr>
                <w:spacing w:val="5"/>
              </w:rPr>
              <w:t>情景分析、风险度量与模型拟合。</w:t>
            </w:r>
          </w:p>
          <w:p>
            <w:pPr>
              <w:spacing w:line="278" w:lineRule="auto"/>
              <w:rPr>
                <w:rFonts w:ascii="Arial"/>
                <w:sz w:val="21"/>
              </w:rPr>
            </w:pPr>
            <w:r/>
          </w:p>
          <w:p>
            <w:pPr>
              <w:pStyle w:val="TableText"/>
              <w:ind w:left="126" w:right="118" w:firstLine="4"/>
              <w:spacing w:before="75" w:line="288" w:lineRule="auto"/>
              <w:jc w:val="both"/>
              <w:rPr/>
            </w:pPr>
            <w:r>
              <w:rPr>
                <w:spacing w:val="10"/>
              </w:rPr>
              <w:t>定价利率与折现率口径设定、负债</w:t>
            </w:r>
            <w:r>
              <w:rPr>
                <w:spacing w:val="11"/>
              </w:rPr>
              <w:t>现值计量、利率风险分析与资产负</w:t>
            </w:r>
            <w:r>
              <w:rPr/>
              <w:t>债联动管理。</w:t>
            </w:r>
          </w:p>
          <w:p>
            <w:pPr>
              <w:pStyle w:val="TableText"/>
              <w:ind w:left="164" w:right="118" w:hanging="40"/>
              <w:spacing w:before="1" w:line="287" w:lineRule="auto"/>
              <w:jc w:val="both"/>
              <w:rPr/>
            </w:pPr>
            <w:r>
              <w:rPr>
                <w:spacing w:val="11"/>
              </w:rPr>
              <w:t>模型搭建与批量计算、数据治理与</w:t>
            </w:r>
            <w:r>
              <w:rPr>
                <w:spacing w:val="8"/>
              </w:rPr>
              <w:t>自动化流程、计算效率与审计轨迹</w:t>
            </w:r>
          </w:p>
          <w:p>
            <w:pPr>
              <w:pStyle w:val="TableText"/>
              <w:ind w:left="131"/>
              <w:spacing w:before="1" w:line="226" w:lineRule="auto"/>
              <w:outlineLvl w:val="2"/>
              <w:rPr/>
            </w:pPr>
            <w:bookmarkStart w:name="bookmark6" w:id="8"/>
            <w:bookmarkEnd w:id="8"/>
            <w:r>
              <w:rPr>
                <w:spacing w:val="-6"/>
              </w:rPr>
              <w:t>管理。</w:t>
            </w:r>
          </w:p>
        </w:tc>
      </w:tr>
    </w:tbl>
    <w:p>
      <w:pPr>
        <w:pStyle w:val="BodyText"/>
        <w:rPr/>
      </w:pPr>
      <w:r/>
    </w:p>
    <w:p>
      <w:pPr>
        <w:sectPr>
          <w:footerReference w:type="default" r:id="rId7"/>
          <w:pgSz w:w="11906" w:h="16838"/>
          <w:pgMar w:top="400" w:right="1244" w:bottom="980" w:left="1417" w:header="0" w:footer="767" w:gutter="0"/>
        </w:sectPr>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17"/>
        <w:spacing w:before="91" w:line="225" w:lineRule="auto"/>
        <w:outlineLvl w:val="2"/>
        <w:rPr>
          <w:rFonts w:ascii="SimHei" w:hAnsi="SimHei" w:eastAsia="SimHei" w:cs="SimHei"/>
          <w:sz w:val="28"/>
          <w:szCs w:val="28"/>
        </w:rPr>
      </w:pPr>
      <w:bookmarkStart w:name="bookmark49" w:id="9"/>
      <w:bookmarkEnd w:id="9"/>
      <w:r>
        <w:rPr>
          <w:rFonts w:ascii="Times New Roman" w:hAnsi="Times New Roman" w:eastAsia="Times New Roman" w:cs="Times New Roman"/>
          <w:sz w:val="28"/>
          <w:szCs w:val="28"/>
          <w:b/>
          <w:bCs/>
          <w:spacing w:val="8"/>
        </w:rPr>
        <w:t>1.1.4    </w:t>
      </w:r>
      <w:r>
        <w:rPr>
          <w:rFonts w:ascii="SimHei" w:hAnsi="SimHei" w:eastAsia="SimHei" w:cs="SimHei"/>
          <w:sz w:val="28"/>
          <w:szCs w:val="28"/>
          <w:spacing w:val="8"/>
        </w:rPr>
        <w:t>精算学的应用领域</w:t>
      </w:r>
    </w:p>
    <w:p>
      <w:pPr>
        <w:ind w:left="5" w:right="114" w:firstLine="474"/>
        <w:spacing w:before="212" w:line="289" w:lineRule="auto"/>
        <w:jc w:val="both"/>
        <w:rPr>
          <w:rFonts w:ascii="SimSun" w:hAnsi="SimSun" w:eastAsia="SimSun" w:cs="SimSun"/>
          <w:sz w:val="23"/>
          <w:szCs w:val="23"/>
        </w:rPr>
      </w:pPr>
      <w:r>
        <w:rPr>
          <w:rFonts w:ascii="SimSun" w:hAnsi="SimSun" w:eastAsia="SimSun" w:cs="SimSun"/>
          <w:sz w:val="23"/>
          <w:szCs w:val="23"/>
          <w:spacing w:val="4"/>
        </w:rPr>
        <w:t>精算技术的应用以保险行业为核心，</w:t>
      </w:r>
      <w:r>
        <w:rPr>
          <w:rFonts w:ascii="SimSun" w:hAnsi="SimSun" w:eastAsia="SimSun" w:cs="SimSun"/>
          <w:sz w:val="23"/>
          <w:szCs w:val="23"/>
          <w:spacing w:val="46"/>
        </w:rPr>
        <w:t xml:space="preserve"> </w:t>
      </w:r>
      <w:r>
        <w:rPr>
          <w:rFonts w:ascii="SimSun" w:hAnsi="SimSun" w:eastAsia="SimSun" w:cs="SimSun"/>
          <w:sz w:val="23"/>
          <w:szCs w:val="23"/>
          <w:spacing w:val="4"/>
        </w:rPr>
        <w:t>同时向金融与公共管理等领域扩展。其</w:t>
      </w:r>
      <w:r>
        <w:rPr>
          <w:rFonts w:ascii="SimSun" w:hAnsi="SimSun" w:eastAsia="SimSun" w:cs="SimSun"/>
          <w:sz w:val="23"/>
          <w:szCs w:val="23"/>
          <w:spacing w:val="3"/>
        </w:rPr>
        <w:t>扩展并</w:t>
      </w:r>
      <w:r>
        <w:rPr>
          <w:rFonts w:ascii="SimSun" w:hAnsi="SimSun" w:eastAsia="SimSun" w:cs="SimSun"/>
          <w:sz w:val="23"/>
          <w:szCs w:val="23"/>
          <w:spacing w:val="6"/>
        </w:rPr>
        <w:t>非脱离保险逻辑的迁移，</w:t>
      </w:r>
      <w:r>
        <w:rPr>
          <w:rFonts w:ascii="SimSun" w:hAnsi="SimSun" w:eastAsia="SimSun" w:cs="SimSun"/>
          <w:sz w:val="23"/>
          <w:szCs w:val="23"/>
          <w:spacing w:val="-25"/>
        </w:rPr>
        <w:t xml:space="preserve"> </w:t>
      </w:r>
      <w:r>
        <w:rPr>
          <w:rFonts w:ascii="SimSun" w:hAnsi="SimSun" w:eastAsia="SimSun" w:cs="SimSun"/>
          <w:sz w:val="23"/>
          <w:szCs w:val="23"/>
          <w:spacing w:val="6"/>
        </w:rPr>
        <w:t>而是“不确定性事件与财务影响”框架在不同制度与业务</w:t>
      </w:r>
      <w:r>
        <w:rPr>
          <w:rFonts w:ascii="SimSun" w:hAnsi="SimSun" w:eastAsia="SimSun" w:cs="SimSun"/>
          <w:sz w:val="23"/>
          <w:szCs w:val="23"/>
          <w:spacing w:val="5"/>
        </w:rPr>
        <w:t>场景</w:t>
      </w:r>
      <w:r>
        <w:rPr>
          <w:rFonts w:ascii="SimSun" w:hAnsi="SimSun" w:eastAsia="SimSun" w:cs="SimSun"/>
          <w:sz w:val="23"/>
          <w:szCs w:val="23"/>
          <w:spacing w:val="-2"/>
        </w:rPr>
        <w:t>中的延伸。</w:t>
      </w:r>
    </w:p>
    <w:p>
      <w:pPr>
        <w:ind w:left="2431"/>
        <w:spacing w:before="150" w:line="226" w:lineRule="auto"/>
        <w:rPr>
          <w:rFonts w:ascii="SimSun" w:hAnsi="SimSun" w:eastAsia="SimSun" w:cs="SimSun"/>
          <w:sz w:val="23"/>
          <w:szCs w:val="23"/>
        </w:rPr>
      </w:pPr>
      <w:r>
        <w:rPr>
          <w:rFonts w:ascii="SimSun" w:hAnsi="SimSun" w:eastAsia="SimSun" w:cs="SimSun"/>
          <w:sz w:val="23"/>
          <w:szCs w:val="23"/>
          <w:spacing w:val="4"/>
        </w:rPr>
        <w:t>表 </w:t>
      </w:r>
      <w:r>
        <w:rPr>
          <w:rFonts w:ascii="Times New Roman" w:hAnsi="Times New Roman" w:eastAsia="Times New Roman" w:cs="Times New Roman"/>
          <w:sz w:val="23"/>
          <w:szCs w:val="23"/>
          <w:spacing w:val="4"/>
        </w:rPr>
        <w:t>1.3:</w:t>
      </w:r>
      <w:r>
        <w:rPr>
          <w:rFonts w:ascii="Times New Roman" w:hAnsi="Times New Roman" w:eastAsia="Times New Roman" w:cs="Times New Roman"/>
          <w:sz w:val="23"/>
          <w:szCs w:val="23"/>
          <w:spacing w:val="69"/>
        </w:rPr>
        <w:t xml:space="preserve"> </w:t>
      </w:r>
      <w:r>
        <w:rPr>
          <w:rFonts w:ascii="SimSun" w:hAnsi="SimSun" w:eastAsia="SimSun" w:cs="SimSun"/>
          <w:sz w:val="23"/>
          <w:szCs w:val="23"/>
          <w:spacing w:val="4"/>
        </w:rPr>
        <w:t>精算学主要应用领域及典型任务</w:t>
      </w:r>
    </w:p>
    <w:p>
      <w:pPr>
        <w:spacing w:line="209" w:lineRule="exact"/>
        <w:rPr/>
      </w:pPr>
      <w:r/>
    </w:p>
    <w:tbl>
      <w:tblPr>
        <w:tblStyle w:val="TableNormal"/>
        <w:tblW w:w="9004" w:type="dxa"/>
        <w:tblInd w:w="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63"/>
        <w:gridCol w:w="7141"/>
      </w:tblGrid>
      <w:tr>
        <w:trPr>
          <w:trHeight w:val="475" w:hRule="atLeast"/>
        </w:trPr>
        <w:tc>
          <w:tcPr>
            <w:tcW w:w="1863" w:type="dxa"/>
            <w:vAlign w:val="top"/>
            <w:tcBorders>
              <w:bottom w:val="single" w:color="000000" w:sz="4" w:space="0"/>
              <w:top w:val="single" w:color="000000" w:sz="6" w:space="0"/>
            </w:tcBorders>
          </w:tcPr>
          <w:p>
            <w:pPr>
              <w:pStyle w:val="TableText"/>
              <w:ind w:left="128"/>
              <w:spacing w:before="116" w:line="228" w:lineRule="auto"/>
              <w:rPr/>
            </w:pPr>
            <w:r>
              <w:rPr>
                <w:spacing w:val="4"/>
              </w:rPr>
              <w:t>领域</w:t>
            </w:r>
          </w:p>
        </w:tc>
        <w:tc>
          <w:tcPr>
            <w:tcW w:w="7141" w:type="dxa"/>
            <w:vAlign w:val="top"/>
            <w:tcBorders>
              <w:bottom w:val="single" w:color="000000" w:sz="4" w:space="0"/>
              <w:top w:val="single" w:color="000000" w:sz="6" w:space="0"/>
            </w:tcBorders>
          </w:tcPr>
          <w:p>
            <w:pPr>
              <w:pStyle w:val="TableText"/>
              <w:ind w:left="323"/>
              <w:spacing w:before="116" w:line="227" w:lineRule="auto"/>
              <w:rPr/>
            </w:pPr>
            <w:r>
              <w:rPr>
                <w:spacing w:val="5"/>
              </w:rPr>
              <w:t>典型任务</w:t>
            </w:r>
          </w:p>
        </w:tc>
      </w:tr>
      <w:tr>
        <w:trPr>
          <w:trHeight w:val="1834" w:hRule="atLeast"/>
        </w:trPr>
        <w:tc>
          <w:tcPr>
            <w:tcW w:w="1863" w:type="dxa"/>
            <w:vAlign w:val="top"/>
            <w:tcBorders>
              <w:top w:val="single" w:color="000000" w:sz="4" w:space="0"/>
            </w:tcBorders>
          </w:tcPr>
          <w:p>
            <w:pPr>
              <w:pStyle w:val="TableText"/>
              <w:ind w:left="129"/>
              <w:spacing w:before="109" w:line="228" w:lineRule="auto"/>
              <w:rPr/>
            </w:pPr>
            <w:r>
              <w:rPr>
                <w:spacing w:val="6"/>
              </w:rPr>
              <w:t>保险行业</w:t>
            </w:r>
          </w:p>
        </w:tc>
        <w:tc>
          <w:tcPr>
            <w:tcW w:w="7141" w:type="dxa"/>
            <w:vAlign w:val="top"/>
            <w:tcBorders>
              <w:top w:val="single" w:color="000000" w:sz="4" w:space="0"/>
            </w:tcBorders>
          </w:tcPr>
          <w:p>
            <w:pPr>
              <w:pStyle w:val="TableText"/>
              <w:ind w:left="320" w:right="118"/>
              <w:spacing w:before="110" w:line="275" w:lineRule="auto"/>
              <w:jc w:val="both"/>
              <w:rPr/>
            </w:pPr>
            <w:r>
              <w:rPr>
                <w:spacing w:val="9"/>
              </w:rPr>
              <w:t>寿险的产品定价、准备金提取、红利分配与价值评估；财险的费</w:t>
            </w:r>
            <w:r>
              <w:rPr>
                <w:spacing w:val="9"/>
              </w:rPr>
              <w:t>率厘定、未决赔款准备金评估与赔付率监控；健康险的医疗费用</w:t>
            </w:r>
            <w:r>
              <w:rPr>
                <w:spacing w:val="9"/>
              </w:rPr>
              <w:t>预测、长期护理产品设计与赔付管理；养老保障相关产品的长寿</w:t>
            </w:r>
            <w:r>
              <w:rPr>
                <w:spacing w:val="9"/>
              </w:rPr>
              <w:t>风险管理与养老金计划设计；再保险方案设计、分保费率厘定与</w:t>
            </w:r>
            <w:r>
              <w:rPr>
                <w:spacing w:val="2"/>
              </w:rPr>
              <w:t>再保险负债评估。</w:t>
            </w:r>
          </w:p>
        </w:tc>
      </w:tr>
      <w:tr>
        <w:trPr>
          <w:trHeight w:val="717" w:hRule="atLeast"/>
        </w:trPr>
        <w:tc>
          <w:tcPr>
            <w:tcW w:w="1863" w:type="dxa"/>
            <w:vAlign w:val="top"/>
          </w:tcPr>
          <w:p>
            <w:pPr>
              <w:pStyle w:val="TableText"/>
              <w:ind w:left="130"/>
              <w:spacing w:before="68" w:line="228" w:lineRule="auto"/>
              <w:rPr/>
            </w:pPr>
            <w:r>
              <w:rPr>
                <w:spacing w:val="6"/>
              </w:rPr>
              <w:t>金融领域</w:t>
            </w:r>
          </w:p>
        </w:tc>
        <w:tc>
          <w:tcPr>
            <w:tcW w:w="7141" w:type="dxa"/>
            <w:vAlign w:val="top"/>
          </w:tcPr>
          <w:p>
            <w:pPr>
              <w:pStyle w:val="TableText"/>
              <w:ind w:left="320" w:right="118"/>
              <w:spacing w:before="69" w:line="256" w:lineRule="auto"/>
              <w:rPr/>
            </w:pPr>
            <w:r>
              <w:rPr>
                <w:spacing w:val="9"/>
              </w:rPr>
              <w:t>银行端的信贷风险评估、理财产品定价与流动性风险管理；投资</w:t>
            </w:r>
            <w:r>
              <w:rPr>
                <w:spacing w:val="9"/>
              </w:rPr>
              <w:t>端的资产定价、组合风险计量与对冲策略设计；证券与衍生品端</w:t>
            </w:r>
          </w:p>
        </w:tc>
      </w:tr>
      <w:tr>
        <w:trPr>
          <w:trHeight w:val="1428" w:hRule="atLeast"/>
        </w:trPr>
        <w:tc>
          <w:tcPr>
            <w:tcW w:w="1863" w:type="dxa"/>
            <w:vAlign w:val="top"/>
          </w:tcPr>
          <w:p>
            <w:pPr>
              <w:spacing w:line="350" w:lineRule="auto"/>
              <w:rPr>
                <w:rFonts w:ascii="Arial"/>
                <w:sz w:val="21"/>
              </w:rPr>
            </w:pPr>
            <w:r/>
          </w:p>
          <w:p>
            <w:pPr>
              <w:pStyle w:val="TableText"/>
              <w:ind w:left="136"/>
              <w:spacing w:before="75" w:line="227" w:lineRule="auto"/>
              <w:rPr/>
            </w:pPr>
            <w:r>
              <w:rPr>
                <w:spacing w:val="6"/>
              </w:rPr>
              <w:t>公共管理领域</w:t>
            </w:r>
          </w:p>
        </w:tc>
        <w:tc>
          <w:tcPr>
            <w:tcW w:w="7141" w:type="dxa"/>
            <w:vAlign w:val="top"/>
          </w:tcPr>
          <w:p>
            <w:pPr>
              <w:pStyle w:val="TableText"/>
              <w:ind w:left="338"/>
              <w:spacing w:before="69" w:line="225" w:lineRule="auto"/>
              <w:rPr/>
            </w:pPr>
            <w:r>
              <w:rPr>
                <w:spacing w:val="1"/>
              </w:rPr>
              <w:t>的定价与风险监控。</w:t>
            </w:r>
          </w:p>
          <w:p>
            <w:pPr>
              <w:pStyle w:val="TableText"/>
              <w:ind w:left="329" w:right="118"/>
              <w:spacing w:before="77" w:line="265" w:lineRule="auto"/>
              <w:rPr/>
            </w:pPr>
            <w:r>
              <w:rPr>
                <w:spacing w:val="9"/>
              </w:rPr>
              <w:t>医疗保障基金筹资标准与收支预测、支付方式改革评估；社</w:t>
            </w:r>
            <w:r>
              <w:rPr>
                <w:spacing w:val="8"/>
              </w:rPr>
              <w:t>会保</w:t>
            </w:r>
            <w:r>
              <w:rPr>
                <w:spacing w:val="9"/>
              </w:rPr>
              <w:t>障基金精算与制度可持续性分析；公共财政项目风险评估与应急</w:t>
            </w:r>
            <w:r>
              <w:rPr/>
              <w:t>资金储备规划。</w:t>
            </w:r>
          </w:p>
        </w:tc>
      </w:tr>
      <w:tr>
        <w:trPr>
          <w:trHeight w:val="792" w:hRule="atLeast"/>
        </w:trPr>
        <w:tc>
          <w:tcPr>
            <w:tcW w:w="1863" w:type="dxa"/>
            <w:vAlign w:val="top"/>
            <w:tcBorders>
              <w:bottom w:val="single" w:color="000000" w:sz="6" w:space="0"/>
            </w:tcBorders>
          </w:tcPr>
          <w:p>
            <w:pPr>
              <w:pStyle w:val="TableText"/>
              <w:ind w:left="129"/>
              <w:spacing w:before="74" w:line="228" w:lineRule="auto"/>
              <w:rPr/>
            </w:pPr>
            <w:r>
              <w:rPr>
                <w:spacing w:val="6"/>
              </w:rPr>
              <w:t>其他领域</w:t>
            </w:r>
          </w:p>
        </w:tc>
        <w:tc>
          <w:tcPr>
            <w:tcW w:w="7141" w:type="dxa"/>
            <w:vAlign w:val="top"/>
            <w:tcBorders>
              <w:bottom w:val="single" w:color="000000" w:sz="6" w:space="0"/>
            </w:tcBorders>
          </w:tcPr>
          <w:p>
            <w:pPr>
              <w:pStyle w:val="TableText"/>
              <w:ind w:left="336" w:right="118" w:hanging="14"/>
              <w:spacing w:before="74" w:line="284" w:lineRule="auto"/>
              <w:rPr/>
            </w:pPr>
            <w:r>
              <w:rPr>
                <w:spacing w:val="9"/>
              </w:rPr>
              <w:t>企业风险管理与准备金安排、宠物保险发生率测算与定价、互联</w:t>
            </w:r>
            <w:r>
              <w:rPr>
                <w:spacing w:val="6"/>
              </w:rPr>
              <w:t>网保险场景化产品设计与大数据风控模型构建等。</w:t>
            </w:r>
          </w:p>
        </w:tc>
      </w:tr>
    </w:tbl>
    <w:p>
      <w:pPr>
        <w:pStyle w:val="BodyText"/>
        <w:spacing w:line="314" w:lineRule="auto"/>
        <w:rPr/>
      </w:pPr>
      <w:r/>
    </w:p>
    <w:p>
      <w:pPr>
        <w:ind w:firstLine="480"/>
        <w:spacing w:before="75" w:line="289" w:lineRule="auto"/>
        <w:jc w:val="both"/>
        <w:rPr>
          <w:rFonts w:ascii="SimSun" w:hAnsi="SimSun" w:eastAsia="SimSun" w:cs="SimSun"/>
          <w:sz w:val="23"/>
          <w:szCs w:val="23"/>
        </w:rPr>
      </w:pPr>
      <w:r>
        <w:rPr>
          <w:rFonts w:ascii="SimSun" w:hAnsi="SimSun" w:eastAsia="SimSun" w:cs="SimSun"/>
          <w:sz w:val="23"/>
          <w:szCs w:val="23"/>
          <w:spacing w:val="12"/>
        </w:rPr>
        <w:t>应用领域的差异决定了数据结构、监管口径、会</w:t>
      </w:r>
      <w:r>
        <w:rPr>
          <w:rFonts w:ascii="SimSun" w:hAnsi="SimSun" w:eastAsia="SimSun" w:cs="SimSun"/>
          <w:sz w:val="23"/>
          <w:szCs w:val="23"/>
          <w:spacing w:val="11"/>
        </w:rPr>
        <w:t>计计量与风险偏好存在显著差别，</w:t>
      </w:r>
      <w:r>
        <w:rPr>
          <w:rFonts w:ascii="SimSun" w:hAnsi="SimSun" w:eastAsia="SimSun" w:cs="SimSun"/>
          <w:sz w:val="23"/>
          <w:szCs w:val="23"/>
          <w:spacing w:val="8"/>
        </w:rPr>
        <w:t>但精算分析的基本范式保持一致，即以数据为基础、以假设为纽带、以模型为载体、以</w:t>
      </w:r>
      <w:r>
        <w:rPr>
          <w:rFonts w:ascii="SimSun" w:hAnsi="SimSun" w:eastAsia="SimSun" w:cs="SimSun"/>
          <w:sz w:val="23"/>
          <w:szCs w:val="23"/>
          <w:spacing w:val="8"/>
        </w:rPr>
        <w:t>现金流为核心对象，并通过情景与敏感性分析对</w:t>
      </w:r>
      <w:r>
        <w:rPr>
          <w:rFonts w:ascii="SimSun" w:hAnsi="SimSun" w:eastAsia="SimSun" w:cs="SimSun"/>
          <w:sz w:val="23"/>
          <w:szCs w:val="23"/>
          <w:spacing w:val="7"/>
        </w:rPr>
        <w:t>不确定性进行结构化表达。</w:t>
      </w:r>
    </w:p>
    <w:p>
      <w:pPr>
        <w:pStyle w:val="BodyText"/>
        <w:spacing w:line="252" w:lineRule="auto"/>
        <w:rPr/>
      </w:pPr>
      <w:r/>
    </w:p>
    <w:p>
      <w:pPr>
        <w:ind w:left="2" w:right="114" w:firstLine="6"/>
        <w:spacing w:before="75" w:line="289" w:lineRule="auto"/>
        <w:jc w:val="both"/>
        <w:rPr>
          <w:rFonts w:ascii="SimSun" w:hAnsi="SimSun" w:eastAsia="SimSun" w:cs="SimSun"/>
          <w:sz w:val="23"/>
          <w:szCs w:val="23"/>
        </w:rPr>
      </w:pPr>
      <w:r>
        <w:rPr>
          <w:rFonts w:ascii="SimHei" w:hAnsi="SimHei" w:eastAsia="SimHei" w:cs="SimHei"/>
          <w:sz w:val="23"/>
          <w:szCs w:val="23"/>
          <w:spacing w:val="8"/>
        </w:rPr>
        <w:t>学习提示</w:t>
      </w:r>
      <w:r>
        <w:rPr>
          <w:rFonts w:ascii="SimHei" w:hAnsi="SimHei" w:eastAsia="SimHei" w:cs="SimHei"/>
          <w:sz w:val="23"/>
          <w:szCs w:val="23"/>
          <w:spacing w:val="8"/>
        </w:rPr>
        <w:t xml:space="preserve">  </w:t>
      </w:r>
      <w:r>
        <w:rPr>
          <w:rFonts w:ascii="SimSun" w:hAnsi="SimSun" w:eastAsia="SimSun" w:cs="SimSun"/>
          <w:sz w:val="23"/>
          <w:szCs w:val="23"/>
          <w:spacing w:val="8"/>
        </w:rPr>
        <w:t>精算学的核心价值在于将不确定性转化为可管理的风险。应用场景的拓展本</w:t>
      </w:r>
      <w:r>
        <w:rPr>
          <w:rFonts w:ascii="SimSun" w:hAnsi="SimSun" w:eastAsia="SimSun" w:cs="SimSun"/>
          <w:sz w:val="23"/>
          <w:szCs w:val="23"/>
          <w:spacing w:val="8"/>
        </w:rPr>
        <w:t>质上是对“不确定性事件与财务影响”这一核心逻辑的延伸。学习时宜持续以该逻辑为</w:t>
      </w:r>
      <w:r>
        <w:rPr>
          <w:rFonts w:ascii="SimSun" w:hAnsi="SimSun" w:eastAsia="SimSun" w:cs="SimSun"/>
          <w:sz w:val="23"/>
          <w:szCs w:val="23"/>
          <w:spacing w:val="3"/>
        </w:rPr>
        <w:t>主线，识别不同领域在数据结构、计量口径与风险约束方面的差异，</w:t>
      </w:r>
      <w:r>
        <w:rPr>
          <w:rFonts w:ascii="SimSun" w:hAnsi="SimSun" w:eastAsia="SimSun" w:cs="SimSun"/>
          <w:sz w:val="23"/>
          <w:szCs w:val="23"/>
          <w:spacing w:val="90"/>
        </w:rPr>
        <w:t xml:space="preserve"> </w:t>
      </w:r>
      <w:r>
        <w:rPr>
          <w:rFonts w:ascii="SimSun" w:hAnsi="SimSun" w:eastAsia="SimSun" w:cs="SimSun"/>
          <w:sz w:val="23"/>
          <w:szCs w:val="23"/>
          <w:spacing w:val="3"/>
        </w:rPr>
        <w:t>同时把握精算方法</w:t>
      </w:r>
      <w:r>
        <w:rPr>
          <w:rFonts w:ascii="SimSun" w:hAnsi="SimSun" w:eastAsia="SimSun" w:cs="SimSun"/>
          <w:sz w:val="23"/>
          <w:szCs w:val="23"/>
          <w:spacing w:val="-1"/>
        </w:rPr>
        <w:t>的一致性。</w:t>
      </w:r>
    </w:p>
    <w:p>
      <w:pPr>
        <w:pStyle w:val="BodyText"/>
        <w:spacing w:line="340" w:lineRule="auto"/>
        <w:rPr/>
      </w:pPr>
      <w:r/>
    </w:p>
    <w:p>
      <w:pPr>
        <w:ind w:left="22"/>
        <w:spacing w:before="110" w:line="223" w:lineRule="auto"/>
        <w:outlineLvl w:val="1"/>
        <w:rPr>
          <w:rFonts w:ascii="SimHei" w:hAnsi="SimHei" w:eastAsia="SimHei" w:cs="SimHei"/>
          <w:sz w:val="34"/>
          <w:szCs w:val="34"/>
        </w:rPr>
      </w:pPr>
      <w:bookmarkStart w:name="bookmark7" w:id="10"/>
      <w:bookmarkEnd w:id="10"/>
      <w:bookmarkStart w:name="bookmark8" w:id="11"/>
      <w:bookmarkEnd w:id="11"/>
      <w:r>
        <w:rPr>
          <w:rFonts w:ascii="Times New Roman" w:hAnsi="Times New Roman" w:eastAsia="Times New Roman" w:cs="Times New Roman"/>
          <w:sz w:val="34"/>
          <w:szCs w:val="34"/>
          <w:b/>
          <w:bCs/>
          <w:spacing w:val="5"/>
        </w:rPr>
        <w:t>1.2    </w:t>
      </w:r>
      <w:r>
        <w:rPr>
          <w:rFonts w:ascii="SimHei" w:hAnsi="SimHei" w:eastAsia="SimHei" w:cs="SimHei"/>
          <w:sz w:val="34"/>
          <w:szCs w:val="34"/>
          <w:spacing w:val="5"/>
        </w:rPr>
        <w:t>精算师的职业定位与职责</w:t>
      </w:r>
    </w:p>
    <w:p>
      <w:pPr>
        <w:pStyle w:val="BodyText"/>
        <w:spacing w:line="277" w:lineRule="auto"/>
        <w:rPr/>
      </w:pPr>
      <w:r/>
    </w:p>
    <w:p>
      <w:pPr>
        <w:ind w:left="17"/>
        <w:spacing w:before="92" w:line="226" w:lineRule="auto"/>
        <w:outlineLvl w:val="2"/>
        <w:rPr>
          <w:rFonts w:ascii="SimHei" w:hAnsi="SimHei" w:eastAsia="SimHei" w:cs="SimHei"/>
          <w:sz w:val="28"/>
          <w:szCs w:val="28"/>
        </w:rPr>
      </w:pPr>
      <w:bookmarkStart w:name="bookmark50" w:id="12"/>
      <w:bookmarkEnd w:id="12"/>
      <w:r>
        <w:rPr>
          <w:rFonts w:ascii="Times New Roman" w:hAnsi="Times New Roman" w:eastAsia="Times New Roman" w:cs="Times New Roman"/>
          <w:sz w:val="28"/>
          <w:szCs w:val="28"/>
          <w:b/>
          <w:bCs/>
          <w:spacing w:val="8"/>
        </w:rPr>
        <w:t>1.2.1    </w:t>
      </w:r>
      <w:r>
        <w:rPr>
          <w:rFonts w:ascii="SimHei" w:hAnsi="SimHei" w:eastAsia="SimHei" w:cs="SimHei"/>
          <w:sz w:val="28"/>
          <w:szCs w:val="28"/>
          <w:spacing w:val="8"/>
        </w:rPr>
        <w:t>精算师的职业资格要求与能</w:t>
      </w:r>
      <w:r>
        <w:rPr>
          <w:rFonts w:ascii="SimHei" w:hAnsi="SimHei" w:eastAsia="SimHei" w:cs="SimHei"/>
          <w:sz w:val="28"/>
          <w:szCs w:val="28"/>
          <w:spacing w:val="7"/>
        </w:rPr>
        <w:t>力结构</w:t>
      </w:r>
    </w:p>
    <w:p>
      <w:pPr>
        <w:ind w:firstLine="479"/>
        <w:spacing w:before="210" w:line="289" w:lineRule="auto"/>
        <w:jc w:val="both"/>
        <w:rPr>
          <w:rFonts w:ascii="SimSun" w:hAnsi="SimSun" w:eastAsia="SimSun" w:cs="SimSun"/>
          <w:sz w:val="23"/>
          <w:szCs w:val="23"/>
        </w:rPr>
      </w:pPr>
      <w:r>
        <w:rPr>
          <w:rFonts w:ascii="SimSun" w:hAnsi="SimSun" w:eastAsia="SimSun" w:cs="SimSun"/>
          <w:sz w:val="23"/>
          <w:szCs w:val="23"/>
          <w:spacing w:val="8"/>
        </w:rPr>
        <w:t>精算师是具备专业精算知识与技能、能够为复杂金融风险问题提供解决方案的专业</w:t>
      </w:r>
      <w:r>
        <w:rPr>
          <w:rFonts w:ascii="SimSun" w:hAnsi="SimSun" w:eastAsia="SimSun" w:cs="SimSun"/>
          <w:sz w:val="23"/>
          <w:szCs w:val="23"/>
          <w:spacing w:val="11"/>
        </w:rPr>
        <w:t>人才。职业资格要求通常从基本素养、专业能力与职业等级三方面展开。为便于理解，</w:t>
      </w:r>
      <w:r>
        <w:rPr>
          <w:rFonts w:ascii="SimSun" w:hAnsi="SimSun" w:eastAsia="SimSun" w:cs="SimSun"/>
          <w:sz w:val="23"/>
          <w:szCs w:val="23"/>
          <w:spacing w:val="4"/>
        </w:rPr>
        <w:t>表</w:t>
      </w:r>
      <w:hyperlink w:history="true" w:anchor="bookmark51">
        <w:r>
          <w:rPr>
            <w:rFonts w:ascii="Times New Roman" w:hAnsi="Times New Roman" w:eastAsia="Times New Roman" w:cs="Times New Roman"/>
            <w:sz w:val="23"/>
            <w:szCs w:val="23"/>
            <w:spacing w:val="4"/>
          </w:rPr>
          <w:t>1.4</w:t>
        </w:r>
      </w:hyperlink>
      <w:r>
        <w:rPr>
          <w:rFonts w:ascii="SimSun" w:hAnsi="SimSun" w:eastAsia="SimSun" w:cs="SimSun"/>
          <w:sz w:val="23"/>
          <w:szCs w:val="23"/>
          <w:spacing w:val="4"/>
        </w:rPr>
        <w:t>对相关要求作归纳。</w:t>
      </w:r>
    </w:p>
    <w:p>
      <w:pPr>
        <w:spacing w:line="289" w:lineRule="auto"/>
        <w:sectPr>
          <w:footerReference w:type="default" r:id="rId8"/>
          <w:pgSz w:w="11906" w:h="16838"/>
          <w:pgMar w:top="400" w:right="1302" w:bottom="983" w:left="1424" w:header="0" w:footer="769" w:gutter="0"/>
        </w:sectPr>
        <w:rPr>
          <w:rFonts w:ascii="SimSun" w:hAnsi="SimSun" w:eastAsia="SimSun" w:cs="SimSun"/>
          <w:sz w:val="23"/>
          <w:szCs w:val="23"/>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3031"/>
        <w:spacing w:before="74" w:line="226" w:lineRule="auto"/>
        <w:rPr>
          <w:rFonts w:ascii="SimSun" w:hAnsi="SimSun" w:eastAsia="SimSun" w:cs="SimSun"/>
          <w:sz w:val="23"/>
          <w:szCs w:val="23"/>
        </w:rPr>
      </w:pPr>
      <w:bookmarkStart w:name="bookmark51" w:id="13"/>
      <w:bookmarkEnd w:id="13"/>
      <w:r>
        <w:rPr>
          <w:rFonts w:ascii="SimSun" w:hAnsi="SimSun" w:eastAsia="SimSun" w:cs="SimSun"/>
          <w:sz w:val="23"/>
          <w:szCs w:val="23"/>
          <w:spacing w:val="3"/>
        </w:rPr>
        <w:t>表 </w:t>
      </w:r>
      <w:r>
        <w:rPr>
          <w:rFonts w:ascii="Times New Roman" w:hAnsi="Times New Roman" w:eastAsia="Times New Roman" w:cs="Times New Roman"/>
          <w:sz w:val="23"/>
          <w:szCs w:val="23"/>
          <w:spacing w:val="3"/>
        </w:rPr>
        <w:t>1.4:</w:t>
      </w:r>
      <w:r>
        <w:rPr>
          <w:rFonts w:ascii="Times New Roman" w:hAnsi="Times New Roman" w:eastAsia="Times New Roman" w:cs="Times New Roman"/>
          <w:sz w:val="23"/>
          <w:szCs w:val="23"/>
          <w:spacing w:val="59"/>
        </w:rPr>
        <w:t xml:space="preserve"> </w:t>
      </w:r>
      <w:r>
        <w:rPr>
          <w:rFonts w:ascii="SimSun" w:hAnsi="SimSun" w:eastAsia="SimSun" w:cs="SimSun"/>
          <w:sz w:val="23"/>
          <w:szCs w:val="23"/>
          <w:spacing w:val="3"/>
        </w:rPr>
        <w:t>精算师职业资格要求</w:t>
      </w:r>
    </w:p>
    <w:p>
      <w:pPr>
        <w:spacing w:line="209" w:lineRule="exact"/>
        <w:rPr/>
      </w:pPr>
      <w:r/>
    </w:p>
    <w:tbl>
      <w:tblPr>
        <w:tblStyle w:val="TableNormal"/>
        <w:tblW w:w="9004" w:type="dxa"/>
        <w:tblInd w:w="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32"/>
        <w:gridCol w:w="7472"/>
      </w:tblGrid>
      <w:tr>
        <w:trPr>
          <w:trHeight w:val="475" w:hRule="atLeast"/>
        </w:trPr>
        <w:tc>
          <w:tcPr>
            <w:tcW w:w="1532" w:type="dxa"/>
            <w:vAlign w:val="top"/>
            <w:tcBorders>
              <w:bottom w:val="single" w:color="000000" w:sz="4" w:space="0"/>
              <w:top w:val="single" w:color="000000" w:sz="6" w:space="0"/>
            </w:tcBorders>
          </w:tcPr>
          <w:p>
            <w:pPr>
              <w:pStyle w:val="TableText"/>
              <w:ind w:left="132"/>
              <w:spacing w:before="116" w:line="228" w:lineRule="auto"/>
              <w:rPr/>
            </w:pPr>
            <w:r>
              <w:rPr>
                <w:spacing w:val="2"/>
              </w:rPr>
              <w:t>维度</w:t>
            </w:r>
          </w:p>
        </w:tc>
        <w:tc>
          <w:tcPr>
            <w:tcW w:w="7472" w:type="dxa"/>
            <w:vAlign w:val="top"/>
            <w:tcBorders>
              <w:bottom w:val="single" w:color="000000" w:sz="4" w:space="0"/>
              <w:top w:val="single" w:color="000000" w:sz="6" w:space="0"/>
            </w:tcBorders>
          </w:tcPr>
          <w:p>
            <w:pPr>
              <w:pStyle w:val="TableText"/>
              <w:ind w:left="469"/>
              <w:spacing w:before="116" w:line="227" w:lineRule="auto"/>
              <w:rPr/>
            </w:pPr>
            <w:r>
              <w:rPr>
                <w:spacing w:val="6"/>
              </w:rPr>
              <w:t>要点说明</w:t>
            </w:r>
          </w:p>
        </w:tc>
      </w:tr>
      <w:tr>
        <w:trPr>
          <w:trHeight w:val="1118" w:hRule="atLeast"/>
        </w:trPr>
        <w:tc>
          <w:tcPr>
            <w:tcW w:w="1532" w:type="dxa"/>
            <w:vAlign w:val="top"/>
            <w:tcBorders>
              <w:top w:val="single" w:color="000000" w:sz="4" w:space="0"/>
            </w:tcBorders>
          </w:tcPr>
          <w:p>
            <w:pPr>
              <w:pStyle w:val="TableText"/>
              <w:ind w:left="128"/>
              <w:spacing w:before="110" w:line="226" w:lineRule="auto"/>
              <w:rPr/>
            </w:pPr>
            <w:r>
              <w:rPr>
                <w:spacing w:val="6"/>
              </w:rPr>
              <w:t>基本素养</w:t>
            </w:r>
          </w:p>
        </w:tc>
        <w:tc>
          <w:tcPr>
            <w:tcW w:w="7472" w:type="dxa"/>
            <w:vAlign w:val="top"/>
            <w:tcBorders>
              <w:top w:val="single" w:color="000000" w:sz="4" w:space="0"/>
            </w:tcBorders>
          </w:tcPr>
          <w:p>
            <w:pPr>
              <w:pStyle w:val="TableText"/>
              <w:ind w:left="467" w:right="118"/>
              <w:spacing w:before="110" w:line="267" w:lineRule="auto"/>
              <w:jc w:val="both"/>
              <w:rPr/>
            </w:pPr>
            <w:r>
              <w:rPr>
                <w:spacing w:val="3"/>
              </w:rPr>
              <w:t>遵守国家法律法规并维护公共利益， 具备良好的职业道德与客观审</w:t>
            </w:r>
            <w:r>
              <w:rPr>
                <w:spacing w:val="6"/>
              </w:rPr>
              <w:t>慎的专业判断能力，</w:t>
            </w:r>
            <w:r>
              <w:rPr>
                <w:spacing w:val="-67"/>
              </w:rPr>
              <w:t xml:space="preserve"> </w:t>
            </w:r>
            <w:r>
              <w:rPr>
                <w:spacing w:val="6"/>
              </w:rPr>
              <w:t>具备持续学习能力以适应行</w:t>
            </w:r>
            <w:r>
              <w:rPr>
                <w:spacing w:val="5"/>
              </w:rPr>
              <w:t>业发展与监管政策</w:t>
            </w:r>
            <w:r>
              <w:rPr>
                <w:spacing w:val="1"/>
              </w:rPr>
              <w:t>的动态调整。</w:t>
            </w:r>
          </w:p>
        </w:tc>
      </w:tr>
      <w:tr>
        <w:trPr>
          <w:trHeight w:val="1430" w:hRule="atLeast"/>
        </w:trPr>
        <w:tc>
          <w:tcPr>
            <w:tcW w:w="1532" w:type="dxa"/>
            <w:vAlign w:val="top"/>
          </w:tcPr>
          <w:p>
            <w:pPr>
              <w:pStyle w:val="TableText"/>
              <w:ind w:left="129"/>
              <w:spacing w:before="67" w:line="227" w:lineRule="auto"/>
              <w:rPr/>
            </w:pPr>
            <w:r>
              <w:rPr>
                <w:spacing w:val="6"/>
              </w:rPr>
              <w:t>专业能力</w:t>
            </w:r>
          </w:p>
        </w:tc>
        <w:tc>
          <w:tcPr>
            <w:tcW w:w="7472" w:type="dxa"/>
            <w:vAlign w:val="top"/>
          </w:tcPr>
          <w:p>
            <w:pPr>
              <w:pStyle w:val="TableText"/>
              <w:ind w:left="467" w:right="118" w:firstLine="5"/>
              <w:spacing w:before="69" w:line="271" w:lineRule="auto"/>
              <w:jc w:val="both"/>
              <w:rPr/>
            </w:pPr>
            <w:r>
              <w:rPr>
                <w:spacing w:val="14"/>
              </w:rPr>
              <w:t>熟悉并掌握精算服务相关法律法规与精算准则，</w:t>
            </w:r>
            <w:r>
              <w:rPr>
                <w:spacing w:val="-67"/>
              </w:rPr>
              <w:t xml:space="preserve"> </w:t>
            </w:r>
            <w:r>
              <w:rPr>
                <w:spacing w:val="14"/>
              </w:rPr>
              <w:t>系统掌握精</w:t>
            </w:r>
            <w:r>
              <w:rPr>
                <w:spacing w:val="13"/>
              </w:rPr>
              <w:t>算数</w:t>
            </w:r>
            <w:r>
              <w:rPr>
                <w:spacing w:val="7"/>
              </w:rPr>
              <w:t>学、精算模型、数据分析、风险管理、费率厘定与准备金评估等技</w:t>
            </w:r>
            <w:r>
              <w:rPr>
                <w:spacing w:val="3"/>
              </w:rPr>
              <w:t>术方法，能够在合规约束下完成精算实务工作， 并具备良好的沟通</w:t>
            </w:r>
            <w:r>
              <w:rPr>
                <w:spacing w:val="7"/>
              </w:rPr>
              <w:t>表达能力，将复杂技术结论转化为可理解的决策信息。</w:t>
            </w:r>
          </w:p>
        </w:tc>
      </w:tr>
      <w:tr>
        <w:trPr>
          <w:trHeight w:val="1506" w:hRule="atLeast"/>
        </w:trPr>
        <w:tc>
          <w:tcPr>
            <w:tcW w:w="1532" w:type="dxa"/>
            <w:vAlign w:val="top"/>
            <w:tcBorders>
              <w:bottom w:val="single" w:color="000000" w:sz="6" w:space="0"/>
            </w:tcBorders>
          </w:tcPr>
          <w:p>
            <w:pPr>
              <w:pStyle w:val="TableText"/>
              <w:ind w:left="129"/>
              <w:spacing w:before="71" w:line="227" w:lineRule="auto"/>
              <w:rPr/>
            </w:pPr>
            <w:r>
              <w:rPr>
                <w:spacing w:val="6"/>
              </w:rPr>
              <w:t>职业等级</w:t>
            </w:r>
          </w:p>
        </w:tc>
        <w:tc>
          <w:tcPr>
            <w:tcW w:w="7472" w:type="dxa"/>
            <w:vAlign w:val="top"/>
            <w:tcBorders>
              <w:bottom w:val="single" w:color="000000" w:sz="6" w:space="0"/>
            </w:tcBorders>
          </w:tcPr>
          <w:p>
            <w:pPr>
              <w:pStyle w:val="TableText"/>
              <w:ind w:left="467" w:right="118"/>
              <w:spacing w:before="70" w:line="286" w:lineRule="auto"/>
              <w:jc w:val="both"/>
              <w:rPr/>
            </w:pPr>
            <w:r>
              <w:rPr>
                <w:spacing w:val="7"/>
              </w:rPr>
              <w:t>通常形成由基础能力到独立胜任的递进路径。准精算师具备基础专</w:t>
            </w:r>
            <w:r>
              <w:rPr>
                <w:spacing w:val="3"/>
              </w:rPr>
              <w:t>业能力，可在指导下从事辅助性工作； 正精算师具备独立从事精算</w:t>
            </w:r>
            <w:r>
              <w:rPr>
                <w:spacing w:val="7"/>
              </w:rPr>
              <w:t>实务的能力，可承担关键岗位职责并对专业结论承担更高层级的责</w:t>
            </w:r>
            <w:r>
              <w:rPr>
                <w:spacing w:val="-8"/>
              </w:rPr>
              <w:t>任。</w:t>
            </w:r>
          </w:p>
        </w:tc>
      </w:tr>
    </w:tbl>
    <w:p>
      <w:pPr>
        <w:pStyle w:val="BodyText"/>
        <w:spacing w:line="317" w:lineRule="auto"/>
        <w:rPr/>
      </w:pPr>
      <w:r/>
    </w:p>
    <w:p>
      <w:pPr>
        <w:ind w:left="5" w:right="114" w:firstLine="478"/>
        <w:spacing w:before="75" w:line="288" w:lineRule="auto"/>
        <w:jc w:val="both"/>
        <w:rPr>
          <w:rFonts w:ascii="SimSun" w:hAnsi="SimSun" w:eastAsia="SimSun" w:cs="SimSun"/>
          <w:sz w:val="23"/>
          <w:szCs w:val="23"/>
        </w:rPr>
      </w:pPr>
      <w:r>
        <w:rPr>
          <w:rFonts w:ascii="SimSun" w:hAnsi="SimSun" w:eastAsia="SimSun" w:cs="SimSun"/>
          <w:sz w:val="23"/>
          <w:szCs w:val="23"/>
          <w:spacing w:val="8"/>
        </w:rPr>
        <w:t>精算师能力结构可概括为知识、经验与道德的统一。知识维度包括数学统计、金融</w:t>
      </w:r>
      <w:r>
        <w:rPr>
          <w:rFonts w:ascii="SimSun" w:hAnsi="SimSun" w:eastAsia="SimSun" w:cs="SimSun"/>
          <w:sz w:val="23"/>
          <w:szCs w:val="23"/>
          <w:spacing w:val="-1"/>
        </w:rPr>
        <w:t>经济、精算专业与计算技术； 经验维度强调对产品开发、销售、核保、理赔、投资与财务</w:t>
      </w:r>
      <w:r>
        <w:rPr>
          <w:rFonts w:ascii="SimSun" w:hAnsi="SimSun" w:eastAsia="SimSun" w:cs="SimSun"/>
          <w:sz w:val="23"/>
          <w:szCs w:val="23"/>
          <w:spacing w:val="2"/>
        </w:rPr>
        <w:t>运作的理解，</w:t>
      </w:r>
      <w:r>
        <w:rPr>
          <w:rFonts w:ascii="SimSun" w:hAnsi="SimSun" w:eastAsia="SimSun" w:cs="SimSun"/>
          <w:sz w:val="23"/>
          <w:szCs w:val="23"/>
          <w:spacing w:val="-36"/>
        </w:rPr>
        <w:t xml:space="preserve"> </w:t>
      </w:r>
      <w:r>
        <w:rPr>
          <w:rFonts w:ascii="SimSun" w:hAnsi="SimSun" w:eastAsia="SimSun" w:cs="SimSun"/>
          <w:sz w:val="23"/>
          <w:szCs w:val="23"/>
          <w:spacing w:val="2"/>
        </w:rPr>
        <w:t>以及数据处理、模型构建与风险识别能</w:t>
      </w:r>
      <w:r>
        <w:rPr>
          <w:rFonts w:ascii="SimSun" w:hAnsi="SimSun" w:eastAsia="SimSun" w:cs="SimSun"/>
          <w:sz w:val="23"/>
          <w:szCs w:val="23"/>
          <w:spacing w:val="1"/>
        </w:rPr>
        <w:t>力；</w:t>
      </w:r>
      <w:r>
        <w:rPr>
          <w:rFonts w:ascii="SimSun" w:hAnsi="SimSun" w:eastAsia="SimSun" w:cs="SimSun"/>
          <w:sz w:val="23"/>
          <w:szCs w:val="23"/>
          <w:spacing w:val="65"/>
        </w:rPr>
        <w:t xml:space="preserve"> </w:t>
      </w:r>
      <w:r>
        <w:rPr>
          <w:rFonts w:ascii="SimSun" w:hAnsi="SimSun" w:eastAsia="SimSun" w:cs="SimSun"/>
          <w:sz w:val="23"/>
          <w:szCs w:val="23"/>
          <w:spacing w:val="1"/>
        </w:rPr>
        <w:t>道德维度强调诚信、客观、公</w:t>
      </w:r>
      <w:r>
        <w:rPr>
          <w:rFonts w:ascii="SimSun" w:hAnsi="SimSun" w:eastAsia="SimSun" w:cs="SimSun"/>
          <w:sz w:val="23"/>
          <w:szCs w:val="23"/>
          <w:spacing w:val="1"/>
        </w:rPr>
        <w:t>正、责任与保密。精算师在组织中既承担技术生产职能，</w:t>
      </w:r>
      <w:r>
        <w:rPr>
          <w:rFonts w:ascii="SimSun" w:hAnsi="SimSun" w:eastAsia="SimSun" w:cs="SimSun"/>
          <w:sz w:val="23"/>
          <w:szCs w:val="23"/>
          <w:spacing w:val="84"/>
        </w:rPr>
        <w:t xml:space="preserve"> </w:t>
      </w:r>
      <w:r>
        <w:rPr>
          <w:rFonts w:ascii="SimSun" w:hAnsi="SimSun" w:eastAsia="SimSun" w:cs="SimSun"/>
          <w:sz w:val="23"/>
          <w:szCs w:val="23"/>
          <w:spacing w:val="1"/>
        </w:rPr>
        <w:t>也承担专业治理职能，</w:t>
      </w:r>
      <w:r>
        <w:rPr>
          <w:rFonts w:ascii="SimSun" w:hAnsi="SimSun" w:eastAsia="SimSun" w:cs="SimSun"/>
          <w:sz w:val="23"/>
          <w:szCs w:val="23"/>
          <w:spacing w:val="-32"/>
        </w:rPr>
        <w:t xml:space="preserve"> </w:t>
      </w:r>
      <w:r>
        <w:rPr>
          <w:rFonts w:ascii="SimSun" w:hAnsi="SimSun" w:eastAsia="SimSun" w:cs="SimSun"/>
          <w:sz w:val="23"/>
          <w:szCs w:val="23"/>
          <w:spacing w:val="1"/>
        </w:rPr>
        <w:t>其判断</w:t>
      </w:r>
      <w:r>
        <w:rPr>
          <w:rFonts w:ascii="SimSun" w:hAnsi="SimSun" w:eastAsia="SimSun" w:cs="SimSun"/>
          <w:sz w:val="23"/>
          <w:szCs w:val="23"/>
          <w:spacing w:val="7"/>
        </w:rPr>
        <w:t>应建立在数据与事实之上，并接受监管、审计与专业复核。</w:t>
      </w:r>
    </w:p>
    <w:p>
      <w:pPr>
        <w:pStyle w:val="BodyText"/>
        <w:spacing w:line="284" w:lineRule="auto"/>
        <w:rPr/>
      </w:pPr>
      <w:r/>
    </w:p>
    <w:p>
      <w:pPr>
        <w:ind w:left="20"/>
        <w:spacing w:before="92" w:line="225" w:lineRule="auto"/>
        <w:outlineLvl w:val="2"/>
        <w:rPr>
          <w:rFonts w:ascii="SimHei" w:hAnsi="SimHei" w:eastAsia="SimHei" w:cs="SimHei"/>
          <w:sz w:val="28"/>
          <w:szCs w:val="28"/>
        </w:rPr>
      </w:pPr>
      <w:bookmarkStart w:name="bookmark9" w:id="14"/>
      <w:bookmarkEnd w:id="14"/>
      <w:r>
        <w:rPr>
          <w:rFonts w:ascii="Times New Roman" w:hAnsi="Times New Roman" w:eastAsia="Times New Roman" w:cs="Times New Roman"/>
          <w:sz w:val="28"/>
          <w:szCs w:val="28"/>
          <w:b/>
          <w:bCs/>
          <w:spacing w:val="8"/>
        </w:rPr>
        <w:t>1.2.2    </w:t>
      </w:r>
      <w:r>
        <w:rPr>
          <w:rFonts w:ascii="SimHei" w:hAnsi="SimHei" w:eastAsia="SimHei" w:cs="SimHei"/>
          <w:sz w:val="28"/>
          <w:szCs w:val="28"/>
          <w:spacing w:val="8"/>
        </w:rPr>
        <w:t>总精算师的核心职责</w:t>
      </w:r>
    </w:p>
    <w:p>
      <w:pPr>
        <w:ind w:left="5" w:firstLine="484"/>
        <w:spacing w:before="209" w:line="289" w:lineRule="auto"/>
        <w:jc w:val="both"/>
        <w:rPr>
          <w:rFonts w:ascii="SimSun" w:hAnsi="SimSun" w:eastAsia="SimSun" w:cs="SimSun"/>
          <w:sz w:val="23"/>
          <w:szCs w:val="23"/>
        </w:rPr>
      </w:pPr>
      <w:r>
        <w:rPr>
          <w:rFonts w:ascii="SimSun" w:hAnsi="SimSun" w:eastAsia="SimSun" w:cs="SimSun"/>
          <w:sz w:val="23"/>
          <w:szCs w:val="23"/>
          <w:spacing w:val="11"/>
        </w:rPr>
        <w:t>总精算师是保险公司精算工作的最高负责人之一，其职责覆盖产品、负债、资本、</w:t>
      </w:r>
      <w:r>
        <w:rPr>
          <w:rFonts w:ascii="SimSun" w:hAnsi="SimSun" w:eastAsia="SimSun" w:cs="SimSun"/>
          <w:sz w:val="23"/>
          <w:szCs w:val="23"/>
          <w:spacing w:val="8"/>
        </w:rPr>
        <w:t>信息披露与风险治理等关键环节。总精算师的职责体现了精算工作面向多元利益相关方</w:t>
      </w:r>
      <w:r>
        <w:rPr>
          <w:rFonts w:ascii="SimSun" w:hAnsi="SimSun" w:eastAsia="SimSun" w:cs="SimSun"/>
          <w:sz w:val="23"/>
          <w:szCs w:val="23"/>
          <w:spacing w:val="7"/>
        </w:rPr>
        <w:t>的属性，包括监管者、公司经营管理层、股东、消费</w:t>
      </w:r>
      <w:r>
        <w:rPr>
          <w:rFonts w:ascii="SimSun" w:hAnsi="SimSun" w:eastAsia="SimSun" w:cs="SimSun"/>
          <w:sz w:val="23"/>
          <w:szCs w:val="23"/>
          <w:spacing w:val="6"/>
        </w:rPr>
        <w:t>者与销售渠道等。表</w:t>
      </w:r>
      <w:hyperlink w:history="true" w:anchor="bookmark52">
        <w:r>
          <w:rPr>
            <w:rFonts w:ascii="Times New Roman" w:hAnsi="Times New Roman" w:eastAsia="Times New Roman" w:cs="Times New Roman"/>
            <w:sz w:val="23"/>
            <w:szCs w:val="23"/>
            <w:spacing w:val="6"/>
          </w:rPr>
          <w:t>1.5</w:t>
        </w:r>
      </w:hyperlink>
      <w:r>
        <w:rPr>
          <w:rFonts w:ascii="SimSun" w:hAnsi="SimSun" w:eastAsia="SimSun" w:cs="SimSun"/>
          <w:sz w:val="23"/>
          <w:szCs w:val="23"/>
          <w:spacing w:val="6"/>
        </w:rPr>
        <w:t>对总精算师</w:t>
      </w:r>
      <w:r>
        <w:rPr>
          <w:rFonts w:ascii="SimSun" w:hAnsi="SimSun" w:eastAsia="SimSun" w:cs="SimSun"/>
          <w:sz w:val="23"/>
          <w:szCs w:val="23"/>
          <w:spacing w:val="7"/>
        </w:rPr>
        <w:t>典型职责进行归纳，</w:t>
      </w:r>
      <w:r>
        <w:rPr>
          <w:rFonts w:ascii="SimSun" w:hAnsi="SimSun" w:eastAsia="SimSun" w:cs="SimSun"/>
          <w:sz w:val="23"/>
          <w:szCs w:val="23"/>
          <w:spacing w:val="-47"/>
        </w:rPr>
        <w:t xml:space="preserve"> </w:t>
      </w:r>
      <w:r>
        <w:rPr>
          <w:rFonts w:ascii="SimSun" w:hAnsi="SimSun" w:eastAsia="SimSun" w:cs="SimSun"/>
          <w:sz w:val="23"/>
          <w:szCs w:val="23"/>
          <w:spacing w:val="7"/>
        </w:rPr>
        <w:t>其中责任对象体现了精算结论在公</w:t>
      </w:r>
      <w:r>
        <w:rPr>
          <w:rFonts w:ascii="SimSun" w:hAnsi="SimSun" w:eastAsia="SimSun" w:cs="SimSun"/>
          <w:sz w:val="23"/>
          <w:szCs w:val="23"/>
          <w:spacing w:val="6"/>
        </w:rPr>
        <w:t>司治理中的外部约束与内部支撑</w:t>
      </w:r>
      <w:bookmarkStart w:name="bookmark52" w:id="15"/>
      <w:bookmarkEnd w:id="15"/>
      <w:r>
        <w:rPr>
          <w:rFonts w:ascii="SimSun" w:hAnsi="SimSun" w:eastAsia="SimSun" w:cs="SimSun"/>
          <w:sz w:val="23"/>
          <w:szCs w:val="23"/>
          <w:spacing w:val="-5"/>
        </w:rPr>
        <w:t>作用。</w:t>
      </w:r>
    </w:p>
    <w:p>
      <w:pPr>
        <w:ind w:left="2912"/>
        <w:spacing w:before="150" w:line="226" w:lineRule="auto"/>
        <w:rPr>
          <w:rFonts w:ascii="SimSun" w:hAnsi="SimSun" w:eastAsia="SimSun" w:cs="SimSun"/>
          <w:sz w:val="23"/>
          <w:szCs w:val="23"/>
        </w:rPr>
      </w:pPr>
      <w:r>
        <w:rPr>
          <w:rFonts w:ascii="SimSun" w:hAnsi="SimSun" w:eastAsia="SimSun" w:cs="SimSun"/>
          <w:sz w:val="23"/>
          <w:szCs w:val="23"/>
          <w:spacing w:val="3"/>
        </w:rPr>
        <w:t>表 </w:t>
      </w:r>
      <w:r>
        <w:rPr>
          <w:rFonts w:ascii="Times New Roman" w:hAnsi="Times New Roman" w:eastAsia="Times New Roman" w:cs="Times New Roman"/>
          <w:sz w:val="23"/>
          <w:szCs w:val="23"/>
          <w:spacing w:val="3"/>
        </w:rPr>
        <w:t>1.5:  </w:t>
      </w:r>
      <w:r>
        <w:rPr>
          <w:rFonts w:ascii="SimSun" w:hAnsi="SimSun" w:eastAsia="SimSun" w:cs="SimSun"/>
          <w:sz w:val="23"/>
          <w:szCs w:val="23"/>
          <w:spacing w:val="3"/>
        </w:rPr>
        <w:t>总精算师核心职责概览</w:t>
      </w:r>
    </w:p>
    <w:p>
      <w:pPr>
        <w:spacing w:line="210" w:lineRule="exact"/>
        <w:rPr/>
      </w:pPr>
      <w:r/>
    </w:p>
    <w:tbl>
      <w:tblPr>
        <w:tblStyle w:val="TableNormal"/>
        <w:tblW w:w="906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7"/>
        <w:gridCol w:w="6079"/>
        <w:gridCol w:w="2236"/>
      </w:tblGrid>
      <w:tr>
        <w:trPr>
          <w:trHeight w:val="475" w:hRule="atLeast"/>
        </w:trPr>
        <w:tc>
          <w:tcPr>
            <w:tcW w:w="747" w:type="dxa"/>
            <w:vAlign w:val="top"/>
            <w:tcBorders>
              <w:bottom w:val="single" w:color="000000" w:sz="4" w:space="0"/>
              <w:top w:val="single" w:color="000000" w:sz="6" w:space="0"/>
            </w:tcBorders>
          </w:tcPr>
          <w:p>
            <w:pPr>
              <w:pStyle w:val="TableText"/>
              <w:ind w:left="127"/>
              <w:spacing w:before="117" w:line="228" w:lineRule="auto"/>
              <w:rPr/>
            </w:pPr>
            <w:r>
              <w:rPr>
                <w:spacing w:val="4"/>
              </w:rPr>
              <w:t>序号</w:t>
            </w:r>
          </w:p>
        </w:tc>
        <w:tc>
          <w:tcPr>
            <w:tcW w:w="6079" w:type="dxa"/>
            <w:vAlign w:val="top"/>
            <w:tcBorders>
              <w:bottom w:val="single" w:color="000000" w:sz="4" w:space="0"/>
              <w:top w:val="single" w:color="000000" w:sz="6" w:space="0"/>
            </w:tcBorders>
          </w:tcPr>
          <w:p>
            <w:pPr>
              <w:pStyle w:val="TableText"/>
              <w:ind w:left="169"/>
              <w:spacing w:before="116" w:line="227" w:lineRule="auto"/>
              <w:rPr/>
            </w:pPr>
            <w:r>
              <w:rPr>
                <w:spacing w:val="6"/>
              </w:rPr>
              <w:t>具体职责内容</w:t>
            </w:r>
          </w:p>
        </w:tc>
        <w:tc>
          <w:tcPr>
            <w:tcW w:w="2236" w:type="dxa"/>
            <w:vAlign w:val="top"/>
            <w:tcBorders>
              <w:bottom w:val="single" w:color="000000" w:sz="4" w:space="0"/>
              <w:top w:val="single" w:color="000000" w:sz="6" w:space="0"/>
            </w:tcBorders>
          </w:tcPr>
          <w:p>
            <w:pPr>
              <w:pStyle w:val="TableText"/>
              <w:ind w:left="133"/>
              <w:spacing w:before="116" w:line="227" w:lineRule="auto"/>
              <w:rPr/>
            </w:pPr>
            <w:r>
              <w:rPr>
                <w:spacing w:val="7"/>
              </w:rPr>
              <w:t>核心关切对象</w:t>
            </w:r>
          </w:p>
        </w:tc>
      </w:tr>
      <w:tr>
        <w:trPr>
          <w:trHeight w:val="761" w:hRule="atLeast"/>
        </w:trPr>
        <w:tc>
          <w:tcPr>
            <w:tcW w:w="747" w:type="dxa"/>
            <w:vAlign w:val="top"/>
            <w:tcBorders>
              <w:top w:val="single" w:color="000000" w:sz="4" w:space="0"/>
            </w:tcBorders>
          </w:tcPr>
          <w:p>
            <w:pPr>
              <w:ind w:left="141"/>
              <w:spacing w:before="153"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w:t>
            </w:r>
          </w:p>
        </w:tc>
        <w:tc>
          <w:tcPr>
            <w:tcW w:w="6079" w:type="dxa"/>
            <w:vAlign w:val="top"/>
            <w:tcBorders>
              <w:top w:val="single" w:color="000000" w:sz="4" w:space="0"/>
            </w:tcBorders>
          </w:tcPr>
          <w:p>
            <w:pPr>
              <w:pStyle w:val="TableText"/>
              <w:ind w:left="168" w:right="117"/>
              <w:spacing w:before="110" w:line="257" w:lineRule="auto"/>
              <w:rPr/>
            </w:pPr>
            <w:r>
              <w:rPr>
                <w:spacing w:val="11"/>
              </w:rPr>
              <w:t>分析研究经验数据，参与产品开发策略，拟定费率并审</w:t>
            </w:r>
            <w:r>
              <w:rPr>
                <w:spacing w:val="6"/>
              </w:rPr>
              <w:t>核产品材料</w:t>
            </w:r>
          </w:p>
        </w:tc>
        <w:tc>
          <w:tcPr>
            <w:tcW w:w="2236" w:type="dxa"/>
            <w:vAlign w:val="top"/>
            <w:tcBorders>
              <w:top w:val="single" w:color="000000" w:sz="4" w:space="0"/>
            </w:tcBorders>
          </w:tcPr>
          <w:p>
            <w:pPr>
              <w:pStyle w:val="TableText"/>
              <w:ind w:left="131"/>
              <w:spacing w:before="109" w:line="228" w:lineRule="auto"/>
              <w:rPr/>
            </w:pPr>
            <w:r>
              <w:rPr>
                <w:spacing w:val="7"/>
              </w:rPr>
              <w:t>保险公司、消费者</w:t>
            </w:r>
          </w:p>
        </w:tc>
      </w:tr>
      <w:tr>
        <w:trPr>
          <w:trHeight w:val="357" w:hRule="atLeast"/>
        </w:trPr>
        <w:tc>
          <w:tcPr>
            <w:tcW w:w="747" w:type="dxa"/>
            <w:vAlign w:val="top"/>
          </w:tcPr>
          <w:p>
            <w:pPr>
              <w:ind w:left="131"/>
              <w:spacing w:before="11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2</w:t>
            </w:r>
          </w:p>
        </w:tc>
        <w:tc>
          <w:tcPr>
            <w:tcW w:w="6079" w:type="dxa"/>
            <w:vAlign w:val="top"/>
          </w:tcPr>
          <w:p>
            <w:pPr>
              <w:pStyle w:val="TableText"/>
              <w:ind w:left="174"/>
              <w:spacing w:before="66" w:line="225" w:lineRule="auto"/>
              <w:rPr/>
            </w:pPr>
            <w:r>
              <w:rPr>
                <w:spacing w:val="7"/>
              </w:rPr>
              <w:t>负责或者参与偿付能力管理</w:t>
            </w:r>
          </w:p>
        </w:tc>
        <w:tc>
          <w:tcPr>
            <w:tcW w:w="2236" w:type="dxa"/>
            <w:vAlign w:val="top"/>
          </w:tcPr>
          <w:p>
            <w:pPr>
              <w:pStyle w:val="TableText"/>
              <w:ind w:left="131"/>
              <w:spacing w:before="66" w:line="225" w:lineRule="auto"/>
              <w:rPr/>
            </w:pPr>
            <w:r>
              <w:rPr>
                <w:spacing w:val="7"/>
              </w:rPr>
              <w:t>监管者、保险公司</w:t>
            </w:r>
          </w:p>
        </w:tc>
      </w:tr>
      <w:tr>
        <w:trPr>
          <w:trHeight w:val="714" w:hRule="atLeast"/>
        </w:trPr>
        <w:tc>
          <w:tcPr>
            <w:tcW w:w="747" w:type="dxa"/>
            <w:vAlign w:val="top"/>
          </w:tcPr>
          <w:p>
            <w:pPr>
              <w:ind w:left="129"/>
              <w:spacing w:before="112"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3</w:t>
            </w:r>
          </w:p>
        </w:tc>
        <w:tc>
          <w:tcPr>
            <w:tcW w:w="6079" w:type="dxa"/>
            <w:vAlign w:val="top"/>
          </w:tcPr>
          <w:p>
            <w:pPr>
              <w:pStyle w:val="TableText"/>
              <w:ind w:left="165" w:right="117"/>
              <w:spacing w:before="68" w:line="255" w:lineRule="auto"/>
              <w:rPr/>
            </w:pPr>
            <w:r>
              <w:rPr>
                <w:spacing w:val="11"/>
              </w:rPr>
              <w:t>制定或参与制定再保险制度，审核或参与审核再保险安</w:t>
            </w:r>
            <w:r>
              <w:rPr>
                <w:spacing w:val="5"/>
              </w:rPr>
              <w:t>排计划</w:t>
            </w:r>
          </w:p>
        </w:tc>
        <w:tc>
          <w:tcPr>
            <w:tcW w:w="2236" w:type="dxa"/>
            <w:vAlign w:val="top"/>
          </w:tcPr>
          <w:p>
            <w:pPr>
              <w:pStyle w:val="TableText"/>
              <w:ind w:left="131"/>
              <w:spacing w:before="67" w:line="228" w:lineRule="auto"/>
              <w:rPr/>
            </w:pPr>
            <w:r>
              <w:rPr>
                <w:spacing w:val="6"/>
              </w:rPr>
              <w:t>保险公司</w:t>
            </w:r>
          </w:p>
        </w:tc>
      </w:tr>
      <w:tr>
        <w:trPr>
          <w:trHeight w:val="427" w:hRule="atLeast"/>
        </w:trPr>
        <w:tc>
          <w:tcPr>
            <w:tcW w:w="747" w:type="dxa"/>
            <w:vAlign w:val="top"/>
            <w:tcBorders>
              <w:bottom w:val="single" w:color="000000" w:sz="4" w:space="0"/>
            </w:tcBorders>
          </w:tcPr>
          <w:p>
            <w:pPr>
              <w:ind w:left="125"/>
              <w:spacing w:before="112" w:line="19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4</w:t>
            </w:r>
          </w:p>
        </w:tc>
        <w:tc>
          <w:tcPr>
            <w:tcW w:w="6079" w:type="dxa"/>
            <w:vAlign w:val="top"/>
            <w:tcBorders>
              <w:bottom w:val="single" w:color="000000" w:sz="4" w:space="0"/>
            </w:tcBorders>
          </w:tcPr>
          <w:p>
            <w:pPr>
              <w:pStyle w:val="TableText"/>
              <w:ind w:left="164"/>
              <w:spacing w:before="71" w:line="225" w:lineRule="auto"/>
              <w:rPr/>
            </w:pPr>
            <w:r>
              <w:rPr>
                <w:spacing w:val="8"/>
              </w:rPr>
              <w:t>评估各项准备金以及相关负债，参与预算管理</w:t>
            </w:r>
          </w:p>
        </w:tc>
        <w:tc>
          <w:tcPr>
            <w:tcW w:w="2236" w:type="dxa"/>
            <w:vAlign w:val="top"/>
            <w:tcBorders>
              <w:bottom w:val="single" w:color="000000" w:sz="4" w:space="0"/>
            </w:tcBorders>
          </w:tcPr>
          <w:p>
            <w:pPr>
              <w:pStyle w:val="TableText"/>
              <w:ind w:left="131"/>
              <w:spacing w:before="70" w:line="227" w:lineRule="auto"/>
              <w:rPr/>
            </w:pPr>
            <w:r>
              <w:rPr>
                <w:spacing w:val="7"/>
              </w:rPr>
              <w:t>保险公司、监管者</w:t>
            </w:r>
          </w:p>
        </w:tc>
      </w:tr>
    </w:tbl>
    <w:p>
      <w:pPr>
        <w:ind w:left="8476"/>
        <w:spacing w:before="112" w:line="228" w:lineRule="auto"/>
        <w:rPr>
          <w:rFonts w:ascii="SimSun" w:hAnsi="SimSun" w:eastAsia="SimSun" w:cs="SimSun"/>
          <w:sz w:val="23"/>
          <w:szCs w:val="23"/>
        </w:rPr>
      </w:pPr>
      <w:r>
        <w:rPr>
          <w:rFonts w:ascii="SimSun" w:hAnsi="SimSun" w:eastAsia="SimSun" w:cs="SimSun"/>
          <w:sz w:val="23"/>
          <w:szCs w:val="23"/>
          <w:spacing w:val="3"/>
        </w:rPr>
        <w:t>续表</w:t>
      </w:r>
    </w:p>
    <w:p>
      <w:pPr>
        <w:spacing w:line="228" w:lineRule="auto"/>
        <w:sectPr>
          <w:footerReference w:type="default" r:id="rId9"/>
          <w:pgSz w:w="11906" w:h="16838"/>
          <w:pgMar w:top="400" w:right="1302" w:bottom="980" w:left="1421" w:header="0" w:footer="767" w:gutter="0"/>
        </w:sectPr>
        <w:rPr>
          <w:rFonts w:ascii="SimSun" w:hAnsi="SimSun" w:eastAsia="SimSun" w:cs="SimSun"/>
          <w:sz w:val="23"/>
          <w:szCs w:val="23"/>
        </w:rPr>
      </w:pPr>
    </w:p>
    <w:p>
      <w:pPr>
        <w:spacing w:before="13"/>
        <w:rPr/>
      </w:pPr>
      <w:r/>
    </w:p>
    <w:p>
      <w:pPr>
        <w:spacing w:before="13"/>
        <w:rPr/>
      </w:pPr>
      <w:r/>
    </w:p>
    <w:p>
      <w:pPr>
        <w:spacing w:before="13"/>
        <w:rPr/>
      </w:pPr>
      <w:r/>
    </w:p>
    <w:p>
      <w:pPr>
        <w:spacing w:before="12"/>
        <w:rPr/>
      </w:pPr>
      <w:r/>
    </w:p>
    <w:tbl>
      <w:tblPr>
        <w:tblStyle w:val="TableNormal"/>
        <w:tblW w:w="906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7"/>
        <w:gridCol w:w="6080"/>
        <w:gridCol w:w="2235"/>
      </w:tblGrid>
      <w:tr>
        <w:trPr>
          <w:trHeight w:val="475" w:hRule="atLeast"/>
        </w:trPr>
        <w:tc>
          <w:tcPr>
            <w:tcW w:w="747" w:type="dxa"/>
            <w:vAlign w:val="top"/>
            <w:tcBorders>
              <w:bottom w:val="single" w:color="000000" w:sz="4" w:space="0"/>
              <w:top w:val="single" w:color="000000" w:sz="6" w:space="0"/>
            </w:tcBorders>
          </w:tcPr>
          <w:p>
            <w:pPr>
              <w:pStyle w:val="TableText"/>
              <w:ind w:left="127"/>
              <w:spacing w:before="117" w:line="228" w:lineRule="auto"/>
              <w:rPr/>
            </w:pPr>
            <w:r>
              <w:rPr>
                <w:spacing w:val="4"/>
              </w:rPr>
              <w:t>序号</w:t>
            </w:r>
          </w:p>
        </w:tc>
        <w:tc>
          <w:tcPr>
            <w:tcW w:w="6080" w:type="dxa"/>
            <w:vAlign w:val="top"/>
            <w:tcBorders>
              <w:bottom w:val="single" w:color="000000" w:sz="4" w:space="0"/>
              <w:top w:val="single" w:color="000000" w:sz="6" w:space="0"/>
            </w:tcBorders>
          </w:tcPr>
          <w:p>
            <w:pPr>
              <w:pStyle w:val="TableText"/>
              <w:ind w:left="169"/>
              <w:spacing w:before="116" w:line="227" w:lineRule="auto"/>
              <w:rPr/>
            </w:pPr>
            <w:r>
              <w:rPr>
                <w:spacing w:val="6"/>
              </w:rPr>
              <w:t>具体职责内容</w:t>
            </w:r>
          </w:p>
        </w:tc>
        <w:tc>
          <w:tcPr>
            <w:tcW w:w="2235" w:type="dxa"/>
            <w:vAlign w:val="top"/>
            <w:tcBorders>
              <w:bottom w:val="single" w:color="000000" w:sz="4" w:space="0"/>
              <w:top w:val="single" w:color="000000" w:sz="6" w:space="0"/>
            </w:tcBorders>
          </w:tcPr>
          <w:p>
            <w:pPr>
              <w:pStyle w:val="TableText"/>
              <w:ind w:left="132"/>
              <w:spacing w:before="116" w:line="227" w:lineRule="auto"/>
              <w:rPr/>
            </w:pPr>
            <w:r>
              <w:rPr>
                <w:spacing w:val="7"/>
              </w:rPr>
              <w:t>核心关切对象</w:t>
            </w:r>
          </w:p>
        </w:tc>
      </w:tr>
      <w:tr>
        <w:trPr>
          <w:trHeight w:val="761" w:hRule="atLeast"/>
        </w:trPr>
        <w:tc>
          <w:tcPr>
            <w:tcW w:w="747" w:type="dxa"/>
            <w:vAlign w:val="top"/>
            <w:tcBorders>
              <w:top w:val="single" w:color="000000" w:sz="4" w:space="0"/>
            </w:tcBorders>
          </w:tcPr>
          <w:p>
            <w:pPr>
              <w:ind w:left="131"/>
              <w:spacing w:before="154"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5</w:t>
            </w:r>
          </w:p>
        </w:tc>
        <w:tc>
          <w:tcPr>
            <w:tcW w:w="6080" w:type="dxa"/>
            <w:vAlign w:val="top"/>
            <w:tcBorders>
              <w:top w:val="single" w:color="000000" w:sz="4" w:space="0"/>
            </w:tcBorders>
          </w:tcPr>
          <w:p>
            <w:pPr>
              <w:pStyle w:val="TableText"/>
              <w:ind w:left="167" w:right="118"/>
              <w:spacing w:before="110" w:line="257" w:lineRule="auto"/>
              <w:rPr/>
            </w:pPr>
            <w:r>
              <w:rPr>
                <w:spacing w:val="11"/>
              </w:rPr>
              <w:t>参与制定股东红利分配制度，制定分红保险红利分配方</w:t>
            </w:r>
            <w:r>
              <w:rPr/>
              <w:t>案</w:t>
            </w:r>
          </w:p>
        </w:tc>
        <w:tc>
          <w:tcPr>
            <w:tcW w:w="2235" w:type="dxa"/>
            <w:vAlign w:val="top"/>
            <w:tcBorders>
              <w:top w:val="single" w:color="000000" w:sz="4" w:space="0"/>
            </w:tcBorders>
          </w:tcPr>
          <w:p>
            <w:pPr>
              <w:pStyle w:val="TableText"/>
              <w:ind w:left="129"/>
              <w:spacing w:before="110" w:line="227" w:lineRule="auto"/>
              <w:rPr/>
            </w:pPr>
            <w:r>
              <w:rPr>
                <w:spacing w:val="7"/>
              </w:rPr>
              <w:t>股东、消费者</w:t>
            </w:r>
          </w:p>
        </w:tc>
      </w:tr>
      <w:tr>
        <w:trPr>
          <w:trHeight w:val="714" w:hRule="atLeast"/>
        </w:trPr>
        <w:tc>
          <w:tcPr>
            <w:tcW w:w="747" w:type="dxa"/>
            <w:vAlign w:val="top"/>
          </w:tcPr>
          <w:p>
            <w:pPr>
              <w:ind w:left="129"/>
              <w:spacing w:before="111"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6</w:t>
            </w:r>
          </w:p>
        </w:tc>
        <w:tc>
          <w:tcPr>
            <w:tcW w:w="6080" w:type="dxa"/>
            <w:vAlign w:val="top"/>
          </w:tcPr>
          <w:p>
            <w:pPr>
              <w:pStyle w:val="TableText"/>
              <w:ind w:left="165" w:right="118" w:firstLine="1"/>
              <w:spacing w:before="66" w:line="256" w:lineRule="auto"/>
              <w:rPr/>
            </w:pPr>
            <w:r>
              <w:rPr>
                <w:spacing w:val="11"/>
              </w:rPr>
              <w:t>参与资产负债配置管理，参与决定投资方案或拟定资产</w:t>
            </w:r>
            <w:r>
              <w:rPr>
                <w:spacing w:val="6"/>
              </w:rPr>
              <w:t>配置指引</w:t>
            </w:r>
          </w:p>
        </w:tc>
        <w:tc>
          <w:tcPr>
            <w:tcW w:w="2235" w:type="dxa"/>
            <w:vAlign w:val="top"/>
          </w:tcPr>
          <w:p>
            <w:pPr>
              <w:pStyle w:val="TableText"/>
              <w:ind w:left="130"/>
              <w:spacing w:before="66" w:line="227" w:lineRule="auto"/>
              <w:rPr/>
            </w:pPr>
            <w:r>
              <w:rPr>
                <w:spacing w:val="7"/>
              </w:rPr>
              <w:t>保险公司、股东</w:t>
            </w:r>
          </w:p>
        </w:tc>
      </w:tr>
      <w:tr>
        <w:trPr>
          <w:trHeight w:val="715" w:hRule="atLeast"/>
        </w:trPr>
        <w:tc>
          <w:tcPr>
            <w:tcW w:w="747" w:type="dxa"/>
            <w:vAlign w:val="top"/>
          </w:tcPr>
          <w:p>
            <w:pPr>
              <w:ind w:left="132"/>
              <w:spacing w:before="111" w:line="19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7</w:t>
            </w:r>
          </w:p>
        </w:tc>
        <w:tc>
          <w:tcPr>
            <w:tcW w:w="6080" w:type="dxa"/>
            <w:vAlign w:val="top"/>
          </w:tcPr>
          <w:p>
            <w:pPr>
              <w:pStyle w:val="TableText"/>
              <w:ind w:left="166" w:right="118"/>
              <w:spacing w:before="69" w:line="255" w:lineRule="auto"/>
              <w:rPr/>
            </w:pPr>
            <w:r>
              <w:rPr>
                <w:spacing w:val="11"/>
              </w:rPr>
              <w:t>参与制定营运规则及手续费、佣金等中介服务费用给付</w:t>
            </w:r>
            <w:r>
              <w:rPr>
                <w:spacing w:val="3"/>
              </w:rPr>
              <w:t>制度</w:t>
            </w:r>
          </w:p>
        </w:tc>
        <w:tc>
          <w:tcPr>
            <w:tcW w:w="2235" w:type="dxa"/>
            <w:vAlign w:val="top"/>
          </w:tcPr>
          <w:p>
            <w:pPr>
              <w:pStyle w:val="TableText"/>
              <w:ind w:left="138" w:right="119" w:hanging="8"/>
              <w:spacing w:before="69" w:line="255" w:lineRule="auto"/>
              <w:rPr/>
            </w:pPr>
            <w:r>
              <w:rPr>
                <w:spacing w:val="18"/>
              </w:rPr>
              <w:t>销售渠道、保险公</w:t>
            </w:r>
            <w:r>
              <w:rPr/>
              <w:t>司</w:t>
            </w:r>
          </w:p>
        </w:tc>
      </w:tr>
      <w:tr>
        <w:trPr>
          <w:trHeight w:val="359" w:hRule="atLeast"/>
        </w:trPr>
        <w:tc>
          <w:tcPr>
            <w:tcW w:w="747" w:type="dxa"/>
            <w:vAlign w:val="top"/>
          </w:tcPr>
          <w:p>
            <w:pPr>
              <w:ind w:left="129"/>
              <w:spacing w:before="116"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8</w:t>
            </w:r>
          </w:p>
        </w:tc>
        <w:tc>
          <w:tcPr>
            <w:tcW w:w="6080" w:type="dxa"/>
            <w:vAlign w:val="top"/>
          </w:tcPr>
          <w:p>
            <w:pPr>
              <w:pStyle w:val="TableText"/>
              <w:ind w:left="165"/>
              <w:spacing w:before="71" w:line="223" w:lineRule="auto"/>
              <w:rPr/>
            </w:pPr>
            <w:r>
              <w:rPr>
                <w:spacing w:val="8"/>
              </w:rPr>
              <w:t>根据监管规定审核并签署公开披露的有关数据与报告</w:t>
            </w:r>
          </w:p>
        </w:tc>
        <w:tc>
          <w:tcPr>
            <w:tcW w:w="2235" w:type="dxa"/>
            <w:vAlign w:val="top"/>
          </w:tcPr>
          <w:p>
            <w:pPr>
              <w:pStyle w:val="TableText"/>
              <w:ind w:left="130"/>
              <w:spacing w:before="71" w:line="223" w:lineRule="auto"/>
              <w:rPr/>
            </w:pPr>
            <w:r>
              <w:rPr>
                <w:spacing w:val="7"/>
              </w:rPr>
              <w:t>监管者、公众</w:t>
            </w:r>
          </w:p>
        </w:tc>
      </w:tr>
      <w:tr>
        <w:trPr>
          <w:trHeight w:val="714" w:hRule="atLeast"/>
        </w:trPr>
        <w:tc>
          <w:tcPr>
            <w:tcW w:w="747" w:type="dxa"/>
            <w:vAlign w:val="top"/>
          </w:tcPr>
          <w:p>
            <w:pPr>
              <w:ind w:left="129"/>
              <w:spacing w:before="115"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9</w:t>
            </w:r>
          </w:p>
        </w:tc>
        <w:tc>
          <w:tcPr>
            <w:tcW w:w="6080" w:type="dxa"/>
            <w:vAlign w:val="top"/>
          </w:tcPr>
          <w:p>
            <w:pPr>
              <w:pStyle w:val="TableText"/>
              <w:ind w:left="164" w:right="118"/>
              <w:spacing w:before="71" w:line="254" w:lineRule="auto"/>
              <w:rPr/>
            </w:pPr>
            <w:r>
              <w:rPr>
                <w:spacing w:val="11"/>
              </w:rPr>
              <w:t>根据监管规定审核并签署精算报告、内含价值报告等文</w:t>
            </w:r>
            <w:r>
              <w:rPr/>
              <w:t>件</w:t>
            </w:r>
          </w:p>
        </w:tc>
        <w:tc>
          <w:tcPr>
            <w:tcW w:w="2235" w:type="dxa"/>
            <w:vAlign w:val="top"/>
          </w:tcPr>
          <w:p>
            <w:pPr>
              <w:pStyle w:val="TableText"/>
              <w:ind w:left="130"/>
              <w:spacing w:before="71" w:line="227" w:lineRule="auto"/>
              <w:rPr/>
            </w:pPr>
            <w:r>
              <w:rPr>
                <w:spacing w:val="7"/>
              </w:rPr>
              <w:t>监管者、股东</w:t>
            </w:r>
          </w:p>
        </w:tc>
      </w:tr>
      <w:tr>
        <w:trPr>
          <w:trHeight w:val="358" w:hRule="atLeast"/>
        </w:trPr>
        <w:tc>
          <w:tcPr>
            <w:tcW w:w="747" w:type="dxa"/>
            <w:vAlign w:val="top"/>
          </w:tcPr>
          <w:p>
            <w:pPr>
              <w:ind w:left="141"/>
              <w:spacing w:before="118"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10</w:t>
            </w:r>
          </w:p>
        </w:tc>
        <w:tc>
          <w:tcPr>
            <w:tcW w:w="6080" w:type="dxa"/>
            <w:vAlign w:val="top"/>
          </w:tcPr>
          <w:p>
            <w:pPr>
              <w:pStyle w:val="TableText"/>
              <w:ind w:left="189"/>
              <w:spacing w:before="73" w:line="220" w:lineRule="auto"/>
              <w:rPr/>
            </w:pPr>
            <w:r>
              <w:rPr>
                <w:spacing w:val="6"/>
              </w:rPr>
              <w:t>向公司与监管部门报告重大风险隐患</w:t>
            </w:r>
          </w:p>
        </w:tc>
        <w:tc>
          <w:tcPr>
            <w:tcW w:w="2235" w:type="dxa"/>
            <w:vAlign w:val="top"/>
          </w:tcPr>
          <w:p>
            <w:pPr>
              <w:pStyle w:val="TableText"/>
              <w:ind w:left="130"/>
              <w:spacing w:before="73" w:line="220" w:lineRule="auto"/>
              <w:rPr/>
            </w:pPr>
            <w:r>
              <w:rPr>
                <w:spacing w:val="7"/>
              </w:rPr>
              <w:t>保险公司、监管者</w:t>
            </w:r>
          </w:p>
        </w:tc>
      </w:tr>
      <w:tr>
        <w:trPr>
          <w:trHeight w:val="433" w:hRule="atLeast"/>
        </w:trPr>
        <w:tc>
          <w:tcPr>
            <w:tcW w:w="747" w:type="dxa"/>
            <w:vAlign w:val="top"/>
            <w:tcBorders>
              <w:bottom w:val="single" w:color="000000" w:sz="6" w:space="0"/>
            </w:tcBorders>
          </w:tcPr>
          <w:p>
            <w:pPr>
              <w:ind w:left="141"/>
              <w:spacing w:before="1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11</w:t>
            </w:r>
          </w:p>
        </w:tc>
        <w:tc>
          <w:tcPr>
            <w:tcW w:w="6080" w:type="dxa"/>
            <w:vAlign w:val="top"/>
            <w:tcBorders>
              <w:bottom w:val="single" w:color="000000" w:sz="6" w:space="0"/>
            </w:tcBorders>
          </w:tcPr>
          <w:p>
            <w:pPr>
              <w:pStyle w:val="TableText"/>
              <w:ind w:left="166"/>
              <w:spacing w:before="74" w:line="226" w:lineRule="auto"/>
              <w:rPr/>
            </w:pPr>
            <w:r>
              <w:rPr>
                <w:spacing w:val="8"/>
              </w:rPr>
              <w:t>监管部门或公司章程规定的其他职责</w:t>
            </w:r>
          </w:p>
        </w:tc>
        <w:tc>
          <w:tcPr>
            <w:tcW w:w="2235" w:type="dxa"/>
            <w:vAlign w:val="top"/>
            <w:tcBorders>
              <w:bottom w:val="single" w:color="000000" w:sz="6" w:space="0"/>
            </w:tcBorders>
          </w:tcPr>
          <w:p>
            <w:pPr>
              <w:pStyle w:val="TableText"/>
              <w:ind w:left="129"/>
              <w:spacing w:before="74" w:line="228" w:lineRule="auto"/>
              <w:rPr/>
            </w:pPr>
            <w:r>
              <w:rPr>
                <w:spacing w:val="7"/>
              </w:rPr>
              <w:t>相关利益方</w:t>
            </w:r>
          </w:p>
        </w:tc>
      </w:tr>
    </w:tbl>
    <w:p>
      <w:pPr>
        <w:pStyle w:val="BodyText"/>
        <w:spacing w:line="346" w:lineRule="auto"/>
        <w:rPr/>
      </w:pPr>
      <w:r/>
    </w:p>
    <w:p>
      <w:pPr>
        <w:ind w:left="7" w:right="114" w:firstLine="504"/>
        <w:spacing w:before="75" w:line="289" w:lineRule="auto"/>
        <w:jc w:val="both"/>
        <w:rPr>
          <w:rFonts w:ascii="SimSun" w:hAnsi="SimSun" w:eastAsia="SimSun" w:cs="SimSun"/>
          <w:sz w:val="23"/>
          <w:szCs w:val="23"/>
        </w:rPr>
      </w:pPr>
      <w:r>
        <w:rPr>
          <w:rFonts w:ascii="SimSun" w:hAnsi="SimSun" w:eastAsia="SimSun" w:cs="SimSun"/>
          <w:sz w:val="23"/>
          <w:szCs w:val="23"/>
          <w:spacing w:val="6"/>
        </w:rPr>
        <w:t>由表</w:t>
      </w:r>
      <w:hyperlink w:history="true" w:anchor="bookmark52">
        <w:r>
          <w:rPr>
            <w:rFonts w:ascii="Times New Roman" w:hAnsi="Times New Roman" w:eastAsia="Times New Roman" w:cs="Times New Roman"/>
            <w:sz w:val="23"/>
            <w:szCs w:val="23"/>
            <w:spacing w:val="6"/>
          </w:rPr>
          <w:t>1.5</w:t>
        </w:r>
      </w:hyperlink>
      <w:r>
        <w:rPr>
          <w:rFonts w:ascii="SimSun" w:hAnsi="SimSun" w:eastAsia="SimSun" w:cs="SimSun"/>
          <w:sz w:val="23"/>
          <w:szCs w:val="23"/>
          <w:spacing w:val="6"/>
        </w:rPr>
        <w:t>可见，总精算师并非单一职能负责人，而是公</w:t>
      </w:r>
      <w:r>
        <w:rPr>
          <w:rFonts w:ascii="SimSun" w:hAnsi="SimSun" w:eastAsia="SimSun" w:cs="SimSun"/>
          <w:sz w:val="23"/>
          <w:szCs w:val="23"/>
          <w:spacing w:val="5"/>
        </w:rPr>
        <w:t>司风险与价值计量体系的关键</w:t>
      </w:r>
      <w:r>
        <w:rPr>
          <w:rFonts w:ascii="SimSun" w:hAnsi="SimSun" w:eastAsia="SimSun" w:cs="SimSun"/>
          <w:sz w:val="23"/>
          <w:szCs w:val="23"/>
          <w:spacing w:val="4"/>
        </w:rPr>
        <w:t>责任主体。其签署与报告职责要求结论具备可解</w:t>
      </w:r>
      <w:r>
        <w:rPr>
          <w:rFonts w:ascii="SimSun" w:hAnsi="SimSun" w:eastAsia="SimSun" w:cs="SimSun"/>
          <w:sz w:val="23"/>
          <w:szCs w:val="23"/>
          <w:spacing w:val="3"/>
        </w:rPr>
        <w:t>释性、可复核性与合规性，</w:t>
      </w:r>
      <w:r>
        <w:rPr>
          <w:rFonts w:ascii="SimSun" w:hAnsi="SimSun" w:eastAsia="SimSun" w:cs="SimSun"/>
          <w:sz w:val="23"/>
          <w:szCs w:val="23"/>
          <w:spacing w:val="67"/>
        </w:rPr>
        <w:t xml:space="preserve"> </w:t>
      </w:r>
      <w:r>
        <w:rPr>
          <w:rFonts w:ascii="SimSun" w:hAnsi="SimSun" w:eastAsia="SimSun" w:cs="SimSun"/>
          <w:sz w:val="23"/>
          <w:szCs w:val="23"/>
          <w:spacing w:val="3"/>
        </w:rPr>
        <w:t>并要求在跨</w:t>
      </w:r>
      <w:r>
        <w:rPr>
          <w:rFonts w:ascii="SimSun" w:hAnsi="SimSun" w:eastAsia="SimSun" w:cs="SimSun"/>
          <w:sz w:val="23"/>
          <w:szCs w:val="23"/>
          <w:spacing w:val="6"/>
        </w:rPr>
        <w:t>部门协作中保持专业判断的独立性与审慎性。</w:t>
      </w:r>
    </w:p>
    <w:p>
      <w:pPr>
        <w:pStyle w:val="BodyText"/>
        <w:spacing w:line="324" w:lineRule="auto"/>
        <w:rPr/>
      </w:pPr>
      <w:r/>
    </w:p>
    <w:p>
      <w:pPr>
        <w:ind w:left="20"/>
        <w:spacing w:before="91" w:line="225" w:lineRule="auto"/>
        <w:outlineLvl w:val="2"/>
        <w:rPr>
          <w:rFonts w:ascii="SimHei" w:hAnsi="SimHei" w:eastAsia="SimHei" w:cs="SimHei"/>
          <w:sz w:val="28"/>
          <w:szCs w:val="28"/>
        </w:rPr>
      </w:pPr>
      <w:bookmarkStart w:name="bookmark10" w:id="16"/>
      <w:bookmarkEnd w:id="16"/>
      <w:r>
        <w:rPr>
          <w:rFonts w:ascii="Times New Roman" w:hAnsi="Times New Roman" w:eastAsia="Times New Roman" w:cs="Times New Roman"/>
          <w:sz w:val="28"/>
          <w:szCs w:val="28"/>
          <w:b/>
          <w:bCs/>
          <w:spacing w:val="8"/>
        </w:rPr>
        <w:t>1.2.3    </w:t>
      </w:r>
      <w:r>
        <w:rPr>
          <w:rFonts w:ascii="SimHei" w:hAnsi="SimHei" w:eastAsia="SimHei" w:cs="SimHei"/>
          <w:sz w:val="28"/>
          <w:szCs w:val="28"/>
          <w:spacing w:val="8"/>
        </w:rPr>
        <w:t>国际视角下的精算师定位与</w:t>
      </w:r>
      <w:r>
        <w:rPr>
          <w:rFonts w:ascii="SimHei" w:hAnsi="SimHei" w:eastAsia="SimHei" w:cs="SimHei"/>
          <w:sz w:val="28"/>
          <w:szCs w:val="28"/>
          <w:spacing w:val="7"/>
        </w:rPr>
        <w:t>职业特征</w:t>
      </w:r>
    </w:p>
    <w:p>
      <w:pPr>
        <w:ind w:left="4" w:right="114" w:firstLine="502"/>
        <w:spacing w:before="225" w:line="288" w:lineRule="auto"/>
        <w:jc w:val="both"/>
        <w:rPr>
          <w:rFonts w:ascii="SimSun" w:hAnsi="SimSun" w:eastAsia="SimSun" w:cs="SimSun"/>
          <w:sz w:val="23"/>
          <w:szCs w:val="23"/>
        </w:rPr>
      </w:pPr>
      <w:r>
        <w:rPr>
          <w:rFonts w:ascii="SimSun" w:hAnsi="SimSun" w:eastAsia="SimSun" w:cs="SimSun"/>
          <w:sz w:val="23"/>
          <w:szCs w:val="23"/>
          <w:spacing w:val="8"/>
        </w:rPr>
        <w:t>国际精算实践对精算师的定位强调“复杂金融风险问题的解决</w:t>
      </w:r>
      <w:r>
        <w:rPr>
          <w:rFonts w:ascii="SimSun" w:hAnsi="SimSun" w:eastAsia="SimSun" w:cs="SimSun"/>
          <w:sz w:val="23"/>
          <w:szCs w:val="23"/>
          <w:spacing w:val="7"/>
        </w:rPr>
        <w:t>者”与“风险的测量</w:t>
      </w:r>
      <w:r>
        <w:rPr>
          <w:rFonts w:ascii="SimSun" w:hAnsi="SimSun" w:eastAsia="SimSun" w:cs="SimSun"/>
          <w:sz w:val="23"/>
          <w:szCs w:val="23"/>
          <w:spacing w:val="-4"/>
        </w:rPr>
        <w:t>与管理者”。在国际实践中，</w:t>
      </w:r>
      <w:r>
        <w:rPr>
          <w:rFonts w:ascii="SimSun" w:hAnsi="SimSun" w:eastAsia="SimSun" w:cs="SimSun"/>
          <w:sz w:val="23"/>
          <w:szCs w:val="23"/>
          <w:spacing w:val="38"/>
        </w:rPr>
        <w:t xml:space="preserve"> </w:t>
      </w:r>
      <w:r>
        <w:rPr>
          <w:rFonts w:ascii="SimSun" w:hAnsi="SimSun" w:eastAsia="SimSun" w:cs="SimSun"/>
          <w:sz w:val="23"/>
          <w:szCs w:val="23"/>
          <w:spacing w:val="-4"/>
        </w:rPr>
        <w:t>精算师的工作边界通常</w:t>
      </w:r>
      <w:r>
        <w:rPr>
          <w:rFonts w:ascii="SimSun" w:hAnsi="SimSun" w:eastAsia="SimSun" w:cs="SimSun"/>
          <w:sz w:val="23"/>
          <w:szCs w:val="23"/>
          <w:spacing w:val="-5"/>
        </w:rPr>
        <w:t>更为广泛， 除寿险、健康险、财产险</w:t>
      </w:r>
      <w:r>
        <w:rPr>
          <w:rFonts w:ascii="SimSun" w:hAnsi="SimSun" w:eastAsia="SimSun" w:cs="SimSun"/>
          <w:sz w:val="23"/>
          <w:szCs w:val="23"/>
          <w:spacing w:val="7"/>
        </w:rPr>
        <w:t>与再保险外，</w:t>
      </w:r>
      <w:r>
        <w:rPr>
          <w:rFonts w:ascii="SimSun" w:hAnsi="SimSun" w:eastAsia="SimSun" w:cs="SimSun"/>
          <w:sz w:val="23"/>
          <w:szCs w:val="23"/>
          <w:spacing w:val="-60"/>
        </w:rPr>
        <w:t xml:space="preserve"> </w:t>
      </w:r>
      <w:r>
        <w:rPr>
          <w:rFonts w:ascii="SimSun" w:hAnsi="SimSun" w:eastAsia="SimSun" w:cs="SimSun"/>
          <w:sz w:val="23"/>
          <w:szCs w:val="23"/>
          <w:spacing w:val="7"/>
        </w:rPr>
        <w:t>还涵盖银行、投资、政府公共管理、企业风险管理、员工福利与产品开发</w:t>
      </w:r>
      <w:r>
        <w:rPr>
          <w:rFonts w:ascii="SimSun" w:hAnsi="SimSun" w:eastAsia="SimSun" w:cs="SimSun"/>
          <w:sz w:val="23"/>
          <w:szCs w:val="23"/>
          <w:spacing w:val="-1"/>
        </w:rPr>
        <w:t>等领域。与此相对应，</w:t>
      </w:r>
      <w:r>
        <w:rPr>
          <w:rFonts w:ascii="SimSun" w:hAnsi="SimSun" w:eastAsia="SimSun" w:cs="SimSun"/>
          <w:sz w:val="23"/>
          <w:szCs w:val="23"/>
          <w:spacing w:val="85"/>
        </w:rPr>
        <w:t xml:space="preserve"> </w:t>
      </w:r>
      <w:r>
        <w:rPr>
          <w:rFonts w:ascii="SimSun" w:hAnsi="SimSun" w:eastAsia="SimSun" w:cs="SimSun"/>
          <w:sz w:val="23"/>
          <w:szCs w:val="23"/>
          <w:spacing w:val="-1"/>
        </w:rPr>
        <w:t>国际实践对精算师能力的</w:t>
      </w:r>
      <w:r>
        <w:rPr>
          <w:rFonts w:ascii="SimSun" w:hAnsi="SimSun" w:eastAsia="SimSun" w:cs="SimSun"/>
          <w:sz w:val="23"/>
          <w:szCs w:val="23"/>
          <w:spacing w:val="-2"/>
        </w:rPr>
        <w:t>强调不仅在于建立解决方案，</w:t>
      </w:r>
      <w:r>
        <w:rPr>
          <w:rFonts w:ascii="SimSun" w:hAnsi="SimSun" w:eastAsia="SimSun" w:cs="SimSun"/>
          <w:sz w:val="23"/>
          <w:szCs w:val="23"/>
          <w:spacing w:val="61"/>
        </w:rPr>
        <w:t xml:space="preserve"> </w:t>
      </w:r>
      <w:r>
        <w:rPr>
          <w:rFonts w:ascii="SimSun" w:hAnsi="SimSun" w:eastAsia="SimSun" w:cs="SimSun"/>
          <w:sz w:val="23"/>
          <w:szCs w:val="23"/>
          <w:spacing w:val="-2"/>
        </w:rPr>
        <w:t>还在于将</w:t>
      </w:r>
      <w:r>
        <w:rPr>
          <w:rFonts w:ascii="SimSun" w:hAnsi="SimSun" w:eastAsia="SimSun" w:cs="SimSun"/>
          <w:sz w:val="23"/>
          <w:szCs w:val="23"/>
          <w:spacing w:val="8"/>
        </w:rPr>
        <w:t>解决方案以可理解、可讨论、可执行的方式表达并推动落地。沟通表达与跨团队协作并</w:t>
      </w:r>
      <w:r>
        <w:rPr>
          <w:rFonts w:ascii="SimSun" w:hAnsi="SimSun" w:eastAsia="SimSun" w:cs="SimSun"/>
          <w:sz w:val="23"/>
          <w:szCs w:val="23"/>
          <w:spacing w:val="7"/>
        </w:rPr>
        <w:t>非附属能力，而是精算专业价值实现的重要</w:t>
      </w:r>
      <w:r>
        <w:rPr>
          <w:rFonts w:ascii="SimSun" w:hAnsi="SimSun" w:eastAsia="SimSun" w:cs="SimSun"/>
          <w:sz w:val="23"/>
          <w:szCs w:val="23"/>
          <w:spacing w:val="6"/>
        </w:rPr>
        <w:t>条件。</w:t>
      </w:r>
    </w:p>
    <w:p>
      <w:pPr>
        <w:pStyle w:val="BodyText"/>
        <w:spacing w:line="326" w:lineRule="auto"/>
        <w:rPr/>
      </w:pPr>
      <w:r/>
    </w:p>
    <w:p>
      <w:pPr>
        <w:ind w:left="20"/>
        <w:spacing w:before="91" w:line="225" w:lineRule="auto"/>
        <w:outlineLvl w:val="2"/>
        <w:rPr>
          <w:rFonts w:ascii="SimHei" w:hAnsi="SimHei" w:eastAsia="SimHei" w:cs="SimHei"/>
          <w:sz w:val="28"/>
          <w:szCs w:val="28"/>
        </w:rPr>
      </w:pPr>
      <w:bookmarkStart w:name="bookmark11" w:id="17"/>
      <w:bookmarkEnd w:id="17"/>
      <w:r>
        <w:rPr>
          <w:rFonts w:ascii="Times New Roman" w:hAnsi="Times New Roman" w:eastAsia="Times New Roman" w:cs="Times New Roman"/>
          <w:sz w:val="28"/>
          <w:szCs w:val="28"/>
          <w:b/>
          <w:bCs/>
          <w:spacing w:val="8"/>
        </w:rPr>
        <w:t>1.2.4    </w:t>
      </w:r>
      <w:r>
        <w:rPr>
          <w:rFonts w:ascii="SimHei" w:hAnsi="SimHei" w:eastAsia="SimHei" w:cs="SimHei"/>
          <w:sz w:val="28"/>
          <w:szCs w:val="28"/>
          <w:spacing w:val="8"/>
        </w:rPr>
        <w:t>精算师的职业素养</w:t>
      </w:r>
    </w:p>
    <w:p>
      <w:pPr>
        <w:ind w:left="4" w:firstLine="479"/>
        <w:spacing w:before="226" w:line="288" w:lineRule="auto"/>
        <w:jc w:val="both"/>
        <w:rPr>
          <w:rFonts w:ascii="SimSun" w:hAnsi="SimSun" w:eastAsia="SimSun" w:cs="SimSun"/>
          <w:sz w:val="23"/>
          <w:szCs w:val="23"/>
        </w:rPr>
      </w:pPr>
      <w:r>
        <w:rPr>
          <w:rFonts w:ascii="SimSun" w:hAnsi="SimSun" w:eastAsia="SimSun" w:cs="SimSun"/>
          <w:sz w:val="23"/>
          <w:szCs w:val="23"/>
          <w:spacing w:val="12"/>
        </w:rPr>
        <w:t>精算职业素养可在组织治理框架下进一步细化为</w:t>
      </w:r>
      <w:r>
        <w:rPr>
          <w:rFonts w:ascii="SimSun" w:hAnsi="SimSun" w:eastAsia="SimSun" w:cs="SimSun"/>
          <w:sz w:val="23"/>
          <w:szCs w:val="23"/>
          <w:spacing w:val="11"/>
        </w:rPr>
        <w:t>分析与计算能力、持续学习能力、</w:t>
      </w:r>
      <w:r>
        <w:rPr>
          <w:rFonts w:ascii="SimSun" w:hAnsi="SimSun" w:eastAsia="SimSun" w:cs="SimSun"/>
          <w:sz w:val="23"/>
          <w:szCs w:val="23"/>
          <w:spacing w:val="8"/>
        </w:rPr>
        <w:t>判断与沟通能力三类能力群。分析与计算能力体现为对数据结构、模型逻辑与结果解释</w:t>
      </w:r>
      <w:r>
        <w:rPr>
          <w:rFonts w:ascii="SimSun" w:hAnsi="SimSun" w:eastAsia="SimSun" w:cs="SimSun"/>
          <w:sz w:val="23"/>
          <w:szCs w:val="23"/>
          <w:spacing w:val="4"/>
        </w:rPr>
        <w:t>的掌握，并能够在约束条件下进行假设设定与敏感性检验；</w:t>
      </w:r>
      <w:r>
        <w:rPr>
          <w:rFonts w:ascii="SimSun" w:hAnsi="SimSun" w:eastAsia="SimSun" w:cs="SimSun"/>
          <w:sz w:val="23"/>
          <w:szCs w:val="23"/>
          <w:spacing w:val="65"/>
        </w:rPr>
        <w:t xml:space="preserve"> </w:t>
      </w:r>
      <w:r>
        <w:rPr>
          <w:rFonts w:ascii="SimSun" w:hAnsi="SimSun" w:eastAsia="SimSun" w:cs="SimSun"/>
          <w:sz w:val="23"/>
          <w:szCs w:val="23"/>
          <w:spacing w:val="4"/>
        </w:rPr>
        <w:t>持</w:t>
      </w:r>
      <w:r>
        <w:rPr>
          <w:rFonts w:ascii="SimSun" w:hAnsi="SimSun" w:eastAsia="SimSun" w:cs="SimSun"/>
          <w:sz w:val="23"/>
          <w:szCs w:val="23"/>
          <w:spacing w:val="3"/>
        </w:rPr>
        <w:t>续学习能力体现为对监管</w:t>
      </w:r>
      <w:r>
        <w:rPr>
          <w:rFonts w:ascii="SimSun" w:hAnsi="SimSun" w:eastAsia="SimSun" w:cs="SimSun"/>
          <w:sz w:val="23"/>
          <w:szCs w:val="23"/>
          <w:spacing w:val="4"/>
        </w:rPr>
        <w:t>规则、会计计量、市场环境与技术工具的持续跟踪与吸收；</w:t>
      </w:r>
      <w:r>
        <w:rPr>
          <w:rFonts w:ascii="SimSun" w:hAnsi="SimSun" w:eastAsia="SimSun" w:cs="SimSun"/>
          <w:sz w:val="23"/>
          <w:szCs w:val="23"/>
          <w:spacing w:val="64"/>
        </w:rPr>
        <w:t xml:space="preserve"> </w:t>
      </w:r>
      <w:r>
        <w:rPr>
          <w:rFonts w:ascii="SimSun" w:hAnsi="SimSun" w:eastAsia="SimSun" w:cs="SimSun"/>
          <w:sz w:val="23"/>
          <w:szCs w:val="23"/>
          <w:spacing w:val="4"/>
        </w:rPr>
        <w:t>判断</w:t>
      </w:r>
      <w:r>
        <w:rPr>
          <w:rFonts w:ascii="SimSun" w:hAnsi="SimSun" w:eastAsia="SimSun" w:cs="SimSun"/>
          <w:sz w:val="23"/>
          <w:szCs w:val="23"/>
          <w:spacing w:val="3"/>
        </w:rPr>
        <w:t>与沟通能力体现为在不</w:t>
      </w:r>
      <w:r>
        <w:rPr>
          <w:rFonts w:ascii="SimSun" w:hAnsi="SimSun" w:eastAsia="SimSun" w:cs="SimSun"/>
          <w:sz w:val="23"/>
          <w:szCs w:val="23"/>
          <w:spacing w:val="4"/>
        </w:rPr>
        <w:t>确定性条件下形成可追溯的专业判断，</w:t>
      </w:r>
      <w:r>
        <w:rPr>
          <w:rFonts w:ascii="SimSun" w:hAnsi="SimSun" w:eastAsia="SimSun" w:cs="SimSun"/>
          <w:sz w:val="23"/>
          <w:szCs w:val="23"/>
          <w:spacing w:val="65"/>
        </w:rPr>
        <w:t xml:space="preserve"> </w:t>
      </w:r>
      <w:r>
        <w:rPr>
          <w:rFonts w:ascii="SimSun" w:hAnsi="SimSun" w:eastAsia="SimSun" w:cs="SimSun"/>
          <w:sz w:val="23"/>
          <w:szCs w:val="23"/>
          <w:spacing w:val="4"/>
        </w:rPr>
        <w:t>并以清晰方式向管理层</w:t>
      </w:r>
      <w:r>
        <w:rPr>
          <w:rFonts w:ascii="SimSun" w:hAnsi="SimSun" w:eastAsia="SimSun" w:cs="SimSun"/>
          <w:sz w:val="23"/>
          <w:szCs w:val="23"/>
          <w:spacing w:val="3"/>
        </w:rPr>
        <w:t>、监管者或非技术人员解</w:t>
      </w:r>
      <w:r>
        <w:rPr>
          <w:rFonts w:ascii="SimSun" w:hAnsi="SimSun" w:eastAsia="SimSun" w:cs="SimSun"/>
          <w:sz w:val="23"/>
          <w:szCs w:val="23"/>
          <w:spacing w:val="3"/>
        </w:rPr>
        <w:t>释模型结论与风险含义。上述能力群需要在职业道德约束下运行，</w:t>
      </w:r>
      <w:r>
        <w:rPr>
          <w:rFonts w:ascii="SimSun" w:hAnsi="SimSun" w:eastAsia="SimSun" w:cs="SimSun"/>
          <w:sz w:val="23"/>
          <w:szCs w:val="23"/>
          <w:spacing w:val="92"/>
        </w:rPr>
        <w:t xml:space="preserve"> </w:t>
      </w:r>
      <w:r>
        <w:rPr>
          <w:rFonts w:ascii="SimSun" w:hAnsi="SimSun" w:eastAsia="SimSun" w:cs="SimSun"/>
          <w:sz w:val="23"/>
          <w:szCs w:val="23"/>
          <w:spacing w:val="3"/>
        </w:rPr>
        <w:t>以诚信、客观、公正</w:t>
      </w:r>
      <w:r>
        <w:rPr>
          <w:rFonts w:ascii="SimSun" w:hAnsi="SimSun" w:eastAsia="SimSun" w:cs="SimSun"/>
          <w:sz w:val="23"/>
          <w:szCs w:val="23"/>
          <w:spacing w:val="8"/>
        </w:rPr>
        <w:t>与保密为底线，以公共利益、消费者权益保护</w:t>
      </w:r>
      <w:r>
        <w:rPr>
          <w:rFonts w:ascii="SimSun" w:hAnsi="SimSun" w:eastAsia="SimSun" w:cs="SimSun"/>
          <w:sz w:val="23"/>
          <w:szCs w:val="23"/>
          <w:spacing w:val="7"/>
        </w:rPr>
        <w:t>与公司稳健经营为基本导向。</w:t>
      </w:r>
    </w:p>
    <w:p>
      <w:pPr>
        <w:pStyle w:val="BodyText"/>
        <w:spacing w:line="296" w:lineRule="auto"/>
        <w:rPr/>
      </w:pPr>
      <w:r/>
    </w:p>
    <w:p>
      <w:pPr>
        <w:ind w:left="7" w:right="114" w:firstLine="4"/>
        <w:spacing w:before="76" w:line="288" w:lineRule="auto"/>
        <w:jc w:val="both"/>
        <w:rPr>
          <w:rFonts w:ascii="SimSun" w:hAnsi="SimSun" w:eastAsia="SimSun" w:cs="SimSun"/>
          <w:sz w:val="23"/>
          <w:szCs w:val="23"/>
        </w:rPr>
      </w:pPr>
      <w:r>
        <w:rPr>
          <w:rFonts w:ascii="SimHei" w:hAnsi="SimHei" w:eastAsia="SimHei" w:cs="SimHei"/>
          <w:sz w:val="23"/>
          <w:szCs w:val="23"/>
          <w:spacing w:val="8"/>
        </w:rPr>
        <w:t>学习提示</w:t>
      </w:r>
      <w:r>
        <w:rPr>
          <w:rFonts w:ascii="SimHei" w:hAnsi="SimHei" w:eastAsia="SimHei" w:cs="SimHei"/>
          <w:sz w:val="23"/>
          <w:szCs w:val="23"/>
          <w:spacing w:val="8"/>
        </w:rPr>
        <w:t xml:space="preserve">  </w:t>
      </w:r>
      <w:r>
        <w:rPr>
          <w:rFonts w:ascii="SimSun" w:hAnsi="SimSun" w:eastAsia="SimSun" w:cs="SimSun"/>
          <w:sz w:val="23"/>
          <w:szCs w:val="23"/>
          <w:spacing w:val="8"/>
        </w:rPr>
        <w:t>精算师的职业发展是专业知识、实践经验与职业道德的持续积累过程。实践</w:t>
      </w:r>
      <w:r>
        <w:rPr>
          <w:rFonts w:ascii="SimSun" w:hAnsi="SimSun" w:eastAsia="SimSun" w:cs="SimSun"/>
          <w:sz w:val="23"/>
          <w:szCs w:val="23"/>
          <w:spacing w:val="4"/>
        </w:rPr>
        <w:t>中，沟通能力与跨领域协作能力往往决定精算结论能否转</w:t>
      </w:r>
      <w:r>
        <w:rPr>
          <w:rFonts w:ascii="SimSun" w:hAnsi="SimSun" w:eastAsia="SimSun" w:cs="SimSun"/>
          <w:sz w:val="23"/>
          <w:szCs w:val="23"/>
          <w:spacing w:val="3"/>
        </w:rPr>
        <w:t>化为可执行的管理动作，</w:t>
      </w:r>
      <w:r>
        <w:rPr>
          <w:rFonts w:ascii="SimSun" w:hAnsi="SimSun" w:eastAsia="SimSun" w:cs="SimSun"/>
          <w:sz w:val="23"/>
          <w:szCs w:val="23"/>
          <w:spacing w:val="63"/>
        </w:rPr>
        <w:t xml:space="preserve"> </w:t>
      </w:r>
      <w:r>
        <w:rPr>
          <w:rFonts w:ascii="SimSun" w:hAnsi="SimSun" w:eastAsia="SimSun" w:cs="SimSun"/>
          <w:sz w:val="23"/>
          <w:szCs w:val="23"/>
          <w:spacing w:val="3"/>
        </w:rPr>
        <w:t>是区</w:t>
      </w:r>
      <w:bookmarkStart w:name="bookmark12" w:id="18"/>
      <w:bookmarkEnd w:id="18"/>
      <w:r>
        <w:rPr>
          <w:rFonts w:ascii="SimSun" w:hAnsi="SimSun" w:eastAsia="SimSun" w:cs="SimSun"/>
          <w:sz w:val="23"/>
          <w:szCs w:val="23"/>
          <w:spacing w:val="6"/>
        </w:rPr>
        <w:t>分一般技术岗位与资深专业岗位的重要因素。</w:t>
      </w:r>
    </w:p>
    <w:p>
      <w:pPr>
        <w:spacing w:line="288" w:lineRule="auto"/>
        <w:sectPr>
          <w:footerReference w:type="default" r:id="rId10"/>
          <w:pgSz w:w="11906" w:h="16838"/>
          <w:pgMar w:top="400" w:right="1302" w:bottom="980" w:left="1421" w:header="0" w:footer="767" w:gutter="0"/>
        </w:sectPr>
        <w:rPr>
          <w:rFonts w:ascii="SimSun" w:hAnsi="SimSun" w:eastAsia="SimSun" w:cs="SimSun"/>
          <w:sz w:val="23"/>
          <w:szCs w:val="23"/>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25"/>
        <w:spacing w:before="110" w:line="223" w:lineRule="auto"/>
        <w:outlineLvl w:val="1"/>
        <w:rPr>
          <w:rFonts w:ascii="SimHei" w:hAnsi="SimHei" w:eastAsia="SimHei" w:cs="SimHei"/>
          <w:sz w:val="34"/>
          <w:szCs w:val="34"/>
        </w:rPr>
      </w:pPr>
      <w:bookmarkStart w:name="bookmark13" w:id="19"/>
      <w:bookmarkEnd w:id="19"/>
      <w:r>
        <w:rPr>
          <w:rFonts w:ascii="Times New Roman" w:hAnsi="Times New Roman" w:eastAsia="Times New Roman" w:cs="Times New Roman"/>
          <w:sz w:val="34"/>
          <w:szCs w:val="34"/>
          <w:b/>
          <w:bCs/>
          <w:spacing w:val="5"/>
        </w:rPr>
        <w:t>1.3    </w:t>
      </w:r>
      <w:r>
        <w:rPr>
          <w:rFonts w:ascii="SimHei" w:hAnsi="SimHei" w:eastAsia="SimHei" w:cs="SimHei"/>
          <w:sz w:val="34"/>
          <w:szCs w:val="34"/>
          <w:spacing w:val="5"/>
        </w:rPr>
        <w:t>保险实务运作机制</w:t>
      </w:r>
    </w:p>
    <w:p>
      <w:pPr>
        <w:pStyle w:val="BodyText"/>
        <w:spacing w:line="415" w:lineRule="auto"/>
        <w:rPr/>
      </w:pPr>
      <w:r/>
    </w:p>
    <w:p>
      <w:pPr>
        <w:ind w:left="20"/>
        <w:spacing w:before="91" w:line="227" w:lineRule="auto"/>
        <w:outlineLvl w:val="2"/>
        <w:rPr>
          <w:rFonts w:ascii="SimHei" w:hAnsi="SimHei" w:eastAsia="SimHei" w:cs="SimHei"/>
          <w:sz w:val="28"/>
          <w:szCs w:val="28"/>
        </w:rPr>
      </w:pPr>
      <w:bookmarkStart w:name="bookmark53" w:id="20"/>
      <w:bookmarkEnd w:id="20"/>
      <w:r>
        <w:rPr>
          <w:rFonts w:ascii="Times New Roman" w:hAnsi="Times New Roman" w:eastAsia="Times New Roman" w:cs="Times New Roman"/>
          <w:sz w:val="28"/>
          <w:szCs w:val="28"/>
          <w:b/>
          <w:bCs/>
          <w:spacing w:val="8"/>
        </w:rPr>
        <w:t>1.3.1    </w:t>
      </w:r>
      <w:r>
        <w:rPr>
          <w:rFonts w:ascii="SimHei" w:hAnsi="SimHei" w:eastAsia="SimHei" w:cs="SimHei"/>
          <w:sz w:val="28"/>
          <w:szCs w:val="28"/>
          <w:spacing w:val="8"/>
        </w:rPr>
        <w:t>保险公司的核心部门与职能</w:t>
      </w:r>
      <w:r>
        <w:rPr>
          <w:rFonts w:ascii="SimHei" w:hAnsi="SimHei" w:eastAsia="SimHei" w:cs="SimHei"/>
          <w:sz w:val="28"/>
          <w:szCs w:val="28"/>
          <w:spacing w:val="7"/>
        </w:rPr>
        <w:t>分工</w:t>
      </w:r>
    </w:p>
    <w:p>
      <w:pPr>
        <w:pStyle w:val="BodyText"/>
        <w:spacing w:line="274" w:lineRule="auto"/>
        <w:rPr/>
      </w:pPr>
      <w:r/>
    </w:p>
    <w:p>
      <w:pPr>
        <w:ind w:left="5" w:firstLine="479"/>
        <w:spacing w:before="75" w:line="288" w:lineRule="auto"/>
        <w:jc w:val="both"/>
        <w:rPr>
          <w:rFonts w:ascii="SimSun" w:hAnsi="SimSun" w:eastAsia="SimSun" w:cs="SimSun"/>
          <w:sz w:val="23"/>
          <w:szCs w:val="23"/>
        </w:rPr>
      </w:pPr>
      <w:r>
        <w:rPr>
          <w:rFonts w:ascii="SimSun" w:hAnsi="SimSun" w:eastAsia="SimSun" w:cs="SimSun"/>
          <w:sz w:val="23"/>
          <w:szCs w:val="23"/>
          <w:spacing w:val="15"/>
        </w:rPr>
        <w:t>保险公司运营是多部门协作的系统工程。与精算工作密切相关的部门一般包括产</w:t>
      </w:r>
      <w:r>
        <w:rPr>
          <w:rFonts w:ascii="SimSun" w:hAnsi="SimSun" w:eastAsia="SimSun" w:cs="SimSun"/>
          <w:sz w:val="23"/>
          <w:szCs w:val="23"/>
          <w:spacing w:val="2"/>
        </w:rPr>
        <w:t>品、精算、销售渠道、运营、投资、财务、风险管理、业务规划与信息技术等。各部门既</w:t>
      </w:r>
      <w:r>
        <w:rPr>
          <w:rFonts w:ascii="SimSun" w:hAnsi="SimSun" w:eastAsia="SimSun" w:cs="SimSun"/>
          <w:sz w:val="23"/>
          <w:szCs w:val="23"/>
          <w:spacing w:val="4"/>
        </w:rPr>
        <w:t>承担面向市场与客户的前台职能， 也承担面向内部管理</w:t>
      </w:r>
      <w:r>
        <w:rPr>
          <w:rFonts w:ascii="SimSun" w:hAnsi="SimSun" w:eastAsia="SimSun" w:cs="SimSun"/>
          <w:sz w:val="23"/>
          <w:szCs w:val="23"/>
          <w:spacing w:val="3"/>
        </w:rPr>
        <w:t>与风险治理的后台职能。表</w:t>
      </w:r>
      <w:hyperlink w:history="true" w:anchor="bookmark54">
        <w:r>
          <w:rPr>
            <w:rFonts w:ascii="Times New Roman" w:hAnsi="Times New Roman" w:eastAsia="Times New Roman" w:cs="Times New Roman"/>
            <w:sz w:val="23"/>
            <w:szCs w:val="23"/>
            <w:spacing w:val="3"/>
          </w:rPr>
          <w:t>1.6</w:t>
        </w:r>
      </w:hyperlink>
      <w:r>
        <w:rPr>
          <w:rFonts w:ascii="SimSun" w:hAnsi="SimSun" w:eastAsia="SimSun" w:cs="SimSun"/>
          <w:sz w:val="23"/>
          <w:szCs w:val="23"/>
          <w:spacing w:val="3"/>
        </w:rPr>
        <w:t>对</w:t>
      </w:r>
      <w:r>
        <w:rPr>
          <w:rFonts w:ascii="SimSun" w:hAnsi="SimSun" w:eastAsia="SimSun" w:cs="SimSun"/>
          <w:sz w:val="23"/>
          <w:szCs w:val="23"/>
          <w:spacing w:val="6"/>
        </w:rPr>
        <w:t>核心部门职能及其与精算工作的关联作概括说明。</w:t>
      </w:r>
    </w:p>
    <w:p>
      <w:pPr>
        <w:pStyle w:val="BodyText"/>
        <w:spacing w:line="351" w:lineRule="auto"/>
        <w:rPr/>
      </w:pPr>
      <w:r/>
    </w:p>
    <w:p>
      <w:pPr>
        <w:ind w:left="2195"/>
        <w:spacing w:before="75" w:line="226" w:lineRule="auto"/>
        <w:rPr>
          <w:rFonts w:ascii="SimSun" w:hAnsi="SimSun" w:eastAsia="SimSun" w:cs="SimSun"/>
          <w:sz w:val="23"/>
          <w:szCs w:val="23"/>
        </w:rPr>
      </w:pPr>
      <w:bookmarkStart w:name="bookmark54" w:id="21"/>
      <w:bookmarkEnd w:id="21"/>
      <w:r>
        <w:rPr>
          <w:rFonts w:ascii="SimSun" w:hAnsi="SimSun" w:eastAsia="SimSun" w:cs="SimSun"/>
          <w:sz w:val="23"/>
          <w:szCs w:val="23"/>
          <w:spacing w:val="5"/>
        </w:rPr>
        <w:t>表 </w:t>
      </w:r>
      <w:r>
        <w:rPr>
          <w:rFonts w:ascii="Times New Roman" w:hAnsi="Times New Roman" w:eastAsia="Times New Roman" w:cs="Times New Roman"/>
          <w:sz w:val="23"/>
          <w:szCs w:val="23"/>
          <w:spacing w:val="5"/>
        </w:rPr>
        <w:t>1.6:</w:t>
      </w:r>
      <w:r>
        <w:rPr>
          <w:rFonts w:ascii="Times New Roman" w:hAnsi="Times New Roman" w:eastAsia="Times New Roman" w:cs="Times New Roman"/>
          <w:sz w:val="23"/>
          <w:szCs w:val="23"/>
          <w:spacing w:val="57"/>
          <w:w w:val="101"/>
        </w:rPr>
        <w:t xml:space="preserve"> </w:t>
      </w:r>
      <w:r>
        <w:rPr>
          <w:rFonts w:ascii="SimSun" w:hAnsi="SimSun" w:eastAsia="SimSun" w:cs="SimSun"/>
          <w:sz w:val="23"/>
          <w:szCs w:val="23"/>
          <w:spacing w:val="5"/>
        </w:rPr>
        <w:t>保险公司核心部门与精算工作的关联</w:t>
      </w:r>
    </w:p>
    <w:p>
      <w:pPr>
        <w:spacing w:line="209" w:lineRule="exact"/>
        <w:rPr/>
      </w:pPr>
      <w:r/>
    </w:p>
    <w:tbl>
      <w:tblPr>
        <w:tblStyle w:val="TableNormal"/>
        <w:tblW w:w="906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73"/>
        <w:gridCol w:w="4251"/>
        <w:gridCol w:w="3138"/>
      </w:tblGrid>
      <w:tr>
        <w:trPr>
          <w:trHeight w:val="476" w:hRule="atLeast"/>
        </w:trPr>
        <w:tc>
          <w:tcPr>
            <w:tcW w:w="1673" w:type="dxa"/>
            <w:vAlign w:val="top"/>
            <w:tcBorders>
              <w:bottom w:val="single" w:color="000000" w:sz="4" w:space="0"/>
              <w:top w:val="single" w:color="000000" w:sz="6" w:space="0"/>
            </w:tcBorders>
          </w:tcPr>
          <w:p>
            <w:pPr>
              <w:pStyle w:val="TableText"/>
              <w:ind w:left="131"/>
              <w:spacing w:before="116" w:line="227" w:lineRule="auto"/>
              <w:rPr/>
            </w:pPr>
            <w:r>
              <w:rPr>
                <w:spacing w:val="6"/>
              </w:rPr>
              <w:t>部门名称</w:t>
            </w:r>
          </w:p>
        </w:tc>
        <w:tc>
          <w:tcPr>
            <w:tcW w:w="4251" w:type="dxa"/>
            <w:vAlign w:val="top"/>
            <w:tcBorders>
              <w:bottom w:val="single" w:color="000000" w:sz="4" w:space="0"/>
              <w:top w:val="single" w:color="000000" w:sz="6" w:space="0"/>
            </w:tcBorders>
          </w:tcPr>
          <w:p>
            <w:pPr>
              <w:pStyle w:val="TableText"/>
              <w:ind w:left="149"/>
              <w:spacing w:before="116" w:line="228" w:lineRule="auto"/>
              <w:rPr/>
            </w:pPr>
            <w:r>
              <w:rPr>
                <w:spacing w:val="6"/>
              </w:rPr>
              <w:t>核心职能</w:t>
            </w:r>
          </w:p>
        </w:tc>
        <w:tc>
          <w:tcPr>
            <w:tcW w:w="3138" w:type="dxa"/>
            <w:vAlign w:val="top"/>
            <w:tcBorders>
              <w:bottom w:val="single" w:color="000000" w:sz="4" w:space="0"/>
              <w:top w:val="single" w:color="000000" w:sz="6" w:space="0"/>
            </w:tcBorders>
          </w:tcPr>
          <w:p>
            <w:pPr>
              <w:pStyle w:val="TableText"/>
              <w:ind w:left="130"/>
              <w:spacing w:before="116" w:line="226" w:lineRule="auto"/>
              <w:rPr/>
            </w:pPr>
            <w:r>
              <w:rPr>
                <w:spacing w:val="7"/>
              </w:rPr>
              <w:t>与精算工作的关联</w:t>
            </w:r>
          </w:p>
        </w:tc>
      </w:tr>
      <w:tr>
        <w:trPr>
          <w:trHeight w:val="9431" w:hRule="atLeast"/>
        </w:trPr>
        <w:tc>
          <w:tcPr>
            <w:tcW w:w="1673" w:type="dxa"/>
            <w:vAlign w:val="top"/>
            <w:tcBorders>
              <w:top w:val="single" w:color="000000" w:sz="4" w:space="0"/>
              <w:bottom w:val="single" w:color="000000" w:sz="6" w:space="0"/>
            </w:tcBorders>
          </w:tcPr>
          <w:p>
            <w:pPr>
              <w:pStyle w:val="TableText"/>
              <w:ind w:left="128"/>
              <w:spacing w:before="109" w:line="227" w:lineRule="auto"/>
              <w:rPr/>
            </w:pPr>
            <w:r>
              <w:rPr>
                <w:spacing w:val="6"/>
              </w:rPr>
              <w:t>产品部门</w:t>
            </w:r>
          </w:p>
          <w:p>
            <w:pPr>
              <w:spacing w:line="357" w:lineRule="auto"/>
              <w:rPr>
                <w:rFonts w:ascii="Arial"/>
                <w:sz w:val="21"/>
              </w:rPr>
            </w:pPr>
            <w:r/>
          </w:p>
          <w:p>
            <w:pPr>
              <w:spacing w:line="357" w:lineRule="auto"/>
              <w:rPr>
                <w:rFonts w:ascii="Arial"/>
                <w:sz w:val="21"/>
              </w:rPr>
            </w:pPr>
            <w:r/>
          </w:p>
          <w:p>
            <w:pPr>
              <w:pStyle w:val="TableText"/>
              <w:ind w:left="128"/>
              <w:spacing w:before="74" w:line="226" w:lineRule="auto"/>
              <w:rPr/>
            </w:pPr>
            <w:r>
              <w:rPr>
                <w:spacing w:val="6"/>
              </w:rPr>
              <w:t>精算部门</w:t>
            </w:r>
          </w:p>
          <w:p>
            <w:pPr>
              <w:spacing w:line="357" w:lineRule="auto"/>
              <w:rPr>
                <w:rFonts w:ascii="Arial"/>
                <w:sz w:val="21"/>
              </w:rPr>
            </w:pPr>
            <w:r/>
          </w:p>
          <w:p>
            <w:pPr>
              <w:spacing w:line="357" w:lineRule="auto"/>
              <w:rPr>
                <w:rFonts w:ascii="Arial"/>
                <w:sz w:val="21"/>
              </w:rPr>
            </w:pPr>
            <w:r/>
          </w:p>
          <w:p>
            <w:pPr>
              <w:pStyle w:val="TableText"/>
              <w:ind w:left="129"/>
              <w:spacing w:before="75" w:line="227" w:lineRule="auto"/>
              <w:rPr/>
            </w:pPr>
            <w:r>
              <w:rPr>
                <w:spacing w:val="7"/>
              </w:rPr>
              <w:t>销售渠道部门</w:t>
            </w:r>
          </w:p>
          <w:p>
            <w:pPr>
              <w:spacing w:line="356" w:lineRule="auto"/>
              <w:rPr>
                <w:rFonts w:ascii="Arial"/>
                <w:sz w:val="21"/>
              </w:rPr>
            </w:pPr>
            <w:r/>
          </w:p>
          <w:p>
            <w:pPr>
              <w:spacing w:line="357" w:lineRule="auto"/>
              <w:rPr>
                <w:rFonts w:ascii="Arial"/>
                <w:sz w:val="21"/>
              </w:rPr>
            </w:pPr>
            <w:r/>
          </w:p>
          <w:p>
            <w:pPr>
              <w:pStyle w:val="TableText"/>
              <w:ind w:left="128"/>
              <w:spacing w:before="75" w:line="227" w:lineRule="auto"/>
              <w:rPr/>
            </w:pPr>
            <w:r>
              <w:rPr>
                <w:spacing w:val="6"/>
              </w:rPr>
              <w:t>运营部门</w:t>
            </w:r>
          </w:p>
          <w:p>
            <w:pPr>
              <w:spacing w:line="356" w:lineRule="auto"/>
              <w:rPr>
                <w:rFonts w:ascii="Arial"/>
                <w:sz w:val="21"/>
              </w:rPr>
            </w:pPr>
            <w:r/>
          </w:p>
          <w:p>
            <w:pPr>
              <w:spacing w:line="357" w:lineRule="auto"/>
              <w:rPr>
                <w:rFonts w:ascii="Arial"/>
                <w:sz w:val="21"/>
              </w:rPr>
            </w:pPr>
            <w:r/>
          </w:p>
          <w:p>
            <w:pPr>
              <w:pStyle w:val="TableText"/>
              <w:ind w:left="131"/>
              <w:spacing w:before="75" w:line="227" w:lineRule="auto"/>
              <w:rPr/>
            </w:pPr>
            <w:r>
              <w:rPr>
                <w:spacing w:val="6"/>
              </w:rPr>
              <w:t>投资部门</w:t>
            </w:r>
          </w:p>
          <w:p>
            <w:pPr>
              <w:spacing w:line="356" w:lineRule="auto"/>
              <w:rPr>
                <w:rFonts w:ascii="Arial"/>
                <w:sz w:val="21"/>
              </w:rPr>
            </w:pPr>
            <w:r/>
          </w:p>
          <w:p>
            <w:pPr>
              <w:spacing w:line="357" w:lineRule="auto"/>
              <w:rPr>
                <w:rFonts w:ascii="Arial"/>
                <w:sz w:val="21"/>
              </w:rPr>
            </w:pPr>
            <w:r/>
          </w:p>
          <w:p>
            <w:pPr>
              <w:pStyle w:val="TableText"/>
              <w:ind w:left="129"/>
              <w:spacing w:before="75" w:line="227" w:lineRule="auto"/>
              <w:rPr/>
            </w:pPr>
            <w:r>
              <w:rPr>
                <w:spacing w:val="6"/>
              </w:rPr>
              <w:t>财务部门</w:t>
            </w:r>
          </w:p>
          <w:p>
            <w:pPr>
              <w:spacing w:line="356" w:lineRule="auto"/>
              <w:rPr>
                <w:rFonts w:ascii="Arial"/>
                <w:sz w:val="21"/>
              </w:rPr>
            </w:pPr>
            <w:r/>
          </w:p>
          <w:p>
            <w:pPr>
              <w:spacing w:line="357" w:lineRule="auto"/>
              <w:rPr>
                <w:rFonts w:ascii="Arial"/>
                <w:sz w:val="21"/>
              </w:rPr>
            </w:pPr>
            <w:r/>
          </w:p>
          <w:p>
            <w:pPr>
              <w:pStyle w:val="TableText"/>
              <w:ind w:left="129"/>
              <w:spacing w:before="76" w:line="227" w:lineRule="auto"/>
              <w:rPr/>
            </w:pPr>
            <w:r>
              <w:rPr>
                <w:spacing w:val="7"/>
              </w:rPr>
              <w:t>风险管理部门</w:t>
            </w:r>
          </w:p>
          <w:p>
            <w:pPr>
              <w:spacing w:line="356" w:lineRule="auto"/>
              <w:rPr>
                <w:rFonts w:ascii="Arial"/>
                <w:sz w:val="21"/>
              </w:rPr>
            </w:pPr>
            <w:r/>
          </w:p>
          <w:p>
            <w:pPr>
              <w:spacing w:line="357" w:lineRule="auto"/>
              <w:rPr>
                <w:rFonts w:ascii="Arial"/>
                <w:sz w:val="21"/>
              </w:rPr>
            </w:pPr>
            <w:r/>
          </w:p>
          <w:p>
            <w:pPr>
              <w:pStyle w:val="TableText"/>
              <w:ind w:left="127"/>
              <w:spacing w:before="75" w:line="227" w:lineRule="auto"/>
              <w:rPr/>
            </w:pPr>
            <w:r>
              <w:rPr>
                <w:spacing w:val="7"/>
              </w:rPr>
              <w:t>业务规划部门</w:t>
            </w:r>
          </w:p>
          <w:p>
            <w:pPr>
              <w:spacing w:line="357" w:lineRule="auto"/>
              <w:rPr>
                <w:rFonts w:ascii="Arial"/>
                <w:sz w:val="21"/>
              </w:rPr>
            </w:pPr>
            <w:r/>
          </w:p>
          <w:p>
            <w:pPr>
              <w:pStyle w:val="TableText"/>
              <w:ind w:left="128"/>
              <w:spacing w:before="75" w:line="227" w:lineRule="auto"/>
              <w:outlineLvl w:val="2"/>
              <w:rPr/>
            </w:pPr>
            <w:bookmarkStart w:name="bookmark14" w:id="22"/>
            <w:bookmarkEnd w:id="22"/>
            <w:r>
              <w:rPr>
                <w:spacing w:val="7"/>
              </w:rPr>
              <w:t>信息技术部门</w:t>
            </w:r>
          </w:p>
        </w:tc>
        <w:tc>
          <w:tcPr>
            <w:tcW w:w="4251" w:type="dxa"/>
            <w:vAlign w:val="top"/>
            <w:tcBorders>
              <w:top w:val="single" w:color="000000" w:sz="4" w:space="0"/>
              <w:bottom w:val="single" w:color="000000" w:sz="6" w:space="0"/>
            </w:tcBorders>
          </w:tcPr>
          <w:p>
            <w:pPr>
              <w:pStyle w:val="TableText"/>
              <w:ind w:left="147" w:right="8" w:firstLine="5"/>
              <w:spacing w:before="108" w:line="290" w:lineRule="auto"/>
              <w:rPr/>
            </w:pPr>
            <w:r>
              <w:rPr>
                <w:spacing w:val="10"/>
              </w:rPr>
              <w:t>市场需求调研、产品设计、条款拟定、</w:t>
            </w:r>
            <w:r>
              <w:rPr>
                <w:spacing w:val="6"/>
              </w:rPr>
              <w:t>合规审核</w:t>
            </w:r>
          </w:p>
          <w:p>
            <w:pPr>
              <w:spacing w:line="278" w:lineRule="auto"/>
              <w:rPr>
                <w:rFonts w:ascii="Arial"/>
                <w:sz w:val="21"/>
              </w:rPr>
            </w:pPr>
            <w:r/>
          </w:p>
          <w:p>
            <w:pPr>
              <w:pStyle w:val="TableText"/>
              <w:ind w:left="146" w:right="122"/>
              <w:spacing w:before="74" w:line="289" w:lineRule="auto"/>
              <w:rPr/>
            </w:pPr>
            <w:r>
              <w:rPr>
                <w:spacing w:val="4"/>
              </w:rPr>
              <w:t>产品定价、准备金评估、经验分析、偿</w:t>
            </w:r>
            <w:r>
              <w:rPr>
                <w:spacing w:val="8"/>
              </w:rPr>
              <w:t>付能力管理、红利分配</w:t>
            </w:r>
          </w:p>
          <w:p>
            <w:pPr>
              <w:spacing w:line="277" w:lineRule="auto"/>
              <w:rPr>
                <w:rFonts w:ascii="Arial"/>
                <w:sz w:val="21"/>
              </w:rPr>
            </w:pPr>
            <w:r/>
          </w:p>
          <w:p>
            <w:pPr>
              <w:pStyle w:val="TableText"/>
              <w:ind w:left="146" w:right="122"/>
              <w:spacing w:before="75" w:line="290" w:lineRule="auto"/>
              <w:rPr/>
            </w:pPr>
            <w:r>
              <w:rPr>
                <w:spacing w:val="4"/>
              </w:rPr>
              <w:t>渠道拓展、销售策略、团队管理与业绩</w:t>
            </w:r>
            <w:r>
              <w:rPr>
                <w:spacing w:val="4"/>
              </w:rPr>
              <w:t>追踪</w:t>
            </w:r>
          </w:p>
          <w:p>
            <w:pPr>
              <w:spacing w:line="277" w:lineRule="auto"/>
              <w:rPr>
                <w:rFonts w:ascii="Arial"/>
                <w:sz w:val="21"/>
              </w:rPr>
            </w:pPr>
            <w:r/>
          </w:p>
          <w:p>
            <w:pPr>
              <w:pStyle w:val="TableText"/>
              <w:ind w:left="149"/>
              <w:spacing w:before="75" w:line="227" w:lineRule="auto"/>
              <w:rPr/>
            </w:pPr>
            <w:r>
              <w:rPr>
                <w:spacing w:val="8"/>
              </w:rPr>
              <w:t>核保、保全、理赔与保单管理</w:t>
            </w:r>
          </w:p>
          <w:p>
            <w:pPr>
              <w:spacing w:line="356" w:lineRule="auto"/>
              <w:rPr>
                <w:rFonts w:ascii="Arial"/>
                <w:sz w:val="21"/>
              </w:rPr>
            </w:pPr>
            <w:r/>
          </w:p>
          <w:p>
            <w:pPr>
              <w:spacing w:line="357" w:lineRule="auto"/>
              <w:rPr>
                <w:rFonts w:ascii="Arial"/>
                <w:sz w:val="21"/>
              </w:rPr>
            </w:pPr>
            <w:r/>
          </w:p>
          <w:p>
            <w:pPr>
              <w:pStyle w:val="TableText"/>
              <w:ind w:left="149"/>
              <w:spacing w:before="75" w:line="227" w:lineRule="auto"/>
              <w:rPr/>
            </w:pPr>
            <w:r>
              <w:rPr>
                <w:spacing w:val="8"/>
              </w:rPr>
              <w:t>投资策略、组合管理与收益监控</w:t>
            </w:r>
          </w:p>
          <w:p>
            <w:pPr>
              <w:spacing w:line="356" w:lineRule="auto"/>
              <w:rPr>
                <w:rFonts w:ascii="Arial"/>
                <w:sz w:val="21"/>
              </w:rPr>
            </w:pPr>
            <w:r/>
          </w:p>
          <w:p>
            <w:pPr>
              <w:spacing w:line="357" w:lineRule="auto"/>
              <w:rPr>
                <w:rFonts w:ascii="Arial"/>
                <w:sz w:val="21"/>
              </w:rPr>
            </w:pPr>
            <w:r/>
          </w:p>
          <w:p>
            <w:pPr>
              <w:pStyle w:val="TableText"/>
              <w:ind w:left="149"/>
              <w:spacing w:before="75" w:line="227" w:lineRule="auto"/>
              <w:rPr/>
            </w:pPr>
            <w:r>
              <w:rPr>
                <w:spacing w:val="8"/>
              </w:rPr>
              <w:t>核算与报表、预算管理、资金管理</w:t>
            </w:r>
          </w:p>
          <w:p>
            <w:pPr>
              <w:spacing w:line="357" w:lineRule="auto"/>
              <w:rPr>
                <w:rFonts w:ascii="Arial"/>
                <w:sz w:val="21"/>
              </w:rPr>
            </w:pPr>
            <w:r/>
          </w:p>
          <w:p>
            <w:pPr>
              <w:spacing w:line="357" w:lineRule="auto"/>
              <w:rPr>
                <w:rFonts w:ascii="Arial"/>
                <w:sz w:val="21"/>
              </w:rPr>
            </w:pPr>
            <w:r/>
          </w:p>
          <w:p>
            <w:pPr>
              <w:pStyle w:val="TableText"/>
              <w:ind w:left="147"/>
              <w:spacing w:before="75" w:line="225" w:lineRule="auto"/>
              <w:rPr/>
            </w:pPr>
            <w:r>
              <w:rPr>
                <w:spacing w:val="8"/>
              </w:rPr>
              <w:t>风险识别、评估、监控与制度建设</w:t>
            </w:r>
          </w:p>
          <w:p>
            <w:pPr>
              <w:spacing w:line="357" w:lineRule="auto"/>
              <w:rPr>
                <w:rFonts w:ascii="Arial"/>
                <w:sz w:val="21"/>
              </w:rPr>
            </w:pPr>
            <w:r/>
          </w:p>
          <w:p>
            <w:pPr>
              <w:spacing w:line="358" w:lineRule="auto"/>
              <w:rPr>
                <w:rFonts w:ascii="Arial"/>
                <w:sz w:val="21"/>
              </w:rPr>
            </w:pPr>
            <w:r/>
          </w:p>
          <w:p>
            <w:pPr>
              <w:pStyle w:val="TableText"/>
              <w:ind w:left="157"/>
              <w:spacing w:before="75" w:line="227" w:lineRule="auto"/>
              <w:rPr/>
            </w:pPr>
            <w:r>
              <w:rPr>
                <w:spacing w:val="7"/>
              </w:rPr>
              <w:t>战略规划与年度目标、经营数据分析</w:t>
            </w:r>
          </w:p>
          <w:p>
            <w:pPr>
              <w:spacing w:line="357" w:lineRule="auto"/>
              <w:rPr>
                <w:rFonts w:ascii="Arial"/>
                <w:sz w:val="21"/>
              </w:rPr>
            </w:pPr>
            <w:r/>
          </w:p>
          <w:p>
            <w:pPr>
              <w:pStyle w:val="TableText"/>
              <w:ind w:left="151"/>
              <w:spacing w:before="75" w:line="227" w:lineRule="auto"/>
              <w:rPr/>
            </w:pPr>
            <w:r>
              <w:rPr>
                <w:spacing w:val="8"/>
              </w:rPr>
              <w:t>系统开发维护、数据管理与技术支持</w:t>
            </w:r>
          </w:p>
        </w:tc>
        <w:tc>
          <w:tcPr>
            <w:tcW w:w="3138" w:type="dxa"/>
            <w:vAlign w:val="top"/>
            <w:tcBorders>
              <w:top w:val="single" w:color="000000" w:sz="4" w:space="0"/>
              <w:bottom w:val="single" w:color="000000" w:sz="6" w:space="0"/>
            </w:tcBorders>
          </w:tcPr>
          <w:p>
            <w:pPr>
              <w:pStyle w:val="TableText"/>
              <w:ind w:left="125" w:right="118"/>
              <w:spacing w:before="108" w:line="288" w:lineRule="auto"/>
              <w:rPr/>
            </w:pPr>
            <w:r>
              <w:rPr>
                <w:spacing w:val="11"/>
              </w:rPr>
              <w:t>提出开发需求，与精算协作</w:t>
            </w:r>
            <w:r>
              <w:rPr>
                <w:spacing w:val="11"/>
              </w:rPr>
              <w:t>完成费率厘定、利润测试与</w:t>
            </w:r>
            <w:r>
              <w:rPr>
                <w:spacing w:val="7"/>
              </w:rPr>
              <w:t>产品结构优化</w:t>
            </w:r>
          </w:p>
          <w:p>
            <w:pPr>
              <w:pStyle w:val="TableText"/>
              <w:ind w:left="125" w:right="118"/>
              <w:spacing w:before="2" w:line="287" w:lineRule="auto"/>
              <w:rPr/>
            </w:pPr>
            <w:r>
              <w:rPr>
                <w:spacing w:val="11"/>
              </w:rPr>
              <w:t>执行核心精算职能，为各部</w:t>
            </w:r>
            <w:r>
              <w:rPr>
                <w:spacing w:val="11"/>
              </w:rPr>
              <w:t>门提供风险计量与价值计量</w:t>
            </w:r>
            <w:r>
              <w:rPr>
                <w:spacing w:val="3"/>
              </w:rPr>
              <w:t>支持</w:t>
            </w:r>
          </w:p>
          <w:p>
            <w:pPr>
              <w:pStyle w:val="TableText"/>
              <w:ind w:left="125" w:right="4"/>
              <w:spacing w:before="2" w:line="287" w:lineRule="auto"/>
              <w:rPr/>
            </w:pPr>
            <w:r>
              <w:rPr>
                <w:spacing w:val="20"/>
              </w:rPr>
              <w:t>提供渠道成本与市场反馈，</w:t>
            </w:r>
            <w:r>
              <w:rPr>
                <w:spacing w:val="11"/>
              </w:rPr>
              <w:t>影响费用假设、产品策略与</w:t>
            </w:r>
            <w:r>
              <w:rPr>
                <w:spacing w:val="7"/>
              </w:rPr>
              <w:t>定价可持续性</w:t>
            </w:r>
          </w:p>
          <w:p>
            <w:pPr>
              <w:pStyle w:val="TableText"/>
              <w:ind w:left="124" w:right="118" w:firstLine="1"/>
              <w:spacing w:before="3" w:line="287" w:lineRule="auto"/>
              <w:rPr/>
            </w:pPr>
            <w:r>
              <w:rPr>
                <w:spacing w:val="11"/>
              </w:rPr>
              <w:t>提供核保、理赔、退保等经</w:t>
            </w:r>
            <w:r>
              <w:rPr>
                <w:spacing w:val="11"/>
              </w:rPr>
              <w:t>验数据，支撑经验分析、负</w:t>
            </w:r>
            <w:r>
              <w:rPr>
                <w:spacing w:val="8"/>
              </w:rPr>
              <w:t>债评估与风险管控</w:t>
            </w:r>
          </w:p>
          <w:p>
            <w:pPr>
              <w:pStyle w:val="TableText"/>
              <w:ind w:left="124" w:right="4" w:firstLine="1"/>
              <w:spacing w:before="6" w:line="287" w:lineRule="auto"/>
              <w:rPr/>
            </w:pPr>
            <w:r>
              <w:rPr>
                <w:spacing w:val="11"/>
              </w:rPr>
              <w:t>提供投资收益与资产配置信</w:t>
            </w:r>
            <w:r>
              <w:rPr>
                <w:spacing w:val="11"/>
              </w:rPr>
              <w:t>息，支撑资产负债匹配、利</w:t>
            </w:r>
            <w:r>
              <w:rPr>
                <w:spacing w:val="8"/>
              </w:rPr>
              <w:t>率风险管理与折现口径论证</w:t>
            </w:r>
            <w:r>
              <w:rPr>
                <w:spacing w:val="11"/>
              </w:rPr>
              <w:t>与精算协同完成准备金变动</w:t>
            </w:r>
            <w:r>
              <w:rPr>
                <w:spacing w:val="20"/>
              </w:rPr>
              <w:t>解释与利润计量口径衔接，</w:t>
            </w:r>
            <w:r>
              <w:rPr>
                <w:spacing w:val="8"/>
              </w:rPr>
              <w:t>提供财务数据支持</w:t>
            </w:r>
          </w:p>
          <w:p>
            <w:pPr>
              <w:pStyle w:val="TableText"/>
              <w:ind w:left="125" w:right="4" w:firstLine="4"/>
              <w:spacing w:before="3" w:line="287" w:lineRule="auto"/>
              <w:rPr/>
            </w:pPr>
            <w:r>
              <w:rPr>
                <w:spacing w:val="20"/>
              </w:rPr>
              <w:t>与精算协作进行风险边际、</w:t>
            </w:r>
            <w:r>
              <w:rPr>
                <w:spacing w:val="11"/>
              </w:rPr>
              <w:t>资本需求与偿付能力相关计</w:t>
            </w:r>
            <w:r>
              <w:rPr>
                <w:spacing w:val="8"/>
              </w:rPr>
              <w:t>量，形成风险治理闭环</w:t>
            </w:r>
          </w:p>
          <w:p>
            <w:pPr>
              <w:pStyle w:val="TableText"/>
              <w:ind w:left="127" w:right="4" w:hanging="1"/>
              <w:spacing w:before="2" w:line="287" w:lineRule="auto"/>
              <w:rPr/>
            </w:pPr>
            <w:r>
              <w:rPr>
                <w:spacing w:val="20"/>
              </w:rPr>
              <w:t>提供规划口径与目标约束，</w:t>
            </w:r>
            <w:r>
              <w:rPr>
                <w:spacing w:val="8"/>
              </w:rPr>
              <w:t>参与假设设定与经营评估</w:t>
            </w:r>
          </w:p>
          <w:p>
            <w:pPr>
              <w:pStyle w:val="TableText"/>
              <w:ind w:left="127" w:right="118" w:hanging="1"/>
              <w:spacing w:before="4" w:line="284" w:lineRule="auto"/>
              <w:rPr/>
            </w:pPr>
            <w:r>
              <w:rPr>
                <w:spacing w:val="11"/>
              </w:rPr>
              <w:t>支撑精算模型运行、数据治</w:t>
            </w:r>
            <w:r>
              <w:rPr>
                <w:spacing w:val="10"/>
              </w:rPr>
              <w:t>理与计算效率保障，形成可</w:t>
            </w:r>
            <w:r>
              <w:rPr>
                <w:spacing w:val="7"/>
              </w:rPr>
              <w:t>审计的数据与模型链路</w:t>
            </w:r>
          </w:p>
        </w:tc>
      </w:tr>
    </w:tbl>
    <w:p>
      <w:pPr>
        <w:pStyle w:val="BodyText"/>
        <w:rPr/>
      </w:pPr>
      <w:r/>
    </w:p>
    <w:p>
      <w:pPr>
        <w:sectPr>
          <w:footerReference w:type="default" r:id="rId11"/>
          <w:pgSz w:w="11906" w:h="16838"/>
          <w:pgMar w:top="400" w:right="1417" w:bottom="983" w:left="1421" w:header="0" w:footer="768" w:gutter="0"/>
        </w:sectPr>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24"/>
        <w:spacing w:before="91" w:line="226" w:lineRule="auto"/>
        <w:outlineLvl w:val="2"/>
        <w:rPr>
          <w:rFonts w:ascii="SimHei" w:hAnsi="SimHei" w:eastAsia="SimHei" w:cs="SimHei"/>
          <w:sz w:val="28"/>
          <w:szCs w:val="28"/>
        </w:rPr>
      </w:pPr>
      <w:bookmarkStart w:name="bookmark55" w:id="23"/>
      <w:bookmarkEnd w:id="23"/>
      <w:r>
        <w:rPr>
          <w:rFonts w:ascii="Times New Roman" w:hAnsi="Times New Roman" w:eastAsia="Times New Roman" w:cs="Times New Roman"/>
          <w:sz w:val="28"/>
          <w:szCs w:val="28"/>
          <w:b/>
          <w:bCs/>
          <w:spacing w:val="8"/>
        </w:rPr>
        <w:t>1.3.2    </w:t>
      </w:r>
      <w:r>
        <w:rPr>
          <w:rFonts w:ascii="SimHei" w:hAnsi="SimHei" w:eastAsia="SimHei" w:cs="SimHei"/>
          <w:sz w:val="28"/>
          <w:szCs w:val="28"/>
          <w:spacing w:val="8"/>
        </w:rPr>
        <w:t>保险公司的核心运营逻辑</w:t>
      </w:r>
    </w:p>
    <w:p>
      <w:pPr>
        <w:ind w:left="7" w:right="463" w:firstLine="481"/>
        <w:spacing w:before="224" w:line="291" w:lineRule="auto"/>
        <w:jc w:val="both"/>
        <w:rPr>
          <w:rFonts w:ascii="SimSun" w:hAnsi="SimSun" w:eastAsia="SimSun" w:cs="SimSun"/>
          <w:sz w:val="23"/>
          <w:szCs w:val="23"/>
        </w:rPr>
      </w:pPr>
      <w:r>
        <w:pict>
          <v:group id="_x0000_s2" style="position:absolute;margin-left:0pt;margin-top:74.5538pt;mso-position-vertical-relative:text;mso-position-horizontal-relative:text;width:476.75pt;height:142.7pt;z-index:-251658240;" filled="false" stroked="false" coordsize="9535,2854" coordorigin="0,0">
            <v:shape id="_x0000_s4" style="position:absolute;left:110;top:0;width:9425;height:1262;" filled="false" strokecolor="#000000" strokeweight="0.70pt" coordsize="9425,1262" coordorigin="0,0" path="m1787,6l86,6c42,6,6,42,6,86l6,1174c6,1218,42,1254,86,1254l1787,1254c1831,1254,1867,1218,1867,1174l1867,86c1867,42,1831,6,1787,6m4115,296l2641,296c2597,296,2561,332,2561,376l2561,884c2561,928,2597,964,2641,964l4115,964c4159,964,4194,928,4194,884l4194,376c4194,332,4159,296,4115,296m6896,295l4968,295c4924,295,4889,331,4889,375l4889,885c4889,929,4924,965,4968,965l6896,965c6940,965,6976,929,6976,885l6976,375c6976,331,6940,295,6896,295m9337,296l7750,296c7706,296,7670,332,7670,376l7670,885c7670,929,7706,965,7750,965l9337,965c9381,965,9417,929,9417,885l9417,376c9417,332,9381,296,9337,296m1874,630l2541,630e">
              <v:stroke joinstyle="miter" miterlimit="10"/>
            </v:shape>
            <v:shape id="_x0000_s6" style="position:absolute;left:2616;top:586;width:48;height:90;" filled="false" strokecolor="#000000" strokeweight="0.56pt" coordsize="48,90" coordorigin="0,0" path="m5,5c8,20,34,42,42,44c34,47,8,69,5,83e">
              <v:stroke endcap="round" miterlimit="10"/>
            </v:shape>
            <v:shape id="_x0000_s8" style="position:absolute;left:4311;top:623;width:668;height:14;" filled="false" strokecolor="#000000" strokeweight="0.70pt" coordsize="668,14" coordorigin="0,0" path="m0,6l667,6e">
              <v:stroke joinstyle="miter" miterlimit="10"/>
            </v:shape>
            <v:shape id="_x0000_s10" style="position:absolute;left:4944;top:586;width:48;height:90;" filled="false" strokecolor="#000000" strokeweight="0.56pt" coordsize="48,90" coordorigin="0,0" path="m5,5c8,20,34,42,42,44c34,47,8,69,5,83e">
              <v:stroke endcap="round" miterlimit="10"/>
            </v:shape>
            <v:shape id="_x0000_s12" style="position:absolute;left:7093;top:623;width:668;height:14;" filled="false" strokecolor="#000000" strokeweight="0.70pt" coordsize="668,14" coordorigin="0,0" path="m0,6l667,6e">
              <v:stroke joinstyle="miter" miterlimit="10"/>
            </v:shape>
            <v:shape id="_x0000_s14" style="position:absolute;left:7725;top:586;width:48;height:90;" filled="false" strokecolor="#000000" strokeweight="0.56pt" coordsize="48,90" coordorigin="0,0" path="m5,5c8,20,34,42,42,44c34,47,8,69,5,83e">
              <v:stroke endcap="round" miterlimit="10"/>
            </v:shape>
            <v:shape id="_x0000_s16" style="position:absolute;left:0;top:966;width:6977;height:1887;" filled="false" strokecolor="#000000" strokeweight="0.70pt" coordsize="6977,1887" coordorigin="0,0" path="m6889,918l86,918c42,918,6,954,6,998l6,1799c6,1843,42,1879,86,1879l6889,1879c6933,1879,6969,1843,6969,1799l6969,998c6969,954,6933,918,6889,918m5539,5l4215,904e">
              <v:stroke joinstyle="miter" miterlimit="10"/>
            </v:shape>
            <v:shape id="_x0000_s18" style="position:absolute;left:4179;top:1814;width:90;height:101;" filled="false" strokecolor="#000000" strokeweight="0.56pt" coordsize="90,101" coordorigin="0,0" path="m81,72c71,61,37,58,29,60c34,54,44,21,38,7e">
              <v:stroke endcap="round" miterlimit="10"/>
            </v:shape>
          </v:group>
        </w:pict>
      </w:r>
      <w:r>
        <w:rPr>
          <w:rFonts w:ascii="SimSun" w:hAnsi="SimSun" w:eastAsia="SimSun" w:cs="SimSun"/>
          <w:sz w:val="23"/>
          <w:szCs w:val="23"/>
        </w:rPr>
        <w:t>保险公司运营可概括为两个相互衔接的核心环节：</w:t>
      </w:r>
      <w:r>
        <w:rPr>
          <w:rFonts w:ascii="SimSun" w:hAnsi="SimSun" w:eastAsia="SimSun" w:cs="SimSun"/>
          <w:sz w:val="23"/>
          <w:szCs w:val="23"/>
          <w:spacing w:val="71"/>
        </w:rPr>
        <w:t xml:space="preserve"> </w:t>
      </w:r>
      <w:r>
        <w:rPr>
          <w:rFonts w:ascii="SimSun" w:hAnsi="SimSun" w:eastAsia="SimSun" w:cs="SimSun"/>
          <w:sz w:val="23"/>
          <w:szCs w:val="23"/>
        </w:rPr>
        <w:t>不确定性与财务影响的转移， 以</w:t>
      </w:r>
      <w:r>
        <w:rPr>
          <w:rFonts w:ascii="SimSun" w:hAnsi="SimSun" w:eastAsia="SimSun" w:cs="SimSun"/>
          <w:sz w:val="23"/>
          <w:szCs w:val="23"/>
          <w:spacing w:val="4"/>
        </w:rPr>
        <w:t>及不确定性与财务影响的管理。前者面向客户与市场，</w:t>
      </w:r>
      <w:r>
        <w:rPr>
          <w:rFonts w:ascii="SimSun" w:hAnsi="SimSun" w:eastAsia="SimSun" w:cs="SimSun"/>
          <w:sz w:val="23"/>
          <w:szCs w:val="23"/>
          <w:spacing w:val="61"/>
        </w:rPr>
        <w:t xml:space="preserve"> </w:t>
      </w:r>
      <w:r>
        <w:rPr>
          <w:rFonts w:ascii="SimSun" w:hAnsi="SimSun" w:eastAsia="SimSun" w:cs="SimSun"/>
          <w:sz w:val="23"/>
          <w:szCs w:val="23"/>
          <w:spacing w:val="4"/>
        </w:rPr>
        <w:t>后者面向公司内部</w:t>
      </w:r>
      <w:r>
        <w:rPr>
          <w:rFonts w:ascii="SimSun" w:hAnsi="SimSun" w:eastAsia="SimSun" w:cs="SimSun"/>
          <w:sz w:val="23"/>
          <w:szCs w:val="23"/>
          <w:spacing w:val="3"/>
        </w:rPr>
        <w:t>治理与资源配</w:t>
      </w:r>
      <w:r>
        <w:rPr>
          <w:rFonts w:ascii="SimSun" w:hAnsi="SimSun" w:eastAsia="SimSun" w:cs="SimSun"/>
          <w:sz w:val="23"/>
          <w:szCs w:val="23"/>
          <w:spacing w:val="-8"/>
        </w:rPr>
        <w:t>置。</w:t>
      </w:r>
    </w:p>
    <w:p>
      <w:pPr>
        <w:ind w:left="563" w:right="7994" w:firstLine="2"/>
        <w:spacing w:before="258" w:line="232" w:lineRule="auto"/>
        <w:rPr>
          <w:rFonts w:ascii="SimSun" w:hAnsi="SimSun" w:eastAsia="SimSun" w:cs="SimSun"/>
          <w:sz w:val="23"/>
          <w:szCs w:val="23"/>
        </w:rPr>
      </w:pPr>
      <w:r>
        <w:pict>
          <v:shape id="_x0000_s20" style="position:absolute;margin-left:259.321pt;margin-top:26.3616pt;mso-position-vertical-relative:text;mso-position-horizontal-relative:text;width:86.15pt;height:30.6pt;z-index:251659264;" filled="false" stroked="false" type="#_x0000_t202">
            <v:fill on="false"/>
            <v:stroke on="false"/>
            <v:path/>
            <v:imagedata o:title=""/>
            <o:lock v:ext="edit" aspectratio="false"/>
            <v:textbox inset="0mm,0mm,0mm,0mm">
              <w:txbxContent>
                <w:p>
                  <w:pPr>
                    <w:ind w:left="369"/>
                    <w:spacing w:before="19" w:line="228" w:lineRule="auto"/>
                    <w:rPr>
                      <w:rFonts w:ascii="SimSun" w:hAnsi="SimSun" w:eastAsia="SimSun" w:cs="SimSun"/>
                      <w:sz w:val="23"/>
                      <w:szCs w:val="23"/>
                    </w:rPr>
                  </w:pPr>
                  <w:r>
                    <w:rPr>
                      <w:rFonts w:ascii="SimSun" w:hAnsi="SimSun" w:eastAsia="SimSun" w:cs="SimSun"/>
                      <w:sz w:val="23"/>
                      <w:szCs w:val="23"/>
                      <w:spacing w:val="16"/>
                    </w:rPr>
                    <w:t>保险公司</w:t>
                  </w:r>
                </w:p>
                <w:p>
                  <w:pPr>
                    <w:ind w:left="20"/>
                    <w:spacing w:before="5" w:line="227" w:lineRule="auto"/>
                    <w:rPr>
                      <w:rFonts w:ascii="SimSun" w:hAnsi="SimSun" w:eastAsia="SimSun" w:cs="SimSun"/>
                      <w:sz w:val="23"/>
                      <w:szCs w:val="23"/>
                    </w:rPr>
                  </w:pPr>
                  <w:r>
                    <w:rPr>
                      <w:rFonts w:ascii="SimSun" w:hAnsi="SimSun" w:eastAsia="SimSun" w:cs="SimSun"/>
                      <w:sz w:val="23"/>
                      <w:szCs w:val="23"/>
                      <w:spacing w:val="10"/>
                    </w:rPr>
                    <w:t>风险集合与管理</w:t>
                  </w:r>
                </w:p>
              </w:txbxContent>
            </v:textbox>
          </v:shape>
        </w:pict>
      </w:r>
      <w:r>
        <w:pict>
          <v:shape id="_x0000_s22" style="position:absolute;margin-left:401.807pt;margin-top:26.3846pt;mso-position-vertical-relative:text;mso-position-horizontal-relative:text;width:62.3pt;height:30.65pt;z-index:251660288;" filled="false" stroked="false" type="#_x0000_t202">
            <v:fill on="false"/>
            <v:stroke on="false"/>
            <v:path/>
            <v:imagedata o:title=""/>
            <o:lock v:ext="edit" aspectratio="false"/>
            <v:textbox inset="0mm,0mm,0mm,0mm">
              <w:txbxContent>
                <w:p>
                  <w:pPr>
                    <w:ind w:left="20" w:right="20"/>
                    <w:spacing w:before="19" w:line="234" w:lineRule="auto"/>
                    <w:rPr>
                      <w:rFonts w:ascii="SimSun" w:hAnsi="SimSun" w:eastAsia="SimSun" w:cs="SimSun"/>
                      <w:sz w:val="23"/>
                      <w:szCs w:val="23"/>
                    </w:rPr>
                  </w:pPr>
                  <w:r>
                    <w:rPr>
                      <w:rFonts w:ascii="SimSun" w:hAnsi="SimSun" w:eastAsia="SimSun" w:cs="SimSun"/>
                      <w:sz w:val="23"/>
                      <w:szCs w:val="23"/>
                      <w:spacing w:val="11"/>
                    </w:rPr>
                    <w:t>给付与赔付</w:t>
                  </w:r>
                  <w:r>
                    <w:rPr>
                      <w:rFonts w:ascii="SimSun" w:hAnsi="SimSun" w:eastAsia="SimSun" w:cs="SimSun"/>
                      <w:sz w:val="23"/>
                      <w:szCs w:val="23"/>
                      <w:spacing w:val="10"/>
                    </w:rPr>
                    <w:t>现金流支出</w:t>
                  </w:r>
                </w:p>
              </w:txbxContent>
            </v:textbox>
          </v:shape>
        </w:pict>
      </w:r>
      <w:r>
        <w:pict>
          <v:shape id="_x0000_s24" style="position:absolute;margin-left:149.501pt;margin-top:26.4086pt;mso-position-vertical-relative:text;mso-position-horizontal-relative:text;width:50.35pt;height:30.7pt;z-index:251661312;" filled="false" stroked="false" type="#_x0000_t202">
            <v:fill on="false"/>
            <v:stroke on="false"/>
            <v:path/>
            <v:imagedata o:title=""/>
            <o:lock v:ext="edit" aspectratio="false"/>
            <v:textbox inset="0mm,0mm,0mm,0mm">
              <w:txbxContent>
                <w:p>
                  <w:pPr>
                    <w:ind w:left="262"/>
                    <w:spacing w:before="19" w:line="228" w:lineRule="auto"/>
                    <w:rPr>
                      <w:rFonts w:ascii="SimSun" w:hAnsi="SimSun" w:eastAsia="SimSun" w:cs="SimSun"/>
                      <w:sz w:val="23"/>
                      <w:szCs w:val="23"/>
                    </w:rPr>
                  </w:pPr>
                  <w:r>
                    <w:rPr>
                      <w:rFonts w:ascii="SimSun" w:hAnsi="SimSun" w:eastAsia="SimSun" w:cs="SimSun"/>
                      <w:sz w:val="23"/>
                      <w:szCs w:val="23"/>
                      <w:spacing w:val="10"/>
                    </w:rPr>
                    <w:t>保费</w:t>
                  </w:r>
                </w:p>
                <w:p>
                  <w:pPr>
                    <w:ind w:left="20"/>
                    <w:spacing w:before="5" w:line="228" w:lineRule="auto"/>
                    <w:rPr>
                      <w:rFonts w:ascii="SimSun" w:hAnsi="SimSun" w:eastAsia="SimSun" w:cs="SimSun"/>
                      <w:sz w:val="23"/>
                      <w:szCs w:val="23"/>
                    </w:rPr>
                  </w:pPr>
                  <w:r>
                    <w:rPr>
                      <w:rFonts w:ascii="SimSun" w:hAnsi="SimSun" w:eastAsia="SimSun" w:cs="SimSun"/>
                      <w:sz w:val="23"/>
                      <w:szCs w:val="23"/>
                      <w:spacing w:val="11"/>
                    </w:rPr>
                    <w:t>合同成立</w:t>
                  </w:r>
                </w:p>
              </w:txbxContent>
            </v:textbox>
          </v:shape>
        </w:pict>
      </w:r>
      <w:r>
        <w:rPr>
          <w:rFonts w:ascii="SimSun" w:hAnsi="SimSun" w:eastAsia="SimSun" w:cs="SimSun"/>
          <w:sz w:val="23"/>
          <w:szCs w:val="23"/>
          <w:spacing w:val="13"/>
        </w:rPr>
        <w:t>投保人与</w:t>
      </w:r>
      <w:r>
        <w:rPr>
          <w:rFonts w:ascii="SimSun" w:hAnsi="SimSun" w:eastAsia="SimSun" w:cs="SimSun"/>
          <w:sz w:val="23"/>
          <w:szCs w:val="23"/>
          <w:spacing w:val="14"/>
        </w:rPr>
        <w:t>被保险人</w:t>
      </w:r>
    </w:p>
    <w:p>
      <w:pPr>
        <w:ind w:left="564" w:right="7994" w:firstLine="2"/>
        <w:spacing w:line="233" w:lineRule="auto"/>
        <w:rPr>
          <w:rFonts w:ascii="SimSun" w:hAnsi="SimSun" w:eastAsia="SimSun" w:cs="SimSun"/>
          <w:sz w:val="23"/>
          <w:szCs w:val="23"/>
        </w:rPr>
      </w:pPr>
      <w:r>
        <w:rPr>
          <w:rFonts w:ascii="SimSun" w:hAnsi="SimSun" w:eastAsia="SimSun" w:cs="SimSun"/>
          <w:sz w:val="23"/>
          <w:szCs w:val="23"/>
          <w:spacing w:val="13"/>
        </w:rPr>
        <w:t>不确定性</w:t>
      </w:r>
      <w:r>
        <w:rPr>
          <w:rFonts w:ascii="SimSun" w:hAnsi="SimSun" w:eastAsia="SimSun" w:cs="SimSun"/>
          <w:sz w:val="23"/>
          <w:szCs w:val="23"/>
          <w:spacing w:val="13"/>
        </w:rPr>
        <w:t>财务风险</w:t>
      </w:r>
    </w:p>
    <w:p>
      <w:pPr>
        <w:pStyle w:val="BodyText"/>
        <w:spacing w:line="321" w:lineRule="auto"/>
        <w:rPr/>
      </w:pPr>
      <w:r/>
    </w:p>
    <w:p>
      <w:pPr>
        <w:pStyle w:val="BodyText"/>
        <w:spacing w:line="321" w:lineRule="auto"/>
        <w:rPr/>
      </w:pPr>
      <w:r/>
    </w:p>
    <w:p>
      <w:pPr>
        <w:ind w:left="95" w:right="2554"/>
        <w:spacing w:before="75" w:line="232" w:lineRule="auto"/>
        <w:jc w:val="both"/>
        <w:rPr>
          <w:rFonts w:ascii="SimSun" w:hAnsi="SimSun" w:eastAsia="SimSun" w:cs="SimSun"/>
          <w:sz w:val="23"/>
          <w:szCs w:val="23"/>
        </w:rPr>
      </w:pPr>
      <w:r>
        <w:rPr>
          <w:rFonts w:ascii="SimSun" w:hAnsi="SimSun" w:eastAsia="SimSun" w:cs="SimSun"/>
          <w:sz w:val="23"/>
          <w:szCs w:val="23"/>
          <w:spacing w:val="4"/>
        </w:rPr>
        <w:t>对内环节：投资管理、财务管理、准备金评估、偿付能力管理、经</w:t>
      </w:r>
      <w:r>
        <w:rPr>
          <w:rFonts w:ascii="SimSun" w:hAnsi="SimSun" w:eastAsia="SimSun" w:cs="SimSun"/>
          <w:sz w:val="23"/>
          <w:szCs w:val="23"/>
          <w:spacing w:val="7"/>
        </w:rPr>
        <w:t>验分析与业务规划等，将转移进来的风险进行计量、控制与优化，</w:t>
      </w:r>
      <w:r>
        <w:rPr>
          <w:rFonts w:ascii="SimSun" w:hAnsi="SimSun" w:eastAsia="SimSun" w:cs="SimSun"/>
          <w:sz w:val="23"/>
          <w:szCs w:val="23"/>
          <w:spacing w:val="5"/>
        </w:rPr>
        <w:t>实现稳健经营与价值创造。</w:t>
      </w:r>
    </w:p>
    <w:p>
      <w:pPr>
        <w:ind w:left="2740"/>
        <w:spacing w:before="223" w:line="228" w:lineRule="auto"/>
        <w:rPr>
          <w:rFonts w:ascii="SimSun" w:hAnsi="SimSun" w:eastAsia="SimSun" w:cs="SimSun"/>
          <w:sz w:val="23"/>
          <w:szCs w:val="23"/>
        </w:rPr>
      </w:pPr>
      <w:r>
        <w:rPr>
          <w:rFonts w:ascii="SimSun" w:hAnsi="SimSun" w:eastAsia="SimSun" w:cs="SimSun"/>
          <w:sz w:val="23"/>
          <w:szCs w:val="23"/>
          <w:spacing w:val="2"/>
        </w:rPr>
        <w:t>图 </w:t>
      </w:r>
      <w:r>
        <w:rPr>
          <w:rFonts w:ascii="Times New Roman" w:hAnsi="Times New Roman" w:eastAsia="Times New Roman" w:cs="Times New Roman"/>
          <w:sz w:val="23"/>
          <w:szCs w:val="23"/>
          <w:spacing w:val="2"/>
        </w:rPr>
        <w:t>1.1:</w:t>
      </w:r>
      <w:r>
        <w:rPr>
          <w:rFonts w:ascii="Times New Roman" w:hAnsi="Times New Roman" w:eastAsia="Times New Roman" w:cs="Times New Roman"/>
          <w:sz w:val="23"/>
          <w:szCs w:val="23"/>
          <w:spacing w:val="70"/>
          <w:w w:val="101"/>
        </w:rPr>
        <w:t xml:space="preserve"> </w:t>
      </w:r>
      <w:r>
        <w:rPr>
          <w:rFonts w:ascii="SimSun" w:hAnsi="SimSun" w:eastAsia="SimSun" w:cs="SimSun"/>
          <w:sz w:val="23"/>
          <w:szCs w:val="23"/>
          <w:spacing w:val="2"/>
        </w:rPr>
        <w:t>保险公司核心运营逻辑示意</w:t>
      </w:r>
    </w:p>
    <w:p>
      <w:pPr>
        <w:pStyle w:val="BodyText"/>
        <w:spacing w:line="396" w:lineRule="auto"/>
        <w:rPr/>
      </w:pPr>
      <w:r/>
    </w:p>
    <w:p>
      <w:pPr>
        <w:ind w:left="9" w:right="463" w:firstLine="477"/>
        <w:spacing w:before="75" w:line="289" w:lineRule="auto"/>
        <w:jc w:val="both"/>
        <w:rPr>
          <w:rFonts w:ascii="SimSun" w:hAnsi="SimSun" w:eastAsia="SimSun" w:cs="SimSun"/>
          <w:sz w:val="23"/>
          <w:szCs w:val="23"/>
        </w:rPr>
      </w:pPr>
      <w:r>
        <w:rPr>
          <w:rFonts w:ascii="SimSun" w:hAnsi="SimSun" w:eastAsia="SimSun" w:cs="SimSun"/>
          <w:sz w:val="23"/>
          <w:szCs w:val="23"/>
          <w:spacing w:val="4"/>
        </w:rPr>
        <w:t>对外环节的关键在于通过产品开发、销售、</w:t>
      </w:r>
      <w:r>
        <w:rPr>
          <w:rFonts w:ascii="SimSun" w:hAnsi="SimSun" w:eastAsia="SimSun" w:cs="SimSun"/>
          <w:sz w:val="23"/>
          <w:szCs w:val="23"/>
          <w:spacing w:val="3"/>
        </w:rPr>
        <w:t>系统支持、核保承保与理赔服务，</w:t>
      </w:r>
      <w:r>
        <w:rPr>
          <w:rFonts w:ascii="SimSun" w:hAnsi="SimSun" w:eastAsia="SimSun" w:cs="SimSun"/>
          <w:sz w:val="23"/>
          <w:szCs w:val="23"/>
          <w:spacing w:val="61"/>
        </w:rPr>
        <w:t xml:space="preserve"> </w:t>
      </w:r>
      <w:r>
        <w:rPr>
          <w:rFonts w:ascii="SimSun" w:hAnsi="SimSun" w:eastAsia="SimSun" w:cs="SimSun"/>
          <w:sz w:val="23"/>
          <w:szCs w:val="23"/>
          <w:spacing w:val="3"/>
        </w:rPr>
        <w:t>将个</w:t>
      </w:r>
      <w:r>
        <w:rPr>
          <w:rFonts w:ascii="SimSun" w:hAnsi="SimSun" w:eastAsia="SimSun" w:cs="SimSun"/>
          <w:sz w:val="23"/>
          <w:szCs w:val="23"/>
          <w:spacing w:val="3"/>
        </w:rPr>
        <w:t>体层面的不确定性财务风险转移给保险公司，</w:t>
      </w:r>
      <w:r>
        <w:rPr>
          <w:rFonts w:ascii="SimSun" w:hAnsi="SimSun" w:eastAsia="SimSun" w:cs="SimSun"/>
          <w:sz w:val="23"/>
          <w:szCs w:val="23"/>
          <w:spacing w:val="91"/>
        </w:rPr>
        <w:t xml:space="preserve"> </w:t>
      </w:r>
      <w:r>
        <w:rPr>
          <w:rFonts w:ascii="SimSun" w:hAnsi="SimSun" w:eastAsia="SimSun" w:cs="SimSun"/>
          <w:sz w:val="23"/>
          <w:szCs w:val="23"/>
          <w:spacing w:val="3"/>
        </w:rPr>
        <w:t>由保险公司集中承担。对内环节的关键在</w:t>
      </w:r>
      <w:r>
        <w:rPr>
          <w:rFonts w:ascii="SimSun" w:hAnsi="SimSun" w:eastAsia="SimSun" w:cs="SimSun"/>
          <w:sz w:val="23"/>
          <w:szCs w:val="23"/>
          <w:spacing w:val="4"/>
        </w:rPr>
        <w:t>于通过资产负债管理、准备金与资本计量、风险边际与经验假设治理等</w:t>
      </w:r>
      <w:r>
        <w:rPr>
          <w:rFonts w:ascii="SimSun" w:hAnsi="SimSun" w:eastAsia="SimSun" w:cs="SimSun"/>
          <w:sz w:val="23"/>
          <w:szCs w:val="23"/>
          <w:spacing w:val="3"/>
        </w:rPr>
        <w:t>手段，</w:t>
      </w:r>
      <w:r>
        <w:rPr>
          <w:rFonts w:ascii="SimSun" w:hAnsi="SimSun" w:eastAsia="SimSun" w:cs="SimSun"/>
          <w:sz w:val="23"/>
          <w:szCs w:val="23"/>
          <w:spacing w:val="60"/>
        </w:rPr>
        <w:t xml:space="preserve"> </w:t>
      </w:r>
      <w:r>
        <w:rPr>
          <w:rFonts w:ascii="SimSun" w:hAnsi="SimSun" w:eastAsia="SimSun" w:cs="SimSun"/>
          <w:sz w:val="23"/>
          <w:szCs w:val="23"/>
          <w:spacing w:val="3"/>
        </w:rPr>
        <w:t>将集合风</w:t>
      </w:r>
      <w:r>
        <w:rPr>
          <w:rFonts w:ascii="SimSun" w:hAnsi="SimSun" w:eastAsia="SimSun" w:cs="SimSun"/>
          <w:sz w:val="23"/>
          <w:szCs w:val="23"/>
          <w:spacing w:val="8"/>
        </w:rPr>
        <w:t>险转化为可管理的风险结构，并在监管约束</w:t>
      </w:r>
      <w:r>
        <w:rPr>
          <w:rFonts w:ascii="SimSun" w:hAnsi="SimSun" w:eastAsia="SimSun" w:cs="SimSun"/>
          <w:sz w:val="23"/>
          <w:szCs w:val="23"/>
          <w:spacing w:val="7"/>
        </w:rPr>
        <w:t>下实现长期稳健与可持续经营。</w:t>
      </w:r>
    </w:p>
    <w:p>
      <w:pPr>
        <w:pStyle w:val="BodyText"/>
        <w:spacing w:line="327" w:lineRule="auto"/>
        <w:rPr/>
      </w:pPr>
      <w:r/>
    </w:p>
    <w:p>
      <w:pPr>
        <w:ind w:left="24"/>
        <w:spacing w:before="92" w:line="227" w:lineRule="auto"/>
        <w:outlineLvl w:val="2"/>
        <w:rPr>
          <w:rFonts w:ascii="SimHei" w:hAnsi="SimHei" w:eastAsia="SimHei" w:cs="SimHei"/>
          <w:sz w:val="28"/>
          <w:szCs w:val="28"/>
        </w:rPr>
      </w:pPr>
      <w:bookmarkStart w:name="bookmark15" w:id="24"/>
      <w:bookmarkEnd w:id="24"/>
      <w:r>
        <w:rPr>
          <w:rFonts w:ascii="Times New Roman" w:hAnsi="Times New Roman" w:eastAsia="Times New Roman" w:cs="Times New Roman"/>
          <w:sz w:val="28"/>
          <w:szCs w:val="28"/>
          <w:b/>
          <w:bCs/>
          <w:spacing w:val="8"/>
        </w:rPr>
        <w:t>1.3.3    </w:t>
      </w:r>
      <w:r>
        <w:rPr>
          <w:rFonts w:ascii="SimHei" w:hAnsi="SimHei" w:eastAsia="SimHei" w:cs="SimHei"/>
          <w:sz w:val="28"/>
          <w:szCs w:val="28"/>
          <w:spacing w:val="8"/>
        </w:rPr>
        <w:t>监管框架对保险经营的约束</w:t>
      </w:r>
    </w:p>
    <w:p>
      <w:pPr>
        <w:ind w:left="9" w:right="463" w:firstLine="479"/>
        <w:spacing w:before="225" w:line="288" w:lineRule="auto"/>
        <w:jc w:val="both"/>
        <w:rPr>
          <w:rFonts w:ascii="SimSun" w:hAnsi="SimSun" w:eastAsia="SimSun" w:cs="SimSun"/>
          <w:sz w:val="23"/>
          <w:szCs w:val="23"/>
        </w:rPr>
      </w:pPr>
      <w:r>
        <w:rPr>
          <w:rFonts w:ascii="SimSun" w:hAnsi="SimSun" w:eastAsia="SimSun" w:cs="SimSun"/>
          <w:sz w:val="23"/>
          <w:szCs w:val="23"/>
          <w:spacing w:val="15"/>
        </w:rPr>
        <w:t>保险经营在市场机制之外受到监管框架的显著约束，监管关注点通常包括偿付能</w:t>
      </w:r>
      <w:r>
        <w:rPr>
          <w:rFonts w:ascii="SimSun" w:hAnsi="SimSun" w:eastAsia="SimSun" w:cs="SimSun"/>
          <w:sz w:val="23"/>
          <w:szCs w:val="23"/>
          <w:spacing w:val="8"/>
        </w:rPr>
        <w:t>力、产品合规、准备金充足以及信息披露等方面。偿付能力监管要求保险公司具备足够</w:t>
      </w:r>
      <w:r>
        <w:rPr>
          <w:rFonts w:ascii="SimSun" w:hAnsi="SimSun" w:eastAsia="SimSun" w:cs="SimSun"/>
          <w:sz w:val="23"/>
          <w:szCs w:val="23"/>
          <w:spacing w:val="2"/>
        </w:rPr>
        <w:t>资本以履行保险责任；</w:t>
      </w:r>
      <w:r>
        <w:rPr>
          <w:rFonts w:ascii="SimSun" w:hAnsi="SimSun" w:eastAsia="SimSun" w:cs="SimSun"/>
          <w:sz w:val="23"/>
          <w:szCs w:val="23"/>
          <w:spacing w:val="-31"/>
        </w:rPr>
        <w:t xml:space="preserve"> </w:t>
      </w:r>
      <w:r>
        <w:rPr>
          <w:rFonts w:ascii="SimSun" w:hAnsi="SimSun" w:eastAsia="SimSun" w:cs="SimSun"/>
          <w:sz w:val="23"/>
          <w:szCs w:val="23"/>
          <w:spacing w:val="2"/>
        </w:rPr>
        <w:t>产品监管对条款与费</w:t>
      </w:r>
      <w:r>
        <w:rPr>
          <w:rFonts w:ascii="SimSun" w:hAnsi="SimSun" w:eastAsia="SimSun" w:cs="SimSun"/>
          <w:sz w:val="23"/>
          <w:szCs w:val="23"/>
          <w:spacing w:val="1"/>
        </w:rPr>
        <w:t>率进行合规审核并强调消费者权益保护；</w:t>
      </w:r>
      <w:r>
        <w:rPr>
          <w:rFonts w:ascii="SimSun" w:hAnsi="SimSun" w:eastAsia="SimSun" w:cs="SimSun"/>
          <w:sz w:val="23"/>
          <w:szCs w:val="23"/>
          <w:spacing w:val="64"/>
        </w:rPr>
        <w:t xml:space="preserve"> </w:t>
      </w:r>
      <w:r>
        <w:rPr>
          <w:rFonts w:ascii="SimSun" w:hAnsi="SimSun" w:eastAsia="SimSun" w:cs="SimSun"/>
          <w:sz w:val="23"/>
          <w:szCs w:val="23"/>
          <w:spacing w:val="1"/>
        </w:rPr>
        <w:t>准</w:t>
      </w:r>
      <w:r>
        <w:rPr>
          <w:rFonts w:ascii="SimSun" w:hAnsi="SimSun" w:eastAsia="SimSun" w:cs="SimSun"/>
          <w:sz w:val="23"/>
          <w:szCs w:val="23"/>
          <w:spacing w:val="4"/>
        </w:rPr>
        <w:t>备金监管规定计量方法与标准以确保负债计量审慎；</w:t>
      </w:r>
      <w:r>
        <w:rPr>
          <w:rFonts w:ascii="SimSun" w:hAnsi="SimSun" w:eastAsia="SimSun" w:cs="SimSun"/>
          <w:sz w:val="23"/>
          <w:szCs w:val="23"/>
          <w:spacing w:val="62"/>
        </w:rPr>
        <w:t xml:space="preserve"> </w:t>
      </w:r>
      <w:r>
        <w:rPr>
          <w:rFonts w:ascii="SimSun" w:hAnsi="SimSun" w:eastAsia="SimSun" w:cs="SimSun"/>
          <w:sz w:val="23"/>
          <w:szCs w:val="23"/>
          <w:spacing w:val="4"/>
        </w:rPr>
        <w:t>信息披露监管</w:t>
      </w:r>
      <w:r>
        <w:rPr>
          <w:rFonts w:ascii="SimSun" w:hAnsi="SimSun" w:eastAsia="SimSun" w:cs="SimSun"/>
          <w:sz w:val="23"/>
          <w:szCs w:val="23"/>
          <w:spacing w:val="3"/>
        </w:rPr>
        <w:t>要求公司及时、准确</w:t>
      </w:r>
      <w:r>
        <w:rPr>
          <w:rFonts w:ascii="SimSun" w:hAnsi="SimSun" w:eastAsia="SimSun" w:cs="SimSun"/>
          <w:sz w:val="23"/>
          <w:szCs w:val="23"/>
          <w:spacing w:val="4"/>
        </w:rPr>
        <w:t>披露经营状况、财务数据与风险状况。监管框架既提供行</w:t>
      </w:r>
      <w:r>
        <w:rPr>
          <w:rFonts w:ascii="SimSun" w:hAnsi="SimSun" w:eastAsia="SimSun" w:cs="SimSun"/>
          <w:sz w:val="23"/>
          <w:szCs w:val="23"/>
          <w:spacing w:val="3"/>
        </w:rPr>
        <w:t>业稳健运行的外部约束，</w:t>
      </w:r>
      <w:r>
        <w:rPr>
          <w:rFonts w:ascii="SimSun" w:hAnsi="SimSun" w:eastAsia="SimSun" w:cs="SimSun"/>
          <w:sz w:val="23"/>
          <w:szCs w:val="23"/>
          <w:spacing w:val="66"/>
        </w:rPr>
        <w:t xml:space="preserve"> </w:t>
      </w:r>
      <w:r>
        <w:rPr>
          <w:rFonts w:ascii="SimSun" w:hAnsi="SimSun" w:eastAsia="SimSun" w:cs="SimSun"/>
          <w:sz w:val="23"/>
          <w:szCs w:val="23"/>
          <w:spacing w:val="3"/>
        </w:rPr>
        <w:t>也构</w:t>
      </w:r>
      <w:r>
        <w:rPr>
          <w:rFonts w:ascii="SimSun" w:hAnsi="SimSun" w:eastAsia="SimSun" w:cs="SimSun"/>
          <w:sz w:val="23"/>
          <w:szCs w:val="23"/>
          <w:spacing w:val="7"/>
        </w:rPr>
        <w:t>成精算工作中口径设定、结果解释与签署责任的重要依据。</w:t>
      </w:r>
    </w:p>
    <w:p>
      <w:pPr>
        <w:pStyle w:val="BodyText"/>
        <w:spacing w:line="328" w:lineRule="auto"/>
        <w:rPr/>
      </w:pPr>
      <w:r/>
    </w:p>
    <w:p>
      <w:pPr>
        <w:ind w:left="24"/>
        <w:spacing w:before="92" w:line="226" w:lineRule="auto"/>
        <w:outlineLvl w:val="2"/>
        <w:rPr>
          <w:rFonts w:ascii="SimHei" w:hAnsi="SimHei" w:eastAsia="SimHei" w:cs="SimHei"/>
          <w:sz w:val="28"/>
          <w:szCs w:val="28"/>
        </w:rPr>
      </w:pPr>
      <w:bookmarkStart w:name="bookmark16" w:id="25"/>
      <w:bookmarkEnd w:id="25"/>
      <w:r>
        <w:rPr>
          <w:rFonts w:ascii="Times New Roman" w:hAnsi="Times New Roman" w:eastAsia="Times New Roman" w:cs="Times New Roman"/>
          <w:sz w:val="28"/>
          <w:szCs w:val="28"/>
          <w:b/>
          <w:bCs/>
          <w:spacing w:val="8"/>
        </w:rPr>
        <w:t>1.3.4    </w:t>
      </w:r>
      <w:r>
        <w:rPr>
          <w:rFonts w:ascii="SimHei" w:hAnsi="SimHei" w:eastAsia="SimHei" w:cs="SimHei"/>
          <w:sz w:val="28"/>
          <w:szCs w:val="28"/>
          <w:spacing w:val="8"/>
        </w:rPr>
        <w:t>保险行业的经营特点</w:t>
      </w:r>
    </w:p>
    <w:p>
      <w:pPr>
        <w:ind w:left="10" w:right="463" w:firstLine="478"/>
        <w:spacing w:before="228" w:line="288" w:lineRule="auto"/>
        <w:jc w:val="both"/>
        <w:rPr>
          <w:rFonts w:ascii="SimSun" w:hAnsi="SimSun" w:eastAsia="SimSun" w:cs="SimSun"/>
          <w:sz w:val="23"/>
          <w:szCs w:val="23"/>
        </w:rPr>
      </w:pPr>
      <w:r>
        <w:rPr>
          <w:rFonts w:ascii="SimSun" w:hAnsi="SimSun" w:eastAsia="SimSun" w:cs="SimSun"/>
          <w:sz w:val="23"/>
          <w:szCs w:val="23"/>
          <w:spacing w:val="3"/>
        </w:rPr>
        <w:t>保险行业与多数行业存在显著差异， 其典型特征可概括为“收入发生在前，</w:t>
      </w:r>
      <w:r>
        <w:rPr>
          <w:rFonts w:ascii="SimSun" w:hAnsi="SimSun" w:eastAsia="SimSun" w:cs="SimSun"/>
          <w:sz w:val="23"/>
          <w:szCs w:val="23"/>
          <w:spacing w:val="-40"/>
        </w:rPr>
        <w:t xml:space="preserve"> </w:t>
      </w:r>
      <w:r>
        <w:rPr>
          <w:rFonts w:ascii="SimSun" w:hAnsi="SimSun" w:eastAsia="SimSun" w:cs="SimSun"/>
          <w:sz w:val="23"/>
          <w:szCs w:val="23"/>
          <w:spacing w:val="3"/>
        </w:rPr>
        <w:t>成本发</w:t>
      </w:r>
      <w:r>
        <w:rPr>
          <w:rFonts w:ascii="SimSun" w:hAnsi="SimSun" w:eastAsia="SimSun" w:cs="SimSun"/>
          <w:sz w:val="23"/>
          <w:szCs w:val="23"/>
          <w:spacing w:val="-1"/>
        </w:rPr>
        <w:t>生在后；收入相对确定，成本具有不确定性</w:t>
      </w:r>
      <w:r>
        <w:rPr>
          <w:rFonts w:ascii="SimSun" w:hAnsi="SimSun" w:eastAsia="SimSun" w:cs="SimSun"/>
          <w:sz w:val="23"/>
          <w:szCs w:val="23"/>
          <w:spacing w:val="-2"/>
        </w:rPr>
        <w:t>”。保险合同成立后，</w:t>
      </w:r>
      <w:r>
        <w:rPr>
          <w:rFonts w:ascii="SimSun" w:hAnsi="SimSun" w:eastAsia="SimSun" w:cs="SimSun"/>
          <w:sz w:val="23"/>
          <w:szCs w:val="23"/>
          <w:spacing w:val="33"/>
        </w:rPr>
        <w:t xml:space="preserve"> </w:t>
      </w:r>
      <w:r>
        <w:rPr>
          <w:rFonts w:ascii="SimSun" w:hAnsi="SimSun" w:eastAsia="SimSun" w:cs="SimSun"/>
          <w:sz w:val="23"/>
          <w:szCs w:val="23"/>
          <w:spacing w:val="-2"/>
        </w:rPr>
        <w:t>保费一般在前端确认并</w:t>
      </w:r>
      <w:r>
        <w:rPr>
          <w:rFonts w:ascii="SimSun" w:hAnsi="SimSun" w:eastAsia="SimSun" w:cs="SimSun"/>
          <w:sz w:val="23"/>
          <w:szCs w:val="23"/>
          <w:spacing w:val="4"/>
        </w:rPr>
        <w:t>收取，而保险责任对应的赔付与相关现金流支出可能在未来较长期间内</w:t>
      </w:r>
      <w:r>
        <w:rPr>
          <w:rFonts w:ascii="SimSun" w:hAnsi="SimSun" w:eastAsia="SimSun" w:cs="SimSun"/>
          <w:sz w:val="23"/>
          <w:szCs w:val="23"/>
          <w:spacing w:val="3"/>
        </w:rPr>
        <w:t>发生，</w:t>
      </w:r>
      <w:r>
        <w:rPr>
          <w:rFonts w:ascii="SimSun" w:hAnsi="SimSun" w:eastAsia="SimSun" w:cs="SimSun"/>
          <w:sz w:val="23"/>
          <w:szCs w:val="23"/>
          <w:spacing w:val="59"/>
        </w:rPr>
        <w:t xml:space="preserve"> </w:t>
      </w:r>
      <w:r>
        <w:rPr>
          <w:rFonts w:ascii="SimSun" w:hAnsi="SimSun" w:eastAsia="SimSun" w:cs="SimSun"/>
          <w:sz w:val="23"/>
          <w:szCs w:val="23"/>
          <w:spacing w:val="3"/>
        </w:rPr>
        <w:t>且发生与</w:t>
      </w:r>
      <w:r>
        <w:rPr>
          <w:rFonts w:ascii="SimSun" w:hAnsi="SimSun" w:eastAsia="SimSun" w:cs="SimSun"/>
          <w:sz w:val="23"/>
          <w:szCs w:val="23"/>
          <w:spacing w:val="8"/>
        </w:rPr>
        <w:t>否、发生时点与发生金额均具有随机性。该特征决定了保险经营必须依赖准备金制度与</w:t>
      </w:r>
      <w:r>
        <w:rPr>
          <w:rFonts w:ascii="SimSun" w:hAnsi="SimSun" w:eastAsia="SimSun" w:cs="SimSun"/>
          <w:sz w:val="23"/>
          <w:szCs w:val="23"/>
          <w:spacing w:val="1"/>
        </w:rPr>
        <w:t>动态评估机制，</w:t>
      </w:r>
      <w:r>
        <w:rPr>
          <w:rFonts w:ascii="SimSun" w:hAnsi="SimSun" w:eastAsia="SimSun" w:cs="SimSun"/>
          <w:sz w:val="23"/>
          <w:szCs w:val="23"/>
          <w:spacing w:val="-14"/>
        </w:rPr>
        <w:t xml:space="preserve"> </w:t>
      </w:r>
      <w:r>
        <w:rPr>
          <w:rFonts w:ascii="SimSun" w:hAnsi="SimSun" w:eastAsia="SimSun" w:cs="SimSun"/>
          <w:sz w:val="23"/>
          <w:szCs w:val="23"/>
          <w:spacing w:val="1"/>
        </w:rPr>
        <w:t>以确保在未来责任尚未履行时形成足够的负债储备，</w:t>
      </w:r>
      <w:r>
        <w:rPr>
          <w:rFonts w:ascii="SimSun" w:hAnsi="SimSun" w:eastAsia="SimSun" w:cs="SimSun"/>
          <w:sz w:val="23"/>
          <w:szCs w:val="23"/>
          <w:spacing w:val="65"/>
        </w:rPr>
        <w:t xml:space="preserve"> </w:t>
      </w:r>
      <w:r>
        <w:rPr>
          <w:rFonts w:ascii="SimSun" w:hAnsi="SimSun" w:eastAsia="SimSun" w:cs="SimSun"/>
          <w:sz w:val="23"/>
          <w:szCs w:val="23"/>
          <w:spacing w:val="1"/>
        </w:rPr>
        <w:t>并在经营过程中持</w:t>
      </w:r>
      <w:r>
        <w:rPr>
          <w:rFonts w:ascii="SimSun" w:hAnsi="SimSun" w:eastAsia="SimSun" w:cs="SimSun"/>
          <w:sz w:val="23"/>
          <w:szCs w:val="23"/>
          <w:spacing w:val="5"/>
        </w:rPr>
        <w:t>续监控经验偏离与风险变化。</w:t>
      </w:r>
    </w:p>
    <w:p>
      <w:pPr>
        <w:ind w:left="10" w:right="463" w:firstLine="491"/>
        <w:spacing w:before="3" w:line="289" w:lineRule="auto"/>
        <w:rPr>
          <w:rFonts w:ascii="SimSun" w:hAnsi="SimSun" w:eastAsia="SimSun" w:cs="SimSun"/>
          <w:sz w:val="23"/>
          <w:szCs w:val="23"/>
        </w:rPr>
      </w:pPr>
      <w:r>
        <w:rPr>
          <w:rFonts w:ascii="SimSun" w:hAnsi="SimSun" w:eastAsia="SimSun" w:cs="SimSun"/>
          <w:sz w:val="23"/>
          <w:szCs w:val="23"/>
          <w:spacing w:val="8"/>
        </w:rPr>
        <w:t>除跨期结构外，保险风险还具有“个体差异性与集合平衡性”的统计特征。不同投</w:t>
      </w:r>
      <w:r>
        <w:rPr>
          <w:rFonts w:ascii="SimSun" w:hAnsi="SimSun" w:eastAsia="SimSun" w:cs="SimSun"/>
          <w:sz w:val="23"/>
          <w:szCs w:val="23"/>
          <w:spacing w:val="5"/>
        </w:rPr>
        <w:t>保人的风险状况存在显著差异， 年龄、健康状况、职业与行为习惯等因素都会影响事故</w:t>
      </w:r>
    </w:p>
    <w:p>
      <w:pPr>
        <w:spacing w:line="289" w:lineRule="auto"/>
        <w:sectPr>
          <w:footerReference w:type="default" r:id="rId12"/>
          <w:pgSz w:w="11906" w:h="16838"/>
          <w:pgMar w:top="400" w:right="953" w:bottom="980" w:left="1417" w:header="0" w:footer="767" w:gutter="0"/>
        </w:sectPr>
        <w:rPr>
          <w:rFonts w:ascii="SimSun" w:hAnsi="SimSun" w:eastAsia="SimSun" w:cs="SimSun"/>
          <w:sz w:val="23"/>
          <w:szCs w:val="23"/>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firstLine="2"/>
        <w:spacing w:before="74" w:line="288" w:lineRule="auto"/>
        <w:jc w:val="both"/>
        <w:rPr>
          <w:rFonts w:ascii="SimSun" w:hAnsi="SimSun" w:eastAsia="SimSun" w:cs="SimSun"/>
          <w:sz w:val="23"/>
          <w:szCs w:val="23"/>
        </w:rPr>
      </w:pPr>
      <w:r>
        <w:rPr>
          <w:rFonts w:ascii="SimSun" w:hAnsi="SimSun" w:eastAsia="SimSun" w:cs="SimSun"/>
          <w:sz w:val="23"/>
          <w:szCs w:val="23"/>
          <w:spacing w:val="4"/>
        </w:rPr>
        <w:t>发生概率与损失程度。保险公司通过承保大量具有同类风险特</w:t>
      </w:r>
      <w:r>
        <w:rPr>
          <w:rFonts w:ascii="SimSun" w:hAnsi="SimSun" w:eastAsia="SimSun" w:cs="SimSun"/>
          <w:sz w:val="23"/>
          <w:szCs w:val="23"/>
          <w:spacing w:val="3"/>
        </w:rPr>
        <w:t>征的投保人，</w:t>
      </w:r>
      <w:r>
        <w:rPr>
          <w:rFonts w:ascii="SimSun" w:hAnsi="SimSun" w:eastAsia="SimSun" w:cs="SimSun"/>
          <w:sz w:val="23"/>
          <w:szCs w:val="23"/>
          <w:spacing w:val="60"/>
        </w:rPr>
        <w:t xml:space="preserve"> </w:t>
      </w:r>
      <w:r>
        <w:rPr>
          <w:rFonts w:ascii="SimSun" w:hAnsi="SimSun" w:eastAsia="SimSun" w:cs="SimSun"/>
          <w:sz w:val="23"/>
          <w:szCs w:val="23"/>
          <w:spacing w:val="3"/>
        </w:rPr>
        <w:t>利用大数法</w:t>
      </w:r>
      <w:r>
        <w:rPr>
          <w:rFonts w:ascii="SimSun" w:hAnsi="SimSun" w:eastAsia="SimSun" w:cs="SimSun"/>
          <w:sz w:val="23"/>
          <w:szCs w:val="23"/>
          <w:spacing w:val="1"/>
        </w:rPr>
        <w:t>则实现风险集合与平衡，</w:t>
      </w:r>
      <w:r>
        <w:rPr>
          <w:rFonts w:ascii="SimSun" w:hAnsi="SimSun" w:eastAsia="SimSun" w:cs="SimSun"/>
          <w:sz w:val="23"/>
          <w:szCs w:val="23"/>
          <w:spacing w:val="-11"/>
        </w:rPr>
        <w:t xml:space="preserve"> </w:t>
      </w:r>
      <w:r>
        <w:rPr>
          <w:rFonts w:ascii="SimSun" w:hAnsi="SimSun" w:eastAsia="SimSun" w:cs="SimSun"/>
          <w:sz w:val="23"/>
          <w:szCs w:val="23"/>
          <w:spacing w:val="1"/>
        </w:rPr>
        <w:t>使得在统计意义上可以形成可估计的发生规律与损失分布，</w:t>
      </w:r>
      <w:r>
        <w:rPr>
          <w:rFonts w:ascii="SimSun" w:hAnsi="SimSun" w:eastAsia="SimSun" w:cs="SimSun"/>
          <w:sz w:val="23"/>
          <w:szCs w:val="23"/>
          <w:spacing w:val="62"/>
        </w:rPr>
        <w:t xml:space="preserve"> </w:t>
      </w:r>
      <w:r>
        <w:rPr>
          <w:rFonts w:ascii="SimSun" w:hAnsi="SimSun" w:eastAsia="SimSun" w:cs="SimSun"/>
          <w:sz w:val="23"/>
          <w:szCs w:val="23"/>
          <w:spacing w:val="1"/>
        </w:rPr>
        <w:t>从</w:t>
      </w:r>
      <w:r>
        <w:rPr>
          <w:rFonts w:ascii="SimSun" w:hAnsi="SimSun" w:eastAsia="SimSun" w:cs="SimSun"/>
          <w:sz w:val="23"/>
          <w:szCs w:val="23"/>
          <w:spacing w:val="11"/>
        </w:rPr>
        <w:t>而支持费率厘定、准备金计量与资本安排。该机制是保险经营可持续性的统计学基础，</w:t>
      </w:r>
      <w:r>
        <w:rPr>
          <w:rFonts w:ascii="SimSun" w:hAnsi="SimSun" w:eastAsia="SimSun" w:cs="SimSun"/>
          <w:sz w:val="23"/>
          <w:szCs w:val="23"/>
          <w:spacing w:val="7"/>
        </w:rPr>
        <w:t>也是精算技术在保险行业具有结构性地位的重要原因。</w:t>
      </w:r>
    </w:p>
    <w:p>
      <w:pPr>
        <w:ind w:right="114" w:firstLine="478"/>
        <w:spacing w:before="16" w:line="288" w:lineRule="auto"/>
        <w:jc w:val="both"/>
        <w:rPr>
          <w:rFonts w:ascii="SimSun" w:hAnsi="SimSun" w:eastAsia="SimSun" w:cs="SimSun"/>
          <w:sz w:val="23"/>
          <w:szCs w:val="23"/>
        </w:rPr>
      </w:pPr>
      <w:r>
        <w:rPr>
          <w:rFonts w:ascii="SimSun" w:hAnsi="SimSun" w:eastAsia="SimSun" w:cs="SimSun"/>
          <w:sz w:val="23"/>
          <w:szCs w:val="23"/>
          <w:spacing w:val="3"/>
        </w:rPr>
        <w:t>保险经营的另一关键特征是期限较长、现金流跨期明显。长期业务中，</w:t>
      </w:r>
      <w:r>
        <w:rPr>
          <w:rFonts w:ascii="SimSun" w:hAnsi="SimSun" w:eastAsia="SimSun" w:cs="SimSun"/>
          <w:sz w:val="23"/>
          <w:szCs w:val="23"/>
          <w:spacing w:val="78"/>
        </w:rPr>
        <w:t xml:space="preserve"> </w:t>
      </w:r>
      <w:r>
        <w:rPr>
          <w:rFonts w:ascii="SimSun" w:hAnsi="SimSun" w:eastAsia="SimSun" w:cs="SimSun"/>
          <w:sz w:val="23"/>
          <w:szCs w:val="23"/>
          <w:spacing w:val="3"/>
        </w:rPr>
        <w:t>负债端现金</w:t>
      </w:r>
      <w:r>
        <w:rPr>
          <w:rFonts w:ascii="SimSun" w:hAnsi="SimSun" w:eastAsia="SimSun" w:cs="SimSun"/>
          <w:sz w:val="23"/>
          <w:szCs w:val="23"/>
          <w:spacing w:val="5"/>
        </w:rPr>
        <w:t>流通常具有长期性与不确定性， 资产端则需要在期限、收益与现金流三个维度与负债特</w:t>
      </w:r>
      <w:r>
        <w:rPr>
          <w:rFonts w:ascii="SimSun" w:hAnsi="SimSun" w:eastAsia="SimSun" w:cs="SimSun"/>
          <w:sz w:val="23"/>
          <w:szCs w:val="23"/>
          <w:spacing w:val="8"/>
        </w:rPr>
        <w:t>征相匹配，避免利率下行或现金流错配引发的经营波动。在这一机制下，精算职能的核</w:t>
      </w:r>
      <w:r>
        <w:rPr>
          <w:rFonts w:ascii="SimSun" w:hAnsi="SimSun" w:eastAsia="SimSun" w:cs="SimSun"/>
          <w:sz w:val="23"/>
          <w:szCs w:val="23"/>
          <w:spacing w:val="4"/>
        </w:rPr>
        <w:t>心价值在于以数据与模型对未来负债现金流进行计量与解释，</w:t>
      </w:r>
      <w:r>
        <w:rPr>
          <w:rFonts w:ascii="SimSun" w:hAnsi="SimSun" w:eastAsia="SimSun" w:cs="SimSun"/>
          <w:sz w:val="23"/>
          <w:szCs w:val="23"/>
          <w:spacing w:val="58"/>
        </w:rPr>
        <w:t xml:space="preserve"> </w:t>
      </w:r>
      <w:r>
        <w:rPr>
          <w:rFonts w:ascii="SimSun" w:hAnsi="SimSun" w:eastAsia="SimSun" w:cs="SimSun"/>
          <w:sz w:val="23"/>
          <w:szCs w:val="23"/>
          <w:spacing w:val="4"/>
        </w:rPr>
        <w:t>并将该计量</w:t>
      </w:r>
      <w:r>
        <w:rPr>
          <w:rFonts w:ascii="SimSun" w:hAnsi="SimSun" w:eastAsia="SimSun" w:cs="SimSun"/>
          <w:sz w:val="23"/>
          <w:szCs w:val="23"/>
          <w:spacing w:val="3"/>
        </w:rPr>
        <w:t>结果与投资策</w:t>
      </w:r>
      <w:r>
        <w:rPr>
          <w:rFonts w:ascii="SimSun" w:hAnsi="SimSun" w:eastAsia="SimSun" w:cs="SimSun"/>
          <w:sz w:val="23"/>
          <w:szCs w:val="23"/>
          <w:spacing w:val="6"/>
        </w:rPr>
        <w:t>略、费用治理与产品策略进行联动。</w:t>
      </w:r>
    </w:p>
    <w:p>
      <w:pPr>
        <w:pStyle w:val="BodyText"/>
        <w:spacing w:line="358" w:lineRule="auto"/>
        <w:rPr/>
      </w:pPr>
      <w:r/>
    </w:p>
    <w:p>
      <w:pPr>
        <w:ind w:firstLine="5"/>
        <w:spacing w:before="75" w:line="288" w:lineRule="auto"/>
        <w:jc w:val="both"/>
        <w:rPr>
          <w:rFonts w:ascii="SimSun" w:hAnsi="SimSun" w:eastAsia="SimSun" w:cs="SimSun"/>
          <w:sz w:val="23"/>
          <w:szCs w:val="23"/>
        </w:rPr>
      </w:pPr>
      <w:r>
        <w:rPr>
          <w:rFonts w:ascii="SimHei" w:hAnsi="SimHei" w:eastAsia="SimHei" w:cs="SimHei"/>
          <w:sz w:val="23"/>
          <w:szCs w:val="23"/>
          <w:spacing w:val="11"/>
        </w:rPr>
        <w:t>学习提示</w:t>
      </w:r>
      <w:r>
        <w:rPr>
          <w:rFonts w:ascii="SimHei" w:hAnsi="SimHei" w:eastAsia="SimHei" w:cs="SimHei"/>
          <w:sz w:val="23"/>
          <w:szCs w:val="23"/>
          <w:spacing w:val="11"/>
        </w:rPr>
        <w:t xml:space="preserve">  </w:t>
      </w:r>
      <w:r>
        <w:rPr>
          <w:rFonts w:ascii="SimSun" w:hAnsi="SimSun" w:eastAsia="SimSun" w:cs="SimSun"/>
          <w:sz w:val="23"/>
          <w:szCs w:val="23"/>
          <w:spacing w:val="11"/>
        </w:rPr>
        <w:t>保险行业的核心经营特点可概括为“收入在前、成本在后，收入相对确</w:t>
      </w:r>
      <w:r>
        <w:rPr>
          <w:rFonts w:ascii="SimSun" w:hAnsi="SimSun" w:eastAsia="SimSun" w:cs="SimSun"/>
          <w:sz w:val="23"/>
          <w:szCs w:val="23"/>
          <w:spacing w:val="10"/>
        </w:rPr>
        <w:t>定、</w:t>
      </w:r>
      <w:r>
        <w:rPr>
          <w:rFonts w:ascii="SimSun" w:hAnsi="SimSun" w:eastAsia="SimSun" w:cs="SimSun"/>
          <w:sz w:val="23"/>
          <w:szCs w:val="23"/>
          <w:spacing w:val="8"/>
        </w:rPr>
        <w:t>成本具有不确定性”。理解这一特征有助于把握准备金制度、利润分期释放机制与资产</w:t>
      </w:r>
      <w:r>
        <w:rPr>
          <w:rFonts w:ascii="SimSun" w:hAnsi="SimSun" w:eastAsia="SimSun" w:cs="SimSun"/>
          <w:sz w:val="23"/>
          <w:szCs w:val="23"/>
          <w:spacing w:val="4"/>
        </w:rPr>
        <w:t>负债联动管理的必要性。</w:t>
      </w:r>
    </w:p>
    <w:p>
      <w:pPr>
        <w:pStyle w:val="BodyText"/>
        <w:spacing w:line="388" w:lineRule="auto"/>
        <w:rPr/>
      </w:pPr>
      <w:r/>
    </w:p>
    <w:p>
      <w:pPr>
        <w:ind w:left="14"/>
        <w:spacing w:before="91" w:line="226" w:lineRule="auto"/>
        <w:outlineLvl w:val="2"/>
        <w:rPr>
          <w:rFonts w:ascii="SimHei" w:hAnsi="SimHei" w:eastAsia="SimHei" w:cs="SimHei"/>
          <w:sz w:val="28"/>
          <w:szCs w:val="28"/>
        </w:rPr>
      </w:pPr>
      <w:bookmarkStart w:name="bookmark17" w:id="26"/>
      <w:bookmarkEnd w:id="26"/>
      <w:r>
        <w:rPr>
          <w:rFonts w:ascii="Times New Roman" w:hAnsi="Times New Roman" w:eastAsia="Times New Roman" w:cs="Times New Roman"/>
          <w:sz w:val="28"/>
          <w:szCs w:val="28"/>
          <w:b/>
          <w:bCs/>
          <w:spacing w:val="8"/>
        </w:rPr>
        <w:t>1.3.5    </w:t>
      </w:r>
      <w:r>
        <w:rPr>
          <w:rFonts w:ascii="SimHei" w:hAnsi="SimHei" w:eastAsia="SimHei" w:cs="SimHei"/>
          <w:sz w:val="28"/>
          <w:szCs w:val="28"/>
          <w:spacing w:val="8"/>
        </w:rPr>
        <w:t>保险行业与制造业、银行业</w:t>
      </w:r>
      <w:r>
        <w:rPr>
          <w:rFonts w:ascii="SimHei" w:hAnsi="SimHei" w:eastAsia="SimHei" w:cs="SimHei"/>
          <w:sz w:val="28"/>
          <w:szCs w:val="28"/>
          <w:spacing w:val="7"/>
        </w:rPr>
        <w:t>的核心差异</w:t>
      </w:r>
    </w:p>
    <w:p>
      <w:pPr>
        <w:ind w:left="4" w:right="114" w:firstLine="475"/>
        <w:spacing w:before="245" w:line="289" w:lineRule="auto"/>
        <w:rPr>
          <w:rFonts w:ascii="SimSun" w:hAnsi="SimSun" w:eastAsia="SimSun" w:cs="SimSun"/>
          <w:sz w:val="23"/>
          <w:szCs w:val="23"/>
        </w:rPr>
      </w:pPr>
      <w:r>
        <w:rPr>
          <w:rFonts w:ascii="SimSun" w:hAnsi="SimSun" w:eastAsia="SimSun" w:cs="SimSun"/>
          <w:sz w:val="23"/>
          <w:szCs w:val="23"/>
          <w:spacing w:val="3"/>
        </w:rPr>
        <w:t>为更清晰地把握保险经营机制， 表</w:t>
      </w:r>
      <w:hyperlink w:history="true" w:anchor="bookmark56">
        <w:r>
          <w:rPr>
            <w:rFonts w:ascii="Times New Roman" w:hAnsi="Times New Roman" w:eastAsia="Times New Roman" w:cs="Times New Roman"/>
            <w:sz w:val="23"/>
            <w:szCs w:val="23"/>
            <w:spacing w:val="3"/>
          </w:rPr>
          <w:t>1.7</w:t>
        </w:r>
      </w:hyperlink>
      <w:r>
        <w:rPr>
          <w:rFonts w:ascii="SimSun" w:hAnsi="SimSun" w:eastAsia="SimSun" w:cs="SimSun"/>
          <w:sz w:val="23"/>
          <w:szCs w:val="23"/>
          <w:spacing w:val="3"/>
        </w:rPr>
        <w:t>从经营模式、核心风险、产品性质、收入成本</w:t>
      </w:r>
      <w:r>
        <w:rPr>
          <w:rFonts w:ascii="SimSun" w:hAnsi="SimSun" w:eastAsia="SimSun" w:cs="SimSun"/>
          <w:sz w:val="23"/>
          <w:szCs w:val="23"/>
          <w:spacing w:val="7"/>
        </w:rPr>
        <w:t>结构、期限特征与监管重点等维度，对保险行业与制造业、银行业进行对比。</w:t>
      </w:r>
    </w:p>
    <w:p>
      <w:pPr>
        <w:ind w:left="2428"/>
        <w:spacing w:before="219" w:line="227" w:lineRule="auto"/>
        <w:rPr>
          <w:rFonts w:ascii="SimSun" w:hAnsi="SimSun" w:eastAsia="SimSun" w:cs="SimSun"/>
          <w:sz w:val="23"/>
          <w:szCs w:val="23"/>
        </w:rPr>
      </w:pPr>
      <w:bookmarkStart w:name="bookmark56" w:id="27"/>
      <w:bookmarkEnd w:id="27"/>
      <w:r>
        <w:rPr>
          <w:rFonts w:ascii="SimSun" w:hAnsi="SimSun" w:eastAsia="SimSun" w:cs="SimSun"/>
          <w:sz w:val="23"/>
          <w:szCs w:val="23"/>
          <w:spacing w:val="4"/>
        </w:rPr>
        <w:t>表 </w:t>
      </w:r>
      <w:r>
        <w:rPr>
          <w:rFonts w:ascii="Times New Roman" w:hAnsi="Times New Roman" w:eastAsia="Times New Roman" w:cs="Times New Roman"/>
          <w:sz w:val="23"/>
          <w:szCs w:val="23"/>
          <w:spacing w:val="4"/>
        </w:rPr>
        <w:t>1.7:</w:t>
      </w:r>
      <w:r>
        <w:rPr>
          <w:rFonts w:ascii="Times New Roman" w:hAnsi="Times New Roman" w:eastAsia="Times New Roman" w:cs="Times New Roman"/>
          <w:sz w:val="23"/>
          <w:szCs w:val="23"/>
          <w:spacing w:val="69"/>
        </w:rPr>
        <w:t xml:space="preserve"> </w:t>
      </w:r>
      <w:r>
        <w:rPr>
          <w:rFonts w:ascii="SimSun" w:hAnsi="SimSun" w:eastAsia="SimSun" w:cs="SimSun"/>
          <w:sz w:val="23"/>
          <w:szCs w:val="23"/>
          <w:spacing w:val="4"/>
        </w:rPr>
        <w:t>保险行业与其他行业的核心差异</w:t>
      </w:r>
    </w:p>
    <w:p>
      <w:pPr>
        <w:spacing w:line="208" w:lineRule="exact"/>
        <w:rPr/>
      </w:pPr>
      <w:r/>
    </w:p>
    <w:tbl>
      <w:tblPr>
        <w:tblStyle w:val="TableNormal"/>
        <w:tblW w:w="8938" w:type="dxa"/>
        <w:tblInd w:w="5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42"/>
        <w:gridCol w:w="2663"/>
        <w:gridCol w:w="2421"/>
        <w:gridCol w:w="2412"/>
      </w:tblGrid>
      <w:tr>
        <w:trPr>
          <w:trHeight w:val="475" w:hRule="atLeast"/>
        </w:trPr>
        <w:tc>
          <w:tcPr>
            <w:tcW w:w="1442" w:type="dxa"/>
            <w:vAlign w:val="top"/>
            <w:tcBorders>
              <w:bottom w:val="single" w:color="000000" w:sz="4" w:space="0"/>
              <w:top w:val="single" w:color="000000" w:sz="6" w:space="0"/>
            </w:tcBorders>
          </w:tcPr>
          <w:p>
            <w:pPr>
              <w:pStyle w:val="TableText"/>
              <w:ind w:left="127"/>
              <w:spacing w:before="116" w:line="228" w:lineRule="auto"/>
              <w:rPr/>
            </w:pPr>
            <w:r>
              <w:rPr>
                <w:spacing w:val="7"/>
              </w:rPr>
              <w:t>对比维度</w:t>
            </w:r>
          </w:p>
        </w:tc>
        <w:tc>
          <w:tcPr>
            <w:tcW w:w="2663" w:type="dxa"/>
            <w:vAlign w:val="top"/>
            <w:tcBorders>
              <w:bottom w:val="single" w:color="000000" w:sz="4" w:space="0"/>
              <w:top w:val="single" w:color="000000" w:sz="6" w:space="0"/>
            </w:tcBorders>
          </w:tcPr>
          <w:p>
            <w:pPr>
              <w:pStyle w:val="TableText"/>
              <w:ind w:left="378"/>
              <w:spacing w:before="116" w:line="228" w:lineRule="auto"/>
              <w:rPr/>
            </w:pPr>
            <w:r>
              <w:rPr>
                <w:spacing w:val="6"/>
              </w:rPr>
              <w:t>保险行业</w:t>
            </w:r>
          </w:p>
        </w:tc>
        <w:tc>
          <w:tcPr>
            <w:tcW w:w="2421" w:type="dxa"/>
            <w:vAlign w:val="top"/>
            <w:tcBorders>
              <w:bottom w:val="single" w:color="000000" w:sz="4" w:space="0"/>
              <w:top w:val="single" w:color="000000" w:sz="6" w:space="0"/>
            </w:tcBorders>
          </w:tcPr>
          <w:p>
            <w:pPr>
              <w:pStyle w:val="TableText"/>
              <w:ind w:left="131"/>
              <w:spacing w:before="116" w:line="228" w:lineRule="auto"/>
              <w:rPr/>
            </w:pPr>
            <w:r>
              <w:rPr>
                <w:spacing w:val="5"/>
              </w:rPr>
              <w:t>制造业</w:t>
            </w:r>
          </w:p>
        </w:tc>
        <w:tc>
          <w:tcPr>
            <w:tcW w:w="2412" w:type="dxa"/>
            <w:vAlign w:val="top"/>
            <w:tcBorders>
              <w:bottom w:val="single" w:color="000000" w:sz="4" w:space="0"/>
              <w:top w:val="single" w:color="000000" w:sz="6" w:space="0"/>
            </w:tcBorders>
          </w:tcPr>
          <w:p>
            <w:pPr>
              <w:pStyle w:val="TableText"/>
              <w:ind w:left="126"/>
              <w:spacing w:before="116" w:line="228" w:lineRule="auto"/>
              <w:rPr/>
            </w:pPr>
            <w:r>
              <w:rPr>
                <w:spacing w:val="5"/>
              </w:rPr>
              <w:t>银行业</w:t>
            </w:r>
          </w:p>
        </w:tc>
      </w:tr>
      <w:tr>
        <w:trPr>
          <w:trHeight w:val="762" w:hRule="atLeast"/>
        </w:trPr>
        <w:tc>
          <w:tcPr>
            <w:tcW w:w="1442" w:type="dxa"/>
            <w:vAlign w:val="top"/>
            <w:tcBorders>
              <w:top w:val="single" w:color="000000" w:sz="4" w:space="0"/>
            </w:tcBorders>
          </w:tcPr>
          <w:p>
            <w:pPr>
              <w:pStyle w:val="TableText"/>
              <w:ind w:left="130"/>
              <w:spacing w:before="110" w:line="227" w:lineRule="auto"/>
              <w:rPr/>
            </w:pPr>
            <w:r>
              <w:rPr>
                <w:spacing w:val="6"/>
              </w:rPr>
              <w:t>经营模式</w:t>
            </w:r>
          </w:p>
        </w:tc>
        <w:tc>
          <w:tcPr>
            <w:tcW w:w="2663" w:type="dxa"/>
            <w:vAlign w:val="top"/>
            <w:tcBorders>
              <w:top w:val="single" w:color="000000" w:sz="4" w:space="0"/>
            </w:tcBorders>
          </w:tcPr>
          <w:p>
            <w:pPr>
              <w:pStyle w:val="TableText"/>
              <w:ind w:left="382"/>
              <w:spacing w:before="110" w:line="226" w:lineRule="auto"/>
              <w:rPr/>
            </w:pPr>
            <w:r>
              <w:rPr>
                <w:spacing w:val="6"/>
              </w:rPr>
              <w:t>先收入后成本</w:t>
            </w:r>
          </w:p>
        </w:tc>
        <w:tc>
          <w:tcPr>
            <w:tcW w:w="2421" w:type="dxa"/>
            <w:vAlign w:val="top"/>
            <w:tcBorders>
              <w:top w:val="single" w:color="000000" w:sz="4" w:space="0"/>
            </w:tcBorders>
          </w:tcPr>
          <w:p>
            <w:pPr>
              <w:pStyle w:val="TableText"/>
              <w:ind w:left="135"/>
              <w:spacing w:before="110" w:line="226" w:lineRule="auto"/>
              <w:rPr/>
            </w:pPr>
            <w:r>
              <w:rPr>
                <w:spacing w:val="6"/>
              </w:rPr>
              <w:t>先成本后收入</w:t>
            </w:r>
          </w:p>
        </w:tc>
        <w:tc>
          <w:tcPr>
            <w:tcW w:w="2412" w:type="dxa"/>
            <w:vAlign w:val="top"/>
            <w:tcBorders>
              <w:top w:val="single" w:color="000000" w:sz="4" w:space="0"/>
            </w:tcBorders>
          </w:tcPr>
          <w:p>
            <w:pPr>
              <w:pStyle w:val="TableText"/>
              <w:ind w:left="125" w:right="118" w:firstLine="4"/>
              <w:spacing w:before="109" w:line="258" w:lineRule="auto"/>
              <w:rPr/>
            </w:pPr>
            <w:r>
              <w:rPr>
                <w:spacing w:val="10"/>
              </w:rPr>
              <w:t>先吸收负债后形成资</w:t>
            </w:r>
            <w:r>
              <w:rPr/>
              <w:t>产</w:t>
            </w:r>
          </w:p>
        </w:tc>
      </w:tr>
      <w:tr>
        <w:trPr>
          <w:trHeight w:val="358" w:hRule="atLeast"/>
        </w:trPr>
        <w:tc>
          <w:tcPr>
            <w:tcW w:w="1442" w:type="dxa"/>
            <w:vAlign w:val="top"/>
          </w:tcPr>
          <w:p>
            <w:pPr>
              <w:pStyle w:val="TableText"/>
              <w:ind w:left="131"/>
              <w:spacing w:before="65" w:line="227" w:lineRule="auto"/>
              <w:rPr/>
            </w:pPr>
            <w:r>
              <w:rPr>
                <w:spacing w:val="6"/>
              </w:rPr>
              <w:t>核心风险</w:t>
            </w:r>
          </w:p>
        </w:tc>
        <w:tc>
          <w:tcPr>
            <w:tcW w:w="2663" w:type="dxa"/>
            <w:vAlign w:val="top"/>
          </w:tcPr>
          <w:p>
            <w:pPr>
              <w:pStyle w:val="TableText"/>
              <w:ind w:left="377"/>
              <w:spacing w:before="65" w:line="227" w:lineRule="auto"/>
              <w:rPr/>
            </w:pPr>
            <w:r>
              <w:rPr>
                <w:spacing w:val="8"/>
              </w:rPr>
              <w:t>赔付风险与金融风险</w:t>
            </w:r>
          </w:p>
        </w:tc>
        <w:tc>
          <w:tcPr>
            <w:tcW w:w="2421" w:type="dxa"/>
            <w:vAlign w:val="top"/>
          </w:tcPr>
          <w:p>
            <w:pPr>
              <w:pStyle w:val="TableText"/>
              <w:ind w:left="136"/>
              <w:spacing w:before="65" w:line="227" w:lineRule="auto"/>
              <w:rPr/>
            </w:pPr>
            <w:r>
              <w:rPr>
                <w:spacing w:val="7"/>
              </w:rPr>
              <w:t>市场风险与生产风险</w:t>
            </w:r>
          </w:p>
        </w:tc>
        <w:tc>
          <w:tcPr>
            <w:tcW w:w="2412" w:type="dxa"/>
            <w:vAlign w:val="top"/>
          </w:tcPr>
          <w:p>
            <w:pPr>
              <w:pStyle w:val="TableText"/>
              <w:ind w:left="125"/>
              <w:spacing w:before="65" w:line="227" w:lineRule="auto"/>
              <w:rPr/>
            </w:pPr>
            <w:r>
              <w:rPr>
                <w:spacing w:val="10"/>
              </w:rPr>
              <w:t>信用风险、市场风险</w:t>
            </w:r>
          </w:p>
        </w:tc>
      </w:tr>
      <w:tr>
        <w:trPr>
          <w:trHeight w:val="1430" w:hRule="atLeast"/>
        </w:trPr>
        <w:tc>
          <w:tcPr>
            <w:tcW w:w="1442" w:type="dxa"/>
            <w:vAlign w:val="top"/>
          </w:tcPr>
          <w:p>
            <w:pPr>
              <w:spacing w:line="348" w:lineRule="auto"/>
              <w:rPr>
                <w:rFonts w:ascii="Arial"/>
                <w:sz w:val="21"/>
              </w:rPr>
            </w:pPr>
            <w:r/>
          </w:p>
          <w:p>
            <w:pPr>
              <w:pStyle w:val="TableText"/>
              <w:ind w:left="136" w:right="366" w:hanging="8"/>
              <w:spacing w:before="75" w:line="289" w:lineRule="auto"/>
              <w:rPr/>
            </w:pPr>
            <w:r>
              <w:rPr>
                <w:spacing w:val="6"/>
              </w:rPr>
              <w:t>产品性质</w:t>
            </w:r>
            <w:r>
              <w:rPr>
                <w:spacing w:val="4"/>
              </w:rPr>
              <w:t>收入来源</w:t>
            </w:r>
          </w:p>
        </w:tc>
        <w:tc>
          <w:tcPr>
            <w:tcW w:w="2663" w:type="dxa"/>
            <w:vAlign w:val="top"/>
          </w:tcPr>
          <w:p>
            <w:pPr>
              <w:spacing w:line="348" w:lineRule="auto"/>
              <w:rPr>
                <w:rFonts w:ascii="Arial"/>
                <w:sz w:val="21"/>
              </w:rPr>
            </w:pPr>
            <w:r/>
          </w:p>
          <w:p>
            <w:pPr>
              <w:pStyle w:val="TableText"/>
              <w:ind w:left="378" w:right="143"/>
              <w:spacing w:before="75" w:line="289" w:lineRule="auto"/>
              <w:rPr/>
            </w:pPr>
            <w:r>
              <w:rPr>
                <w:spacing w:val="7"/>
              </w:rPr>
              <w:t>无形的风险保障服务</w:t>
            </w:r>
            <w:r>
              <w:rPr>
                <w:spacing w:val="7"/>
              </w:rPr>
              <w:t>保费收入与投资收益</w:t>
            </w:r>
          </w:p>
        </w:tc>
        <w:tc>
          <w:tcPr>
            <w:tcW w:w="2421" w:type="dxa"/>
            <w:vAlign w:val="top"/>
          </w:tcPr>
          <w:p>
            <w:pPr>
              <w:spacing w:line="348" w:lineRule="auto"/>
              <w:rPr>
                <w:rFonts w:ascii="Arial"/>
                <w:sz w:val="21"/>
              </w:rPr>
            </w:pPr>
            <w:r/>
          </w:p>
          <w:p>
            <w:pPr>
              <w:pStyle w:val="TableText"/>
              <w:ind w:left="130" w:right="865"/>
              <w:spacing w:before="75" w:line="289" w:lineRule="auto"/>
              <w:rPr/>
            </w:pPr>
            <w:r>
              <w:rPr>
                <w:spacing w:val="7"/>
              </w:rPr>
              <w:t>有形实物产品</w:t>
            </w:r>
            <w:r>
              <w:rPr>
                <w:spacing w:val="7"/>
              </w:rPr>
              <w:t>产品销售收入</w:t>
            </w:r>
          </w:p>
        </w:tc>
        <w:tc>
          <w:tcPr>
            <w:tcW w:w="2412" w:type="dxa"/>
            <w:vAlign w:val="top"/>
          </w:tcPr>
          <w:p>
            <w:pPr>
              <w:pStyle w:val="TableText"/>
              <w:ind w:left="130"/>
              <w:spacing w:before="65" w:line="228" w:lineRule="auto"/>
              <w:rPr/>
            </w:pPr>
            <w:r>
              <w:rPr>
                <w:spacing w:val="6"/>
              </w:rPr>
              <w:t>与流动性风险</w:t>
            </w:r>
          </w:p>
          <w:p>
            <w:pPr>
              <w:pStyle w:val="TableText"/>
              <w:ind w:left="127"/>
              <w:spacing w:before="75" w:line="226" w:lineRule="auto"/>
              <w:rPr/>
            </w:pPr>
            <w:r>
              <w:rPr>
                <w:spacing w:val="7"/>
              </w:rPr>
              <w:t>金融中介服务</w:t>
            </w:r>
          </w:p>
          <w:p>
            <w:pPr>
              <w:pStyle w:val="TableText"/>
              <w:ind w:left="133" w:right="118" w:hanging="7"/>
              <w:spacing w:before="75" w:line="256" w:lineRule="auto"/>
              <w:rPr/>
            </w:pPr>
            <w:r>
              <w:rPr>
                <w:spacing w:val="10"/>
              </w:rPr>
              <w:t>利息收入与中间业务</w:t>
            </w:r>
            <w:r>
              <w:rPr/>
              <w:t>收入</w:t>
            </w:r>
          </w:p>
        </w:tc>
      </w:tr>
      <w:tr>
        <w:trPr>
          <w:trHeight w:val="1072" w:hRule="atLeast"/>
        </w:trPr>
        <w:tc>
          <w:tcPr>
            <w:tcW w:w="1442" w:type="dxa"/>
            <w:vAlign w:val="top"/>
          </w:tcPr>
          <w:p>
            <w:pPr>
              <w:pStyle w:val="TableText"/>
              <w:ind w:left="130"/>
              <w:spacing w:before="70" w:line="226" w:lineRule="auto"/>
              <w:rPr/>
            </w:pPr>
            <w:r>
              <w:rPr>
                <w:spacing w:val="6"/>
              </w:rPr>
              <w:t>成本构成</w:t>
            </w:r>
          </w:p>
        </w:tc>
        <w:tc>
          <w:tcPr>
            <w:tcW w:w="2663" w:type="dxa"/>
            <w:vAlign w:val="top"/>
          </w:tcPr>
          <w:p>
            <w:pPr>
              <w:pStyle w:val="TableText"/>
              <w:ind w:left="377" w:right="117"/>
              <w:spacing w:before="71" w:line="265" w:lineRule="auto"/>
              <w:jc w:val="both"/>
              <w:rPr/>
            </w:pPr>
            <w:r>
              <w:rPr>
                <w:spacing w:val="10"/>
              </w:rPr>
              <w:t>赔付支出、准备金提</w:t>
            </w:r>
            <w:r>
              <w:rPr>
                <w:spacing w:val="10"/>
              </w:rPr>
              <w:t>转、手续费与佣金支</w:t>
            </w:r>
            <w:r>
              <w:rPr>
                <w:spacing w:val="7"/>
              </w:rPr>
              <w:t>出、运营费用等</w:t>
            </w:r>
          </w:p>
        </w:tc>
        <w:tc>
          <w:tcPr>
            <w:tcW w:w="2421" w:type="dxa"/>
            <w:vAlign w:val="top"/>
          </w:tcPr>
          <w:p>
            <w:pPr>
              <w:pStyle w:val="TableText"/>
              <w:ind w:left="131" w:right="8" w:firstLine="4"/>
              <w:spacing w:before="70" w:line="289" w:lineRule="auto"/>
              <w:rPr/>
            </w:pPr>
            <w:r>
              <w:rPr>
                <w:spacing w:val="22"/>
              </w:rPr>
              <w:t>原材料与制造成本、</w:t>
            </w:r>
            <w:r>
              <w:rPr>
                <w:spacing w:val="7"/>
              </w:rPr>
              <w:t>销售管理费用等</w:t>
            </w:r>
          </w:p>
        </w:tc>
        <w:tc>
          <w:tcPr>
            <w:tcW w:w="2412" w:type="dxa"/>
            <w:vAlign w:val="top"/>
          </w:tcPr>
          <w:p>
            <w:pPr>
              <w:pStyle w:val="TableText"/>
              <w:ind w:left="126" w:right="118" w:hanging="2"/>
              <w:spacing w:before="71" w:line="265" w:lineRule="auto"/>
              <w:jc w:val="both"/>
              <w:rPr/>
            </w:pPr>
            <w:r>
              <w:rPr>
                <w:spacing w:val="10"/>
              </w:rPr>
              <w:t>存款利息支出、运营</w:t>
            </w:r>
            <w:r>
              <w:rPr>
                <w:spacing w:val="10"/>
              </w:rPr>
              <w:t>费用、信用减值损失</w:t>
            </w:r>
            <w:r>
              <w:rPr/>
              <w:t>等</w:t>
            </w:r>
          </w:p>
        </w:tc>
      </w:tr>
      <w:tr>
        <w:trPr>
          <w:trHeight w:val="716" w:hRule="atLeast"/>
        </w:trPr>
        <w:tc>
          <w:tcPr>
            <w:tcW w:w="1442" w:type="dxa"/>
            <w:vAlign w:val="top"/>
          </w:tcPr>
          <w:p>
            <w:pPr>
              <w:pStyle w:val="TableText"/>
              <w:ind w:left="131"/>
              <w:spacing w:before="73" w:line="227" w:lineRule="auto"/>
              <w:rPr/>
            </w:pPr>
            <w:r>
              <w:rPr>
                <w:spacing w:val="6"/>
              </w:rPr>
              <w:t>期限特征</w:t>
            </w:r>
          </w:p>
        </w:tc>
        <w:tc>
          <w:tcPr>
            <w:tcW w:w="2663" w:type="dxa"/>
            <w:vAlign w:val="top"/>
          </w:tcPr>
          <w:p>
            <w:pPr>
              <w:pStyle w:val="TableText"/>
              <w:ind w:left="378" w:right="117"/>
              <w:spacing w:before="73" w:line="254" w:lineRule="auto"/>
              <w:rPr/>
            </w:pPr>
            <w:r>
              <w:rPr>
                <w:spacing w:val="10"/>
              </w:rPr>
              <w:t>长期业务占比高，负</w:t>
            </w:r>
            <w:r>
              <w:rPr>
                <w:spacing w:val="6"/>
              </w:rPr>
              <w:t>债期限长</w:t>
            </w:r>
          </w:p>
        </w:tc>
        <w:tc>
          <w:tcPr>
            <w:tcW w:w="2421" w:type="dxa"/>
            <w:vAlign w:val="top"/>
          </w:tcPr>
          <w:p>
            <w:pPr>
              <w:pStyle w:val="TableText"/>
              <w:ind w:left="131"/>
              <w:spacing w:before="73" w:line="228" w:lineRule="auto"/>
              <w:rPr/>
            </w:pPr>
            <w:r>
              <w:rPr>
                <w:spacing w:val="7"/>
              </w:rPr>
              <w:t>周期相对较短</w:t>
            </w:r>
          </w:p>
        </w:tc>
        <w:tc>
          <w:tcPr>
            <w:tcW w:w="2412" w:type="dxa"/>
            <w:vAlign w:val="top"/>
          </w:tcPr>
          <w:p>
            <w:pPr>
              <w:pStyle w:val="TableText"/>
              <w:ind w:left="127" w:right="118" w:hanging="3"/>
              <w:spacing w:before="73" w:line="254" w:lineRule="auto"/>
              <w:rPr/>
            </w:pPr>
            <w:r>
              <w:rPr>
                <w:spacing w:val="10"/>
              </w:rPr>
              <w:t>存贷款期限错配需管</w:t>
            </w:r>
            <w:r>
              <w:rPr>
                <w:spacing w:val="6"/>
              </w:rPr>
              <w:t>理流动性</w:t>
            </w:r>
          </w:p>
        </w:tc>
      </w:tr>
      <w:tr>
        <w:trPr>
          <w:trHeight w:val="791" w:hRule="atLeast"/>
        </w:trPr>
        <w:tc>
          <w:tcPr>
            <w:tcW w:w="1442" w:type="dxa"/>
            <w:vAlign w:val="top"/>
            <w:tcBorders>
              <w:bottom w:val="single" w:color="000000" w:sz="6" w:space="0"/>
            </w:tcBorders>
          </w:tcPr>
          <w:p>
            <w:pPr>
              <w:pStyle w:val="TableText"/>
              <w:ind w:left="129"/>
              <w:spacing w:before="74" w:line="227" w:lineRule="auto"/>
              <w:rPr/>
            </w:pPr>
            <w:r>
              <w:rPr>
                <w:spacing w:val="6"/>
              </w:rPr>
              <w:t>监管重点</w:t>
            </w:r>
          </w:p>
        </w:tc>
        <w:tc>
          <w:tcPr>
            <w:tcW w:w="2663" w:type="dxa"/>
            <w:vAlign w:val="top"/>
            <w:tcBorders>
              <w:bottom w:val="single" w:color="000000" w:sz="6" w:space="0"/>
            </w:tcBorders>
          </w:tcPr>
          <w:p>
            <w:pPr>
              <w:pStyle w:val="TableText"/>
              <w:ind w:left="380" w:right="117" w:hanging="4"/>
              <w:spacing w:before="75" w:line="283" w:lineRule="auto"/>
              <w:rPr/>
            </w:pPr>
            <w:r>
              <w:rPr>
                <w:spacing w:val="10"/>
              </w:rPr>
              <w:t>偿付能力、准备金充</w:t>
            </w:r>
            <w:r>
              <w:rPr>
                <w:spacing w:val="7"/>
              </w:rPr>
              <w:t>足与消费者权益保护</w:t>
            </w:r>
          </w:p>
        </w:tc>
        <w:tc>
          <w:tcPr>
            <w:tcW w:w="2421" w:type="dxa"/>
            <w:vAlign w:val="top"/>
            <w:tcBorders>
              <w:bottom w:val="single" w:color="000000" w:sz="6" w:space="0"/>
            </w:tcBorders>
          </w:tcPr>
          <w:p>
            <w:pPr>
              <w:pStyle w:val="TableText"/>
              <w:ind w:left="130"/>
              <w:spacing w:before="74" w:line="227" w:lineRule="auto"/>
              <w:rPr/>
            </w:pPr>
            <w:r>
              <w:rPr>
                <w:spacing w:val="8"/>
              </w:rPr>
              <w:t>产品质量与安全生产</w:t>
            </w:r>
          </w:p>
        </w:tc>
        <w:tc>
          <w:tcPr>
            <w:tcW w:w="2412" w:type="dxa"/>
            <w:vAlign w:val="top"/>
            <w:tcBorders>
              <w:bottom w:val="single" w:color="000000" w:sz="6" w:space="0"/>
            </w:tcBorders>
          </w:tcPr>
          <w:p>
            <w:pPr>
              <w:pStyle w:val="TableText"/>
              <w:ind w:left="130" w:right="118" w:firstLine="5"/>
              <w:spacing w:before="75" w:line="283" w:lineRule="auto"/>
              <w:rPr/>
            </w:pPr>
            <w:r>
              <w:rPr>
                <w:spacing w:val="9"/>
              </w:rPr>
              <w:t>资本充足率、流动性</w:t>
            </w:r>
            <w:r>
              <w:rPr>
                <w:spacing w:val="6"/>
              </w:rPr>
              <w:t>与信贷风险</w:t>
            </w:r>
          </w:p>
        </w:tc>
      </w:tr>
    </w:tbl>
    <w:p>
      <w:pPr>
        <w:pStyle w:val="BodyText"/>
        <w:spacing w:line="398" w:lineRule="auto"/>
        <w:rPr/>
      </w:pPr>
      <w:r/>
    </w:p>
    <w:p>
      <w:pPr>
        <w:ind w:left="12" w:right="114" w:firstLine="466"/>
        <w:spacing w:before="75" w:line="289" w:lineRule="auto"/>
        <w:rPr>
          <w:rFonts w:ascii="SimSun" w:hAnsi="SimSun" w:eastAsia="SimSun" w:cs="SimSun"/>
          <w:sz w:val="23"/>
          <w:szCs w:val="23"/>
        </w:rPr>
      </w:pPr>
      <w:r>
        <w:rPr>
          <w:rFonts w:ascii="SimSun" w:hAnsi="SimSun" w:eastAsia="SimSun" w:cs="SimSun"/>
          <w:sz w:val="23"/>
          <w:szCs w:val="23"/>
          <w:spacing w:val="3"/>
        </w:rPr>
        <w:t>保险行业差异的本质在于其经营对象为未来不确定性现金流与风险补偿机制，</w:t>
      </w:r>
      <w:r>
        <w:rPr>
          <w:rFonts w:ascii="SimSun" w:hAnsi="SimSun" w:eastAsia="SimSun" w:cs="SimSun"/>
          <w:sz w:val="23"/>
          <w:szCs w:val="23"/>
          <w:spacing w:val="78"/>
        </w:rPr>
        <w:t xml:space="preserve"> </w:t>
      </w:r>
      <w:r>
        <w:rPr>
          <w:rFonts w:ascii="SimSun" w:hAnsi="SimSun" w:eastAsia="SimSun" w:cs="SimSun"/>
          <w:sz w:val="23"/>
          <w:szCs w:val="23"/>
          <w:spacing w:val="3"/>
        </w:rPr>
        <w:t>因此</w:t>
      </w:r>
      <w:bookmarkStart w:name="bookmark18" w:id="28"/>
      <w:bookmarkEnd w:id="28"/>
      <w:r>
        <w:rPr>
          <w:rFonts w:ascii="SimSun" w:hAnsi="SimSun" w:eastAsia="SimSun" w:cs="SimSun"/>
          <w:sz w:val="23"/>
          <w:szCs w:val="23"/>
          <w:spacing w:val="7"/>
        </w:rPr>
        <w:t>需要以准备金与资本计量形成财务稳定器，以经验分析与控制循环形成动态治理机制。</w:t>
      </w:r>
    </w:p>
    <w:p>
      <w:pPr>
        <w:spacing w:line="289" w:lineRule="auto"/>
        <w:sectPr>
          <w:footerReference w:type="default" r:id="rId13"/>
          <w:pgSz w:w="11906" w:h="16838"/>
          <w:pgMar w:top="400" w:right="1302" w:bottom="980" w:left="1427" w:header="0" w:footer="768" w:gutter="0"/>
        </w:sectPr>
        <w:rPr>
          <w:rFonts w:ascii="SimSun" w:hAnsi="SimSun" w:eastAsia="SimSun" w:cs="SimSun"/>
          <w:sz w:val="23"/>
          <w:szCs w:val="23"/>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144"/>
        <w:spacing w:before="110" w:line="223" w:lineRule="auto"/>
        <w:outlineLvl w:val="1"/>
        <w:rPr>
          <w:rFonts w:ascii="SimHei" w:hAnsi="SimHei" w:eastAsia="SimHei" w:cs="SimHei"/>
          <w:sz w:val="34"/>
          <w:szCs w:val="34"/>
        </w:rPr>
      </w:pPr>
      <w:bookmarkStart w:name="bookmark19" w:id="29"/>
      <w:bookmarkEnd w:id="29"/>
      <w:r>
        <w:rPr>
          <w:rFonts w:ascii="Times New Roman" w:hAnsi="Times New Roman" w:eastAsia="Times New Roman" w:cs="Times New Roman"/>
          <w:sz w:val="34"/>
          <w:szCs w:val="34"/>
          <w:b/>
          <w:bCs/>
          <w:spacing w:val="5"/>
        </w:rPr>
        <w:t>1.4    </w:t>
      </w:r>
      <w:r>
        <w:rPr>
          <w:rFonts w:ascii="SimHei" w:hAnsi="SimHei" w:eastAsia="SimHei" w:cs="SimHei"/>
          <w:sz w:val="34"/>
          <w:szCs w:val="34"/>
          <w:spacing w:val="5"/>
        </w:rPr>
        <w:t>精算实务的核心职能</w:t>
      </w:r>
    </w:p>
    <w:p>
      <w:pPr>
        <w:pStyle w:val="BodyText"/>
        <w:spacing w:line="309" w:lineRule="auto"/>
        <w:rPr/>
      </w:pPr>
      <w:r/>
    </w:p>
    <w:p>
      <w:pPr>
        <w:ind w:left="139"/>
        <w:spacing w:before="91" w:line="225" w:lineRule="auto"/>
        <w:outlineLvl w:val="2"/>
        <w:rPr>
          <w:rFonts w:ascii="SimHei" w:hAnsi="SimHei" w:eastAsia="SimHei" w:cs="SimHei"/>
          <w:sz w:val="28"/>
          <w:szCs w:val="28"/>
        </w:rPr>
      </w:pPr>
      <w:bookmarkStart w:name="bookmark57" w:id="30"/>
      <w:bookmarkEnd w:id="30"/>
      <w:r>
        <w:rPr>
          <w:rFonts w:ascii="Times New Roman" w:hAnsi="Times New Roman" w:eastAsia="Times New Roman" w:cs="Times New Roman"/>
          <w:sz w:val="28"/>
          <w:szCs w:val="28"/>
          <w:b/>
          <w:bCs/>
          <w:spacing w:val="8"/>
        </w:rPr>
        <w:t>1.4.1    </w:t>
      </w:r>
      <w:r>
        <w:rPr>
          <w:rFonts w:ascii="SimHei" w:hAnsi="SimHei" w:eastAsia="SimHei" w:cs="SimHei"/>
          <w:sz w:val="28"/>
          <w:szCs w:val="28"/>
          <w:spacing w:val="8"/>
        </w:rPr>
        <w:t>精算实务的四大核心职能及</w:t>
      </w:r>
      <w:r>
        <w:rPr>
          <w:rFonts w:ascii="SimHei" w:hAnsi="SimHei" w:eastAsia="SimHei" w:cs="SimHei"/>
          <w:sz w:val="28"/>
          <w:szCs w:val="28"/>
          <w:spacing w:val="7"/>
        </w:rPr>
        <w:t>其闭环关系</w:t>
      </w:r>
    </w:p>
    <w:p>
      <w:pPr>
        <w:ind w:right="114" w:firstLine="602"/>
        <w:spacing w:before="244" w:line="288" w:lineRule="auto"/>
        <w:jc w:val="both"/>
        <w:rPr>
          <w:rFonts w:ascii="SimSun" w:hAnsi="SimSun" w:eastAsia="SimSun" w:cs="SimSun"/>
          <w:sz w:val="23"/>
          <w:szCs w:val="23"/>
        </w:rPr>
      </w:pPr>
      <w:r>
        <w:rPr>
          <w:rFonts w:ascii="SimSun" w:hAnsi="SimSun" w:eastAsia="SimSun" w:cs="SimSun"/>
          <w:sz w:val="23"/>
          <w:szCs w:val="23"/>
          <w:spacing w:val="8"/>
        </w:rPr>
        <w:t>精算实务的核心职能包括产品定价、精算评估、经验分析与精算建模四个模块。四</w:t>
      </w:r>
      <w:r>
        <w:rPr>
          <w:rFonts w:ascii="SimSun" w:hAnsi="SimSun" w:eastAsia="SimSun" w:cs="SimSun"/>
          <w:sz w:val="23"/>
          <w:szCs w:val="23"/>
          <w:spacing w:val="7"/>
        </w:rPr>
        <w:t>项职能相互关联、相互支撑，</w:t>
      </w:r>
      <w:r>
        <w:rPr>
          <w:rFonts w:ascii="SimSun" w:hAnsi="SimSun" w:eastAsia="SimSun" w:cs="SimSun"/>
          <w:sz w:val="23"/>
          <w:szCs w:val="23"/>
          <w:spacing w:val="69"/>
        </w:rPr>
        <w:t xml:space="preserve"> </w:t>
      </w:r>
      <w:r>
        <w:rPr>
          <w:rFonts w:ascii="SimSun" w:hAnsi="SimSun" w:eastAsia="SimSun" w:cs="SimSun"/>
          <w:sz w:val="23"/>
          <w:szCs w:val="23"/>
          <w:spacing w:val="7"/>
        </w:rPr>
        <w:t>并通过“数据—假设—模型—结果—反馈”的</w:t>
      </w:r>
      <w:r>
        <w:rPr>
          <w:rFonts w:ascii="SimSun" w:hAnsi="SimSun" w:eastAsia="SimSun" w:cs="SimSun"/>
          <w:sz w:val="23"/>
          <w:szCs w:val="23"/>
          <w:spacing w:val="6"/>
        </w:rPr>
        <w:t>链条形成闭</w:t>
      </w:r>
      <w:r>
        <w:rPr>
          <w:rFonts w:ascii="SimSun" w:hAnsi="SimSun" w:eastAsia="SimSun" w:cs="SimSun"/>
          <w:sz w:val="23"/>
          <w:szCs w:val="23"/>
          <w:spacing w:val="12"/>
        </w:rPr>
        <w:t>环。产品定价解决“产品如何定价与是否具备可持续盈利能力</w:t>
      </w:r>
      <w:r>
        <w:rPr>
          <w:rFonts w:ascii="SimSun" w:hAnsi="SimSun" w:eastAsia="SimSun" w:cs="SimSun"/>
          <w:sz w:val="23"/>
          <w:szCs w:val="23"/>
          <w:spacing w:val="11"/>
        </w:rPr>
        <w:t>”的问题；精算评估解决</w:t>
      </w:r>
      <w:r>
        <w:rPr>
          <w:rFonts w:ascii="SimSun" w:hAnsi="SimSun" w:eastAsia="SimSun" w:cs="SimSun"/>
          <w:sz w:val="23"/>
          <w:szCs w:val="23"/>
          <w:spacing w:val="12"/>
        </w:rPr>
        <w:t>“已承保业务在评估时点应计提多少负债、如何反映经营波</w:t>
      </w:r>
      <w:r>
        <w:rPr>
          <w:rFonts w:ascii="SimSun" w:hAnsi="SimSun" w:eastAsia="SimSun" w:cs="SimSun"/>
          <w:sz w:val="23"/>
          <w:szCs w:val="23"/>
          <w:spacing w:val="11"/>
        </w:rPr>
        <w:t>动”的问题；经验分析解决</w:t>
      </w:r>
      <w:r>
        <w:rPr>
          <w:rFonts w:ascii="SimSun" w:hAnsi="SimSun" w:eastAsia="SimSun" w:cs="SimSun"/>
          <w:sz w:val="23"/>
          <w:szCs w:val="23"/>
          <w:spacing w:val="12"/>
        </w:rPr>
        <w:t>“假设是否偏离、偏离原因是什么、如何形成可控的管理抓</w:t>
      </w:r>
      <w:r>
        <w:rPr>
          <w:rFonts w:ascii="SimSun" w:hAnsi="SimSun" w:eastAsia="SimSun" w:cs="SimSun"/>
          <w:sz w:val="23"/>
          <w:szCs w:val="23"/>
          <w:spacing w:val="11"/>
        </w:rPr>
        <w:t>手”的问题；精算建模解决</w:t>
      </w:r>
      <w:r>
        <w:rPr>
          <w:rFonts w:ascii="SimSun" w:hAnsi="SimSun" w:eastAsia="SimSun" w:cs="SimSun"/>
          <w:sz w:val="23"/>
          <w:szCs w:val="23"/>
          <w:spacing w:val="6"/>
        </w:rPr>
        <w:t>“如何将规则、假设与数据转化为可重复运</w:t>
      </w:r>
      <w:r>
        <w:rPr>
          <w:rFonts w:ascii="SimSun" w:hAnsi="SimSun" w:eastAsia="SimSun" w:cs="SimSun"/>
          <w:sz w:val="23"/>
          <w:szCs w:val="23"/>
          <w:spacing w:val="5"/>
        </w:rPr>
        <w:t>行、可扩展、可审计的计算系统”的问题。四</w:t>
      </w:r>
      <w:r>
        <w:rPr>
          <w:rFonts w:ascii="SimSun" w:hAnsi="SimSun" w:eastAsia="SimSun" w:cs="SimSun"/>
          <w:sz w:val="23"/>
          <w:szCs w:val="23"/>
          <w:spacing w:val="12"/>
        </w:rPr>
        <w:t>项职能在公司治理中分别对应产品合规与市场竞争、负债审慎</w:t>
      </w:r>
      <w:r>
        <w:rPr>
          <w:rFonts w:ascii="SimSun" w:hAnsi="SimSun" w:eastAsia="SimSun" w:cs="SimSun"/>
          <w:sz w:val="23"/>
          <w:szCs w:val="23"/>
          <w:spacing w:val="11"/>
        </w:rPr>
        <w:t>计量与财务稳健、经验偏</w:t>
      </w:r>
      <w:r>
        <w:rPr>
          <w:rFonts w:ascii="SimSun" w:hAnsi="SimSun" w:eastAsia="SimSun" w:cs="SimSun"/>
          <w:sz w:val="23"/>
          <w:szCs w:val="23"/>
          <w:spacing w:val="7"/>
        </w:rPr>
        <w:t>离解释与风险治理、模型与数据基础设施建设等方面，</w:t>
      </w:r>
      <w:r>
        <w:rPr>
          <w:rFonts w:ascii="SimSun" w:hAnsi="SimSun" w:eastAsia="SimSun" w:cs="SimSun"/>
          <w:sz w:val="23"/>
          <w:szCs w:val="23"/>
          <w:spacing w:val="65"/>
        </w:rPr>
        <w:t xml:space="preserve"> </w:t>
      </w:r>
      <w:r>
        <w:rPr>
          <w:rFonts w:ascii="SimSun" w:hAnsi="SimSun" w:eastAsia="SimSun" w:cs="SimSun"/>
          <w:sz w:val="23"/>
          <w:szCs w:val="23"/>
          <w:spacing w:val="7"/>
        </w:rPr>
        <w:t>并共同构成精算价值创造的主要</w:t>
      </w:r>
      <w:r>
        <w:rPr>
          <w:rFonts w:ascii="SimSun" w:hAnsi="SimSun" w:eastAsia="SimSun" w:cs="SimSun"/>
          <w:sz w:val="23"/>
          <w:szCs w:val="23"/>
          <w:spacing w:val="34"/>
        </w:rPr>
        <w:t>路径。</w:t>
      </w:r>
    </w:p>
    <w:p>
      <w:pPr>
        <w:pStyle w:val="BodyText"/>
        <w:spacing w:line="378" w:lineRule="auto"/>
        <w:rPr/>
      </w:pPr>
      <w:r/>
    </w:p>
    <w:p>
      <w:pPr>
        <w:ind w:left="139"/>
        <w:spacing w:before="91" w:line="226" w:lineRule="auto"/>
        <w:outlineLvl w:val="2"/>
        <w:rPr>
          <w:rFonts w:ascii="SimHei" w:hAnsi="SimHei" w:eastAsia="SimHei" w:cs="SimHei"/>
          <w:sz w:val="28"/>
          <w:szCs w:val="28"/>
        </w:rPr>
      </w:pPr>
      <w:bookmarkStart w:name="bookmark20" w:id="31"/>
      <w:bookmarkEnd w:id="31"/>
      <w:bookmarkStart w:name="bookmark21" w:id="32"/>
      <w:bookmarkEnd w:id="32"/>
      <w:r>
        <w:rPr>
          <w:rFonts w:ascii="Times New Roman" w:hAnsi="Times New Roman" w:eastAsia="Times New Roman" w:cs="Times New Roman"/>
          <w:sz w:val="28"/>
          <w:szCs w:val="28"/>
          <w:b/>
          <w:bCs/>
          <w:spacing w:val="10"/>
        </w:rPr>
        <w:t>1.4.2</w:t>
      </w:r>
      <w:r>
        <w:rPr>
          <w:rFonts w:ascii="Times New Roman" w:hAnsi="Times New Roman" w:eastAsia="Times New Roman" w:cs="Times New Roman"/>
          <w:sz w:val="28"/>
          <w:szCs w:val="28"/>
          <w:b/>
          <w:bCs/>
          <w:spacing w:val="5"/>
        </w:rPr>
        <w:t xml:space="preserve">    </w:t>
      </w:r>
      <w:r>
        <w:rPr>
          <w:rFonts w:ascii="SimHei" w:hAnsi="SimHei" w:eastAsia="SimHei" w:cs="SimHei"/>
          <w:sz w:val="28"/>
          <w:szCs w:val="28"/>
          <w:spacing w:val="10"/>
        </w:rPr>
        <w:t>产品定价</w:t>
      </w:r>
    </w:p>
    <w:p>
      <w:pPr>
        <w:ind w:left="135"/>
        <w:spacing w:before="288" w:line="229" w:lineRule="auto"/>
        <w:outlineLvl w:val="3"/>
        <w:rPr>
          <w:rFonts w:ascii="SimHei" w:hAnsi="SimHei" w:eastAsia="SimHei" w:cs="SimHei"/>
          <w:sz w:val="23"/>
          <w:szCs w:val="23"/>
        </w:rPr>
      </w:pPr>
      <w:bookmarkStart w:name="bookmark58" w:id="33"/>
      <w:bookmarkEnd w:id="33"/>
      <w:r>
        <w:rPr>
          <w:rFonts w:ascii="Times New Roman" w:hAnsi="Times New Roman" w:eastAsia="Times New Roman" w:cs="Times New Roman"/>
          <w:sz w:val="23"/>
          <w:szCs w:val="23"/>
          <w:b/>
          <w:bCs/>
          <w:spacing w:val="11"/>
        </w:rPr>
        <w:t>1.4.2.1</w:t>
      </w:r>
      <w:r>
        <w:rPr>
          <w:rFonts w:ascii="Times New Roman" w:hAnsi="Times New Roman" w:eastAsia="Times New Roman" w:cs="Times New Roman"/>
          <w:sz w:val="23"/>
          <w:szCs w:val="23"/>
          <w:b/>
          <w:bCs/>
          <w:spacing w:val="5"/>
        </w:rPr>
        <w:t xml:space="preserve">    </w:t>
      </w:r>
      <w:r>
        <w:rPr>
          <w:rFonts w:ascii="SimHei" w:hAnsi="SimHei" w:eastAsia="SimHei" w:cs="SimHei"/>
          <w:sz w:val="23"/>
          <w:szCs w:val="23"/>
          <w:spacing w:val="11"/>
        </w:rPr>
        <w:t>定价要素与基本逻辑</w:t>
      </w:r>
    </w:p>
    <w:p>
      <w:pPr>
        <w:ind w:left="123" w:right="114" w:firstLine="479"/>
        <w:spacing w:before="260" w:line="288" w:lineRule="auto"/>
        <w:jc w:val="both"/>
        <w:rPr>
          <w:rFonts w:ascii="SimSun" w:hAnsi="SimSun" w:eastAsia="SimSun" w:cs="SimSun"/>
          <w:sz w:val="23"/>
          <w:szCs w:val="23"/>
        </w:rPr>
      </w:pPr>
      <w:r>
        <w:rPr>
          <w:rFonts w:ascii="SimSun" w:hAnsi="SimSun" w:eastAsia="SimSun" w:cs="SimSun"/>
          <w:sz w:val="23"/>
          <w:szCs w:val="23"/>
          <w:spacing w:val="3"/>
        </w:rPr>
        <w:t>产品定价的目标是制定合理的保险产品价格，</w:t>
      </w:r>
      <w:r>
        <w:rPr>
          <w:rFonts w:ascii="SimSun" w:hAnsi="SimSun" w:eastAsia="SimSun" w:cs="SimSun"/>
          <w:sz w:val="23"/>
          <w:szCs w:val="23"/>
          <w:spacing w:val="79"/>
        </w:rPr>
        <w:t xml:space="preserve"> </w:t>
      </w:r>
      <w:r>
        <w:rPr>
          <w:rFonts w:ascii="SimSun" w:hAnsi="SimSun" w:eastAsia="SimSun" w:cs="SimSun"/>
          <w:sz w:val="23"/>
          <w:szCs w:val="23"/>
          <w:spacing w:val="3"/>
        </w:rPr>
        <w:t>并在监管约束、市场竞争与公司风险</w:t>
      </w:r>
      <w:r>
        <w:rPr>
          <w:rFonts w:ascii="SimSun" w:hAnsi="SimSun" w:eastAsia="SimSun" w:cs="SimSun"/>
          <w:sz w:val="23"/>
          <w:szCs w:val="23"/>
          <w:spacing w:val="8"/>
        </w:rPr>
        <w:t>偏好条件下实现长期可持续经营。定价通常包括费率厘定与利润测试两个相互衔接的环</w:t>
      </w:r>
      <w:r>
        <w:rPr>
          <w:rFonts w:ascii="SimSun" w:hAnsi="SimSun" w:eastAsia="SimSun" w:cs="SimSun"/>
          <w:sz w:val="23"/>
          <w:szCs w:val="23"/>
          <w:spacing w:val="-2"/>
        </w:rPr>
        <w:t>节。费率厘定是计算基础保费的过程，</w:t>
      </w:r>
      <w:r>
        <w:rPr>
          <w:rFonts w:ascii="SimSun" w:hAnsi="SimSun" w:eastAsia="SimSun" w:cs="SimSun"/>
          <w:sz w:val="23"/>
          <w:szCs w:val="23"/>
          <w:spacing w:val="100"/>
        </w:rPr>
        <w:t xml:space="preserve"> </w:t>
      </w:r>
      <w:r>
        <w:rPr>
          <w:rFonts w:ascii="SimSun" w:hAnsi="SimSun" w:eastAsia="SimSun" w:cs="SimSun"/>
          <w:sz w:val="23"/>
          <w:szCs w:val="23"/>
          <w:spacing w:val="-2"/>
        </w:rPr>
        <w:t>围绕保险责任形成对未来现金流的预期刻画，</w:t>
      </w:r>
      <w:r>
        <w:rPr>
          <w:rFonts w:ascii="SimSun" w:hAnsi="SimSun" w:eastAsia="SimSun" w:cs="SimSun"/>
          <w:sz w:val="23"/>
          <w:szCs w:val="23"/>
          <w:spacing w:val="67"/>
        </w:rPr>
        <w:t xml:space="preserve"> </w:t>
      </w:r>
      <w:r>
        <w:rPr>
          <w:rFonts w:ascii="SimSun" w:hAnsi="SimSun" w:eastAsia="SimSun" w:cs="SimSun"/>
          <w:sz w:val="23"/>
          <w:szCs w:val="23"/>
          <w:spacing w:val="-2"/>
        </w:rPr>
        <w:t>并</w:t>
      </w:r>
      <w:r>
        <w:rPr>
          <w:rFonts w:ascii="SimSun" w:hAnsi="SimSun" w:eastAsia="SimSun" w:cs="SimSun"/>
          <w:sz w:val="23"/>
          <w:szCs w:val="23"/>
          <w:spacing w:val="2"/>
        </w:rPr>
        <w:t>据此确定保费水平；</w:t>
      </w:r>
      <w:r>
        <w:rPr>
          <w:rFonts w:ascii="SimSun" w:hAnsi="SimSun" w:eastAsia="SimSun" w:cs="SimSun"/>
          <w:sz w:val="23"/>
          <w:szCs w:val="23"/>
          <w:spacing w:val="-39"/>
        </w:rPr>
        <w:t xml:space="preserve"> </w:t>
      </w:r>
      <w:r>
        <w:rPr>
          <w:rFonts w:ascii="SimSun" w:hAnsi="SimSun" w:eastAsia="SimSun" w:cs="SimSun"/>
          <w:sz w:val="23"/>
          <w:szCs w:val="23"/>
          <w:spacing w:val="2"/>
        </w:rPr>
        <w:t>利润测试在费率厘定基础上检验价格的合理性，</w:t>
      </w:r>
      <w:r>
        <w:rPr>
          <w:rFonts w:ascii="SimSun" w:hAnsi="SimSun" w:eastAsia="SimSun" w:cs="SimSun"/>
          <w:sz w:val="23"/>
          <w:szCs w:val="23"/>
          <w:spacing w:val="59"/>
        </w:rPr>
        <w:t xml:space="preserve"> </w:t>
      </w:r>
      <w:r>
        <w:rPr>
          <w:rFonts w:ascii="SimSun" w:hAnsi="SimSun" w:eastAsia="SimSun" w:cs="SimSun"/>
          <w:sz w:val="23"/>
          <w:szCs w:val="23"/>
          <w:spacing w:val="2"/>
        </w:rPr>
        <w:t>评价产</w:t>
      </w:r>
      <w:r>
        <w:rPr>
          <w:rFonts w:ascii="SimSun" w:hAnsi="SimSun" w:eastAsia="SimSun" w:cs="SimSun"/>
          <w:sz w:val="23"/>
          <w:szCs w:val="23"/>
          <w:spacing w:val="1"/>
        </w:rPr>
        <w:t>品在全生命</w:t>
      </w:r>
      <w:r>
        <w:rPr>
          <w:rFonts w:ascii="SimSun" w:hAnsi="SimSun" w:eastAsia="SimSun" w:cs="SimSun"/>
          <w:sz w:val="23"/>
          <w:szCs w:val="23"/>
          <w:spacing w:val="8"/>
        </w:rPr>
        <w:t>周期内的盈利能力与风险暴露，从而验证业务承担的风险与创</w:t>
      </w:r>
      <w:r>
        <w:rPr>
          <w:rFonts w:ascii="SimSun" w:hAnsi="SimSun" w:eastAsia="SimSun" w:cs="SimSun"/>
          <w:sz w:val="23"/>
          <w:szCs w:val="23"/>
          <w:spacing w:val="7"/>
        </w:rPr>
        <w:t>造的价值是否匹配。</w:t>
      </w:r>
    </w:p>
    <w:p>
      <w:pPr>
        <w:ind w:left="124" w:firstLine="491"/>
        <w:spacing w:before="14" w:line="288" w:lineRule="auto"/>
        <w:jc w:val="both"/>
        <w:rPr>
          <w:rFonts w:ascii="SimSun" w:hAnsi="SimSun" w:eastAsia="SimSun" w:cs="SimSun"/>
          <w:sz w:val="23"/>
          <w:szCs w:val="23"/>
        </w:rPr>
      </w:pPr>
      <w:r>
        <w:rPr>
          <w:rFonts w:ascii="SimSun" w:hAnsi="SimSun" w:eastAsia="SimSun" w:cs="SimSun"/>
          <w:sz w:val="23"/>
          <w:szCs w:val="23"/>
          <w:spacing w:val="5"/>
        </w:rPr>
        <w:t>费率厘定涉及四类关键要素： 保险责任、定价发生率、定</w:t>
      </w:r>
      <w:r>
        <w:rPr>
          <w:rFonts w:ascii="SimSun" w:hAnsi="SimSun" w:eastAsia="SimSun" w:cs="SimSun"/>
          <w:sz w:val="23"/>
          <w:szCs w:val="23"/>
          <w:spacing w:val="4"/>
        </w:rPr>
        <w:t>价利率与附加费用率。保</w:t>
      </w:r>
      <w:r>
        <w:rPr>
          <w:rFonts w:ascii="SimSun" w:hAnsi="SimSun" w:eastAsia="SimSun" w:cs="SimSun"/>
          <w:sz w:val="23"/>
          <w:szCs w:val="23"/>
          <w:spacing w:val="1"/>
        </w:rPr>
        <w:t>险责任决定风险边界， 需明确给付条件、给付方</w:t>
      </w:r>
      <w:r>
        <w:rPr>
          <w:rFonts w:ascii="SimSun" w:hAnsi="SimSun" w:eastAsia="SimSun" w:cs="SimSun"/>
          <w:sz w:val="23"/>
          <w:szCs w:val="23"/>
        </w:rPr>
        <w:t>式与免责条款，</w:t>
      </w:r>
      <w:r>
        <w:rPr>
          <w:rFonts w:ascii="SimSun" w:hAnsi="SimSun" w:eastAsia="SimSun" w:cs="SimSun"/>
          <w:sz w:val="23"/>
          <w:szCs w:val="23"/>
          <w:spacing w:val="68"/>
        </w:rPr>
        <w:t xml:space="preserve"> </w:t>
      </w:r>
      <w:r>
        <w:rPr>
          <w:rFonts w:ascii="SimSun" w:hAnsi="SimSun" w:eastAsia="SimSun" w:cs="SimSun"/>
          <w:sz w:val="23"/>
          <w:szCs w:val="23"/>
        </w:rPr>
        <w:t>常见责任包括身故保险</w:t>
      </w:r>
      <w:r>
        <w:rPr>
          <w:rFonts w:ascii="SimSun" w:hAnsi="SimSun" w:eastAsia="SimSun" w:cs="SimSun"/>
          <w:sz w:val="23"/>
          <w:szCs w:val="23"/>
          <w:spacing w:val="8"/>
        </w:rPr>
        <w:t>金、生存金、满期金、医疗费用报销、伤残保险金等。定价发生率反映未来保险责任发</w:t>
      </w:r>
      <w:r>
        <w:rPr>
          <w:rFonts w:ascii="SimSun" w:hAnsi="SimSun" w:eastAsia="SimSun" w:cs="SimSun"/>
          <w:sz w:val="23"/>
          <w:szCs w:val="23"/>
          <w:spacing w:val="7"/>
        </w:rPr>
        <w:t>生的概率，</w:t>
      </w:r>
      <w:r>
        <w:rPr>
          <w:rFonts w:ascii="SimSun" w:hAnsi="SimSun" w:eastAsia="SimSun" w:cs="SimSun"/>
          <w:sz w:val="23"/>
          <w:szCs w:val="23"/>
          <w:spacing w:val="-61"/>
        </w:rPr>
        <w:t xml:space="preserve"> </w:t>
      </w:r>
      <w:r>
        <w:rPr>
          <w:rFonts w:ascii="SimSun" w:hAnsi="SimSun" w:eastAsia="SimSun" w:cs="SimSun"/>
          <w:sz w:val="23"/>
          <w:szCs w:val="23"/>
          <w:spacing w:val="7"/>
        </w:rPr>
        <w:t>常见包括死亡率、发病率、伤残率、退保率与赔付率等。定价发生率的确定</w:t>
      </w:r>
      <w:r>
        <w:rPr>
          <w:rFonts w:ascii="SimSun" w:hAnsi="SimSun" w:eastAsia="SimSun" w:cs="SimSun"/>
          <w:sz w:val="23"/>
          <w:szCs w:val="23"/>
          <w:spacing w:val="4"/>
        </w:rPr>
        <w:t>通常基于行业经验数据、公司自身经验数据与外部数据等来</w:t>
      </w:r>
      <w:r>
        <w:rPr>
          <w:rFonts w:ascii="SimSun" w:hAnsi="SimSun" w:eastAsia="SimSun" w:cs="SimSun"/>
          <w:sz w:val="23"/>
          <w:szCs w:val="23"/>
          <w:spacing w:val="3"/>
        </w:rPr>
        <w:t>源；</w:t>
      </w:r>
      <w:r>
        <w:rPr>
          <w:rFonts w:ascii="SimSun" w:hAnsi="SimSun" w:eastAsia="SimSun" w:cs="SimSun"/>
          <w:sz w:val="23"/>
          <w:szCs w:val="23"/>
          <w:spacing w:val="65"/>
        </w:rPr>
        <w:t xml:space="preserve"> </w:t>
      </w:r>
      <w:r>
        <w:rPr>
          <w:rFonts w:ascii="SimSun" w:hAnsi="SimSun" w:eastAsia="SimSun" w:cs="SimSun"/>
          <w:sz w:val="23"/>
          <w:szCs w:val="23"/>
          <w:spacing w:val="3"/>
        </w:rPr>
        <w:t>为促进定价公平性与合</w:t>
      </w:r>
      <w:r>
        <w:rPr>
          <w:rFonts w:ascii="SimSun" w:hAnsi="SimSun" w:eastAsia="SimSun" w:cs="SimSun"/>
          <w:sz w:val="23"/>
          <w:szCs w:val="23"/>
          <w:spacing w:val="3"/>
        </w:rPr>
        <w:t>理性，行业参考发生率表通常会定期更新，</w:t>
      </w:r>
      <w:r>
        <w:rPr>
          <w:rFonts w:ascii="SimSun" w:hAnsi="SimSun" w:eastAsia="SimSun" w:cs="SimSun"/>
          <w:sz w:val="23"/>
          <w:szCs w:val="23"/>
          <w:spacing w:val="-23"/>
        </w:rPr>
        <w:t xml:space="preserve"> </w:t>
      </w:r>
      <w:r>
        <w:rPr>
          <w:rFonts w:ascii="SimSun" w:hAnsi="SimSun" w:eastAsia="SimSun" w:cs="SimSun"/>
          <w:sz w:val="23"/>
          <w:szCs w:val="23"/>
          <w:spacing w:val="3"/>
        </w:rPr>
        <w:t>例如寿险行业生命表常以一定周期进</w:t>
      </w:r>
      <w:r>
        <w:rPr>
          <w:rFonts w:ascii="SimSun" w:hAnsi="SimSun" w:eastAsia="SimSun" w:cs="SimSun"/>
          <w:sz w:val="23"/>
          <w:szCs w:val="23"/>
          <w:spacing w:val="2"/>
        </w:rPr>
        <w:t>行更新。</w:t>
      </w:r>
      <w:r>
        <w:rPr>
          <w:rFonts w:ascii="SimSun" w:hAnsi="SimSun" w:eastAsia="SimSun" w:cs="SimSun"/>
          <w:sz w:val="23"/>
          <w:szCs w:val="23"/>
          <w:spacing w:val="4"/>
        </w:rPr>
        <w:t>定价利率用于将未来现金流贴现到保单签发时点以反映货币时间价值，</w:t>
      </w:r>
      <w:r>
        <w:rPr>
          <w:rFonts w:ascii="SimSun" w:hAnsi="SimSun" w:eastAsia="SimSun" w:cs="SimSun"/>
          <w:sz w:val="23"/>
          <w:szCs w:val="23"/>
          <w:spacing w:val="53"/>
        </w:rPr>
        <w:t xml:space="preserve"> </w:t>
      </w:r>
      <w:r>
        <w:rPr>
          <w:rFonts w:ascii="SimSun" w:hAnsi="SimSun" w:eastAsia="SimSun" w:cs="SimSun"/>
          <w:sz w:val="23"/>
          <w:szCs w:val="23"/>
          <w:spacing w:val="4"/>
        </w:rPr>
        <w:t>其确定受宏观经</w:t>
      </w:r>
      <w:r>
        <w:rPr>
          <w:rFonts w:ascii="SimSun" w:hAnsi="SimSun" w:eastAsia="SimSun" w:cs="SimSun"/>
          <w:sz w:val="23"/>
          <w:szCs w:val="23"/>
          <w:spacing w:val="8"/>
        </w:rPr>
        <w:t>济环境、监管政策与公司投资收益水平等因素影响。附加费用率用于在净保费基础上反</w:t>
      </w:r>
      <w:r>
        <w:rPr>
          <w:rFonts w:ascii="SimSun" w:hAnsi="SimSun" w:eastAsia="SimSun" w:cs="SimSun"/>
          <w:sz w:val="23"/>
          <w:szCs w:val="23"/>
          <w:spacing w:val="7"/>
        </w:rPr>
        <w:t>映运营成本、渠道成本、税费与预期利润等因素，从而形成毛保费水平。</w:t>
      </w:r>
    </w:p>
    <w:p>
      <w:pPr>
        <w:ind w:left="127" w:firstLine="474"/>
        <w:spacing w:before="12" w:line="289" w:lineRule="auto"/>
        <w:jc w:val="both"/>
        <w:rPr>
          <w:rFonts w:ascii="SimSun" w:hAnsi="SimSun" w:eastAsia="SimSun" w:cs="SimSun"/>
          <w:sz w:val="23"/>
          <w:szCs w:val="23"/>
        </w:rPr>
      </w:pPr>
      <w:r>
        <w:rPr>
          <w:rFonts w:ascii="SimSun" w:hAnsi="SimSun" w:eastAsia="SimSun" w:cs="SimSun"/>
          <w:sz w:val="23"/>
          <w:szCs w:val="23"/>
          <w:spacing w:val="1"/>
        </w:rPr>
        <w:t>在表达上，</w:t>
      </w:r>
      <w:r>
        <w:rPr>
          <w:rFonts w:ascii="SimSun" w:hAnsi="SimSun" w:eastAsia="SimSun" w:cs="SimSun"/>
          <w:sz w:val="23"/>
          <w:szCs w:val="23"/>
          <w:spacing w:val="-43"/>
        </w:rPr>
        <w:t xml:space="preserve"> </w:t>
      </w:r>
      <w:r>
        <w:rPr>
          <w:rFonts w:ascii="SimSun" w:hAnsi="SimSun" w:eastAsia="SimSun" w:cs="SimSun"/>
          <w:sz w:val="23"/>
          <w:szCs w:val="23"/>
          <w:spacing w:val="1"/>
        </w:rPr>
        <w:t>费率厘定常采用净保费与毛保费的对应关系。净保费对应保障成本，</w:t>
      </w:r>
      <w:r>
        <w:rPr>
          <w:rFonts w:ascii="SimSun" w:hAnsi="SimSun" w:eastAsia="SimSun" w:cs="SimSun"/>
          <w:sz w:val="23"/>
          <w:szCs w:val="23"/>
          <w:spacing w:val="80"/>
        </w:rPr>
        <w:t xml:space="preserve"> </w:t>
      </w:r>
      <w:r>
        <w:rPr>
          <w:rFonts w:ascii="SimSun" w:hAnsi="SimSun" w:eastAsia="SimSun" w:cs="SimSun"/>
          <w:sz w:val="23"/>
          <w:szCs w:val="23"/>
          <w:spacing w:val="1"/>
        </w:rPr>
        <w:t>即</w:t>
      </w:r>
      <w:r>
        <w:rPr>
          <w:rFonts w:ascii="SimSun" w:hAnsi="SimSun" w:eastAsia="SimSun" w:cs="SimSun"/>
          <w:sz w:val="23"/>
          <w:szCs w:val="23"/>
          <w:spacing w:val="1"/>
        </w:rPr>
        <w:t>未来预期赔付金额现值；</w:t>
      </w:r>
      <w:r>
        <w:rPr>
          <w:rFonts w:ascii="SimSun" w:hAnsi="SimSun" w:eastAsia="SimSun" w:cs="SimSun"/>
          <w:sz w:val="23"/>
          <w:szCs w:val="23"/>
          <w:spacing w:val="-67"/>
        </w:rPr>
        <w:t xml:space="preserve"> </w:t>
      </w:r>
      <w:r>
        <w:rPr>
          <w:rFonts w:ascii="SimSun" w:hAnsi="SimSun" w:eastAsia="SimSun" w:cs="SimSun"/>
          <w:sz w:val="23"/>
          <w:szCs w:val="23"/>
          <w:spacing w:val="1"/>
        </w:rPr>
        <w:t>毛保费在净保费基础上计入附加费用， 体现费用与利润等要求。</w:t>
      </w:r>
      <w:r>
        <w:rPr>
          <w:rFonts w:ascii="SimSun" w:hAnsi="SimSun" w:eastAsia="SimSun" w:cs="SimSun"/>
          <w:sz w:val="23"/>
          <w:szCs w:val="23"/>
          <w:spacing w:val="6"/>
        </w:rPr>
        <w:t>为便于读者形成清晰把握，可用如下关系表达其内在逻辑：</w:t>
      </w:r>
    </w:p>
    <w:p>
      <w:pPr>
        <w:ind w:left="556"/>
        <w:spacing w:before="292" w:line="223" w:lineRule="auto"/>
        <w:rPr>
          <w:rFonts w:ascii="Times New Roman" w:hAnsi="Times New Roman" w:eastAsia="Times New Roman" w:cs="Times New Roman"/>
          <w:sz w:val="23"/>
          <w:szCs w:val="23"/>
        </w:rPr>
      </w:pPr>
      <w:r>
        <w:rPr>
          <w:rFonts w:ascii="SimSun" w:hAnsi="SimSun" w:eastAsia="SimSun" w:cs="SimSun"/>
          <w:sz w:val="23"/>
          <w:szCs w:val="23"/>
          <w:spacing w:val="9"/>
          <w:position w:val="-1"/>
        </w:rPr>
        <w:t>净保费</w:t>
      </w:r>
      <w:r>
        <w:rPr>
          <w:rFonts w:ascii="SimSun" w:hAnsi="SimSun" w:eastAsia="SimSun" w:cs="SimSun"/>
          <w:sz w:val="23"/>
          <w:szCs w:val="23"/>
          <w:spacing w:val="-23"/>
          <w:position w:val="-1"/>
        </w:rPr>
        <w:t xml:space="preserve"> </w:t>
      </w:r>
      <w:r>
        <w:rPr>
          <w:rFonts w:ascii="Times New Roman" w:hAnsi="Times New Roman" w:eastAsia="Times New Roman" w:cs="Times New Roman"/>
          <w:sz w:val="23"/>
          <w:szCs w:val="23"/>
          <w:spacing w:val="9"/>
          <w:position w:val="-1"/>
        </w:rPr>
        <w:t>=</w:t>
      </w:r>
      <w:r>
        <w:rPr>
          <w:rFonts w:ascii="Times New Roman" w:hAnsi="Times New Roman" w:eastAsia="Times New Roman" w:cs="Times New Roman"/>
          <w:sz w:val="23"/>
          <w:szCs w:val="23"/>
          <w:spacing w:val="22"/>
          <w:position w:val="-1"/>
        </w:rPr>
        <w:t xml:space="preserve"> </w:t>
      </w:r>
      <w:r>
        <w:rPr>
          <w:rFonts w:ascii="SimSun" w:hAnsi="SimSun" w:eastAsia="SimSun" w:cs="SimSun"/>
          <w:sz w:val="23"/>
          <w:szCs w:val="23"/>
          <w:spacing w:val="9"/>
          <w:position w:val="-1"/>
        </w:rPr>
        <w:t>未来预期赔付金额的现值</w:t>
      </w:r>
      <w:r>
        <w:rPr>
          <w:rFonts w:ascii="Times New Roman" w:hAnsi="Times New Roman" w:eastAsia="Times New Roman" w:cs="Times New Roman"/>
          <w:sz w:val="23"/>
          <w:szCs w:val="23"/>
          <w:spacing w:val="9"/>
          <w:position w:val="-1"/>
        </w:rPr>
        <w:t>,        </w:t>
      </w:r>
      <w:r>
        <w:rPr>
          <w:rFonts w:ascii="SimSun" w:hAnsi="SimSun" w:eastAsia="SimSun" w:cs="SimSun"/>
          <w:sz w:val="23"/>
          <w:szCs w:val="23"/>
          <w:spacing w:val="9"/>
          <w:position w:val="-1"/>
        </w:rPr>
        <w:t>毛保费</w:t>
      </w:r>
      <w:r>
        <w:rPr>
          <w:rFonts w:ascii="SimSun" w:hAnsi="SimSun" w:eastAsia="SimSun" w:cs="SimSun"/>
          <w:sz w:val="23"/>
          <w:szCs w:val="23"/>
          <w:spacing w:val="-36"/>
          <w:position w:val="-1"/>
        </w:rPr>
        <w:t xml:space="preserve"> </w:t>
      </w:r>
      <w:r>
        <w:rPr>
          <w:rFonts w:ascii="Times New Roman" w:hAnsi="Times New Roman" w:eastAsia="Times New Roman" w:cs="Times New Roman"/>
          <w:sz w:val="23"/>
          <w:szCs w:val="23"/>
          <w:spacing w:val="9"/>
          <w:position w:val="-1"/>
        </w:rPr>
        <w:t>=</w:t>
      </w:r>
      <w:r>
        <w:rPr>
          <w:rFonts w:ascii="Times New Roman" w:hAnsi="Times New Roman" w:eastAsia="Times New Roman" w:cs="Times New Roman"/>
          <w:sz w:val="23"/>
          <w:szCs w:val="23"/>
          <w:spacing w:val="21"/>
          <w:w w:val="101"/>
          <w:position w:val="-1"/>
        </w:rPr>
        <w:t xml:space="preserve"> </w:t>
      </w:r>
      <w:r>
        <w:rPr>
          <w:rFonts w:ascii="SimSun" w:hAnsi="SimSun" w:eastAsia="SimSun" w:cs="SimSun"/>
          <w:sz w:val="23"/>
          <w:szCs w:val="23"/>
          <w:spacing w:val="9"/>
          <w:position w:val="-1"/>
        </w:rPr>
        <w:t>净保费</w:t>
      </w:r>
      <w:r>
        <w:rPr>
          <w:rFonts w:ascii="SimSun" w:hAnsi="SimSun" w:eastAsia="SimSun" w:cs="SimSun"/>
          <w:sz w:val="23"/>
          <w:szCs w:val="23"/>
          <w:spacing w:val="-27"/>
          <w:position w:val="-1"/>
        </w:rPr>
        <w:t xml:space="preserve"> </w:t>
      </w:r>
      <w:r>
        <w:rPr>
          <w:rFonts w:ascii="Times New Roman" w:hAnsi="Times New Roman" w:eastAsia="Times New Roman" w:cs="Times New Roman"/>
          <w:sz w:val="23"/>
          <w:szCs w:val="23"/>
          <w:spacing w:val="9"/>
          <w:position w:val="-1"/>
        </w:rPr>
        <w:t>×</w:t>
      </w:r>
      <w:r>
        <w:rPr>
          <w:rFonts w:ascii="Times New Roman" w:hAnsi="Times New Roman" w:eastAsia="Times New Roman" w:cs="Times New Roman"/>
          <w:sz w:val="23"/>
          <w:szCs w:val="23"/>
          <w:spacing w:val="32"/>
          <w:w w:val="101"/>
          <w:position w:val="-1"/>
        </w:rPr>
        <w:t xml:space="preserve"> </w:t>
      </w:r>
      <w:r>
        <w:rPr>
          <w:rFonts w:ascii="Times New Roman" w:hAnsi="Times New Roman" w:eastAsia="Times New Roman" w:cs="Times New Roman"/>
          <w:sz w:val="23"/>
          <w:szCs w:val="23"/>
          <w:spacing w:val="9"/>
          <w:position w:val="3"/>
        </w:rPr>
        <w:t>(1 +</w:t>
      </w:r>
      <w:r>
        <w:rPr>
          <w:rFonts w:ascii="Times New Roman" w:hAnsi="Times New Roman" w:eastAsia="Times New Roman" w:cs="Times New Roman"/>
          <w:sz w:val="23"/>
          <w:szCs w:val="23"/>
          <w:spacing w:val="24"/>
          <w:position w:val="3"/>
        </w:rPr>
        <w:t xml:space="preserve"> </w:t>
      </w:r>
      <w:r>
        <w:rPr>
          <w:rFonts w:ascii="SimSun" w:hAnsi="SimSun" w:eastAsia="SimSun" w:cs="SimSun"/>
          <w:sz w:val="23"/>
          <w:szCs w:val="23"/>
          <w:spacing w:val="9"/>
          <w:position w:val="3"/>
        </w:rPr>
        <w:t>附加费用率</w:t>
      </w:r>
      <w:r>
        <w:rPr>
          <w:rFonts w:ascii="Times New Roman" w:hAnsi="Times New Roman" w:eastAsia="Times New Roman" w:cs="Times New Roman"/>
          <w:sz w:val="23"/>
          <w:szCs w:val="23"/>
          <w:spacing w:val="9"/>
          <w:position w:val="3"/>
        </w:rPr>
        <w:t>) </w:t>
      </w:r>
      <w:r>
        <w:rPr>
          <w:rFonts w:ascii="Times New Roman" w:hAnsi="Times New Roman" w:eastAsia="Times New Roman" w:cs="Times New Roman"/>
          <w:sz w:val="23"/>
          <w:szCs w:val="23"/>
          <w:spacing w:val="9"/>
          <w:position w:val="-1"/>
        </w:rPr>
        <w:t>.</w:t>
      </w:r>
    </w:p>
    <w:p>
      <w:pPr>
        <w:pStyle w:val="BodyText"/>
        <w:spacing w:line="260" w:lineRule="auto"/>
        <w:rPr/>
      </w:pPr>
      <w:r/>
    </w:p>
    <w:p>
      <w:pPr>
        <w:ind w:left="126" w:right="114"/>
        <w:spacing w:before="76" w:line="289" w:lineRule="auto"/>
        <w:rPr>
          <w:rFonts w:ascii="SimSun" w:hAnsi="SimSun" w:eastAsia="SimSun" w:cs="SimSun"/>
          <w:sz w:val="23"/>
          <w:szCs w:val="23"/>
        </w:rPr>
      </w:pPr>
      <w:r>
        <w:rPr>
          <w:rFonts w:ascii="SimSun" w:hAnsi="SimSun" w:eastAsia="SimSun" w:cs="SimSun"/>
          <w:sz w:val="23"/>
          <w:szCs w:val="23"/>
          <w:spacing w:val="2"/>
        </w:rPr>
        <w:t>上述关系强调费率厘定的结构性， 即发生率与利率主要决定净保费， 附加费用率决定由</w:t>
      </w:r>
      <w:r>
        <w:rPr>
          <w:rFonts w:ascii="SimSun" w:hAnsi="SimSun" w:eastAsia="SimSun" w:cs="SimSun"/>
          <w:sz w:val="23"/>
          <w:szCs w:val="23"/>
          <w:spacing w:val="5"/>
        </w:rPr>
        <w:t>净到毛的扩张幅度。实务中若仅通过单一参数的调整来维持终端价格稳定， 可能掩盖结</w:t>
      </w:r>
    </w:p>
    <w:p>
      <w:pPr>
        <w:spacing w:line="289" w:lineRule="auto"/>
        <w:sectPr>
          <w:footerReference w:type="default" r:id="rId14"/>
          <w:pgSz w:w="11906" w:h="16838"/>
          <w:pgMar w:top="400" w:right="1302" w:bottom="980" w:left="1302" w:header="0" w:footer="767" w:gutter="0"/>
        </w:sectPr>
        <w:rPr>
          <w:rFonts w:ascii="SimSun" w:hAnsi="SimSun" w:eastAsia="SimSun" w:cs="SimSun"/>
          <w:sz w:val="23"/>
          <w:szCs w:val="23"/>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right="115" w:firstLine="2"/>
        <w:spacing w:before="75" w:line="295" w:lineRule="auto"/>
        <w:rPr>
          <w:rFonts w:ascii="SimSun" w:hAnsi="SimSun" w:eastAsia="SimSun" w:cs="SimSun"/>
          <w:sz w:val="23"/>
          <w:szCs w:val="23"/>
        </w:rPr>
      </w:pPr>
      <w:r>
        <w:rPr>
          <w:rFonts w:ascii="SimSun" w:hAnsi="SimSun" w:eastAsia="SimSun" w:cs="SimSun"/>
          <w:sz w:val="23"/>
          <w:szCs w:val="23"/>
          <w:spacing w:val="13"/>
        </w:rPr>
        <w:t>构性风险并削弱经营可持续性，</w:t>
      </w:r>
      <w:r>
        <w:rPr>
          <w:rFonts w:ascii="SimSun" w:hAnsi="SimSun" w:eastAsia="SimSun" w:cs="SimSun"/>
          <w:sz w:val="23"/>
          <w:szCs w:val="23"/>
          <w:spacing w:val="-49"/>
        </w:rPr>
        <w:t xml:space="preserve"> </w:t>
      </w:r>
      <w:r>
        <w:rPr>
          <w:rFonts w:ascii="SimSun" w:hAnsi="SimSun" w:eastAsia="SimSun" w:cs="SimSun"/>
          <w:sz w:val="23"/>
          <w:szCs w:val="23"/>
          <w:spacing w:val="13"/>
        </w:rPr>
        <w:t>因此需对各项假设的合理区间与可持续性进行审慎论</w:t>
      </w:r>
      <w:bookmarkStart w:name="bookmark22" w:id="34"/>
      <w:bookmarkEnd w:id="34"/>
      <w:r>
        <w:rPr>
          <w:rFonts w:ascii="SimSun" w:hAnsi="SimSun" w:eastAsia="SimSun" w:cs="SimSun"/>
          <w:sz w:val="23"/>
          <w:szCs w:val="23"/>
          <w:spacing w:val="-8"/>
        </w:rPr>
        <w:t>证。</w:t>
      </w:r>
    </w:p>
    <w:p>
      <w:pPr>
        <w:ind w:left="12"/>
        <w:spacing w:before="315" w:line="229" w:lineRule="auto"/>
        <w:outlineLvl w:val="3"/>
        <w:rPr>
          <w:rFonts w:ascii="SimHei" w:hAnsi="SimHei" w:eastAsia="SimHei" w:cs="SimHei"/>
          <w:sz w:val="23"/>
          <w:szCs w:val="23"/>
        </w:rPr>
      </w:pPr>
      <w:bookmarkStart w:name="bookmark59" w:id="35"/>
      <w:bookmarkEnd w:id="35"/>
      <w:r>
        <w:rPr>
          <w:rFonts w:ascii="Times New Roman" w:hAnsi="Times New Roman" w:eastAsia="Times New Roman" w:cs="Times New Roman"/>
          <w:sz w:val="23"/>
          <w:szCs w:val="23"/>
          <w:b/>
          <w:bCs/>
          <w:spacing w:val="10"/>
        </w:rPr>
        <w:t>1.4.2.2    </w:t>
      </w:r>
      <w:r>
        <w:rPr>
          <w:rFonts w:ascii="SimHei" w:hAnsi="SimHei" w:eastAsia="SimHei" w:cs="SimHei"/>
          <w:sz w:val="23"/>
          <w:szCs w:val="23"/>
          <w:spacing w:val="10"/>
        </w:rPr>
        <w:t>定价利率与附加费用</w:t>
      </w:r>
      <w:r>
        <w:rPr>
          <w:rFonts w:ascii="SimHei" w:hAnsi="SimHei" w:eastAsia="SimHei" w:cs="SimHei"/>
          <w:sz w:val="23"/>
          <w:szCs w:val="23"/>
          <w:spacing w:val="9"/>
        </w:rPr>
        <w:t>率的制度约束</w:t>
      </w:r>
    </w:p>
    <w:p>
      <w:pPr>
        <w:ind w:left="11" w:right="114" w:firstLine="473"/>
        <w:spacing w:before="226" w:line="289" w:lineRule="auto"/>
        <w:jc w:val="both"/>
        <w:rPr>
          <w:rFonts w:ascii="SimSun" w:hAnsi="SimSun" w:eastAsia="SimSun" w:cs="SimSun"/>
          <w:sz w:val="23"/>
          <w:szCs w:val="23"/>
        </w:rPr>
      </w:pPr>
      <w:r>
        <w:rPr>
          <w:rFonts w:ascii="SimSun" w:hAnsi="SimSun" w:eastAsia="SimSun" w:cs="SimSun"/>
          <w:sz w:val="23"/>
          <w:szCs w:val="23"/>
          <w:spacing w:val="5"/>
        </w:rPr>
        <w:t>定价利率通常受到监管上限约束， 利率上限的调整会对保费水平、产品结</w:t>
      </w:r>
      <w:r>
        <w:rPr>
          <w:rFonts w:ascii="SimSun" w:hAnsi="SimSun" w:eastAsia="SimSun" w:cs="SimSun"/>
          <w:sz w:val="23"/>
          <w:szCs w:val="23"/>
          <w:spacing w:val="4"/>
        </w:rPr>
        <w:t>构与公司</w:t>
      </w:r>
      <w:r>
        <w:rPr>
          <w:rFonts w:ascii="SimSun" w:hAnsi="SimSun" w:eastAsia="SimSun" w:cs="SimSun"/>
          <w:sz w:val="23"/>
          <w:szCs w:val="23"/>
          <w:spacing w:val="3"/>
        </w:rPr>
        <w:t>资产配置形成直接影响。表</w:t>
      </w:r>
      <w:hyperlink w:history="true" w:anchor="bookmark60">
        <w:r>
          <w:rPr>
            <w:rFonts w:ascii="Times New Roman" w:hAnsi="Times New Roman" w:eastAsia="Times New Roman" w:cs="Times New Roman"/>
            <w:sz w:val="23"/>
            <w:szCs w:val="23"/>
            <w:spacing w:val="3"/>
          </w:rPr>
          <w:t>1.8</w:t>
        </w:r>
      </w:hyperlink>
      <w:r>
        <w:rPr>
          <w:rFonts w:ascii="SimSun" w:hAnsi="SimSun" w:eastAsia="SimSun" w:cs="SimSun"/>
          <w:sz w:val="23"/>
          <w:szCs w:val="23"/>
          <w:spacing w:val="3"/>
        </w:rPr>
        <w:t>给出人身险行业定价利率上限的阶段性调整示例， 用于说</w:t>
      </w:r>
      <w:bookmarkStart w:name="bookmark60" w:id="36"/>
      <w:bookmarkEnd w:id="36"/>
      <w:r>
        <w:rPr>
          <w:rFonts w:ascii="SimSun" w:hAnsi="SimSun" w:eastAsia="SimSun" w:cs="SimSun"/>
          <w:sz w:val="23"/>
          <w:szCs w:val="23"/>
          <w:spacing w:val="5"/>
        </w:rPr>
        <w:t>明利率约束的制度演进与风险治理背景。</w:t>
      </w:r>
    </w:p>
    <w:p>
      <w:pPr>
        <w:ind w:left="2430"/>
        <w:spacing w:before="144" w:line="225" w:lineRule="auto"/>
        <w:rPr>
          <w:rFonts w:ascii="SimSun" w:hAnsi="SimSun" w:eastAsia="SimSun" w:cs="SimSun"/>
          <w:sz w:val="23"/>
          <w:szCs w:val="23"/>
        </w:rPr>
      </w:pPr>
      <w:r>
        <w:rPr>
          <w:rFonts w:ascii="SimSun" w:hAnsi="SimSun" w:eastAsia="SimSun" w:cs="SimSun"/>
          <w:sz w:val="23"/>
          <w:szCs w:val="23"/>
          <w:spacing w:val="4"/>
        </w:rPr>
        <w:t>表 </w:t>
      </w:r>
      <w:r>
        <w:rPr>
          <w:rFonts w:ascii="Times New Roman" w:hAnsi="Times New Roman" w:eastAsia="Times New Roman" w:cs="Times New Roman"/>
          <w:sz w:val="23"/>
          <w:szCs w:val="23"/>
          <w:spacing w:val="4"/>
        </w:rPr>
        <w:t>1.8:  </w:t>
      </w:r>
      <w:r>
        <w:rPr>
          <w:rFonts w:ascii="SimSun" w:hAnsi="SimSun" w:eastAsia="SimSun" w:cs="SimSun"/>
          <w:sz w:val="23"/>
          <w:szCs w:val="23"/>
          <w:spacing w:val="4"/>
        </w:rPr>
        <w:t>定价利率上限的阶段性调整示例</w:t>
      </w:r>
    </w:p>
    <w:p>
      <w:pPr>
        <w:spacing w:line="210" w:lineRule="exact"/>
        <w:rPr/>
      </w:pPr>
      <w:r/>
    </w:p>
    <w:tbl>
      <w:tblPr>
        <w:tblStyle w:val="TableNormal"/>
        <w:tblW w:w="8881" w:type="dxa"/>
        <w:tblInd w:w="8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14"/>
        <w:gridCol w:w="2192"/>
        <w:gridCol w:w="4775"/>
      </w:tblGrid>
      <w:tr>
        <w:trPr>
          <w:trHeight w:val="475" w:hRule="atLeast"/>
        </w:trPr>
        <w:tc>
          <w:tcPr>
            <w:tcW w:w="1914" w:type="dxa"/>
            <w:vAlign w:val="top"/>
            <w:tcBorders>
              <w:bottom w:val="single" w:color="000000" w:sz="4" w:space="0"/>
              <w:top w:val="single" w:color="000000" w:sz="6" w:space="0"/>
            </w:tcBorders>
          </w:tcPr>
          <w:p>
            <w:pPr>
              <w:pStyle w:val="TableText"/>
              <w:ind w:left="140"/>
              <w:spacing w:before="116" w:line="228" w:lineRule="auto"/>
              <w:rPr/>
            </w:pPr>
            <w:r>
              <w:rPr>
                <w:spacing w:val="3"/>
              </w:rPr>
              <w:t>时间节点</w:t>
            </w:r>
          </w:p>
        </w:tc>
        <w:tc>
          <w:tcPr>
            <w:tcW w:w="2192" w:type="dxa"/>
            <w:vAlign w:val="top"/>
            <w:tcBorders>
              <w:bottom w:val="single" w:color="000000" w:sz="4" w:space="0"/>
              <w:top w:val="single" w:color="000000" w:sz="6" w:space="0"/>
            </w:tcBorders>
          </w:tcPr>
          <w:p>
            <w:pPr>
              <w:pStyle w:val="TableText"/>
              <w:ind w:left="270"/>
              <w:spacing w:before="116" w:line="227" w:lineRule="auto"/>
              <w:rPr/>
            </w:pPr>
            <w:r>
              <w:rPr>
                <w:spacing w:val="6"/>
              </w:rPr>
              <w:t>上限水平</w:t>
            </w:r>
          </w:p>
        </w:tc>
        <w:tc>
          <w:tcPr>
            <w:tcW w:w="4775" w:type="dxa"/>
            <w:vAlign w:val="top"/>
            <w:tcBorders>
              <w:bottom w:val="single" w:color="000000" w:sz="4" w:space="0"/>
              <w:top w:val="single" w:color="000000" w:sz="6" w:space="0"/>
            </w:tcBorders>
          </w:tcPr>
          <w:p>
            <w:pPr>
              <w:pStyle w:val="TableText"/>
              <w:ind w:left="131"/>
              <w:spacing w:before="116" w:line="227" w:lineRule="auto"/>
              <w:rPr/>
            </w:pPr>
            <w:r>
              <w:rPr>
                <w:spacing w:val="6"/>
              </w:rPr>
              <w:t>调整背景</w:t>
            </w:r>
          </w:p>
        </w:tc>
      </w:tr>
      <w:tr>
        <w:trPr>
          <w:trHeight w:val="403" w:hRule="atLeast"/>
        </w:trPr>
        <w:tc>
          <w:tcPr>
            <w:tcW w:w="1914" w:type="dxa"/>
            <w:vAlign w:val="top"/>
            <w:tcBorders>
              <w:top w:val="single" w:color="000000" w:sz="4" w:space="0"/>
            </w:tcBorders>
          </w:tcPr>
          <w:p>
            <w:pPr>
              <w:pStyle w:val="TableText"/>
              <w:ind w:left="128"/>
              <w:spacing w:before="110" w:line="227" w:lineRule="auto"/>
              <w:rPr/>
            </w:pPr>
            <w:r>
              <w:rPr>
                <w:spacing w:val="6"/>
              </w:rPr>
              <w:t>较早阶段</w:t>
            </w:r>
          </w:p>
        </w:tc>
        <w:tc>
          <w:tcPr>
            <w:tcW w:w="2192" w:type="dxa"/>
            <w:vAlign w:val="top"/>
            <w:tcBorders>
              <w:top w:val="single" w:color="000000" w:sz="4" w:space="0"/>
            </w:tcBorders>
          </w:tcPr>
          <w:p>
            <w:pPr>
              <w:pStyle w:val="TableText"/>
              <w:ind w:left="268"/>
              <w:spacing w:before="110" w:line="227" w:lineRule="auto"/>
              <w:rPr>
                <w:rFonts w:ascii="Times New Roman" w:hAnsi="Times New Roman" w:eastAsia="Times New Roman" w:cs="Times New Roman"/>
              </w:rPr>
            </w:pPr>
            <w:r>
              <w:rPr>
                <w:rFonts w:ascii="Times New Roman" w:hAnsi="Times New Roman" w:eastAsia="Times New Roman" w:cs="Times New Roman"/>
                <w:spacing w:val="-2"/>
              </w:rPr>
              <w:t>6%</w:t>
            </w:r>
            <w:r>
              <w:rPr>
                <w:rFonts w:ascii="Times New Roman" w:hAnsi="Times New Roman" w:eastAsia="Times New Roman" w:cs="Times New Roman"/>
                <w:spacing w:val="32"/>
                <w:w w:val="101"/>
              </w:rPr>
              <w:t xml:space="preserve"> </w:t>
            </w:r>
            <w:r>
              <w:rPr>
                <w:spacing w:val="-2"/>
              </w:rPr>
              <w:t>至</w:t>
            </w:r>
            <w:r>
              <w:rPr>
                <w:spacing w:val="-27"/>
              </w:rPr>
              <w:t xml:space="preserve"> </w:t>
            </w:r>
            <w:r>
              <w:rPr>
                <w:rFonts w:ascii="Times New Roman" w:hAnsi="Times New Roman" w:eastAsia="Times New Roman" w:cs="Times New Roman"/>
                <w:spacing w:val="-2"/>
              </w:rPr>
              <w:t>8%</w:t>
            </w:r>
          </w:p>
        </w:tc>
        <w:tc>
          <w:tcPr>
            <w:tcW w:w="4775" w:type="dxa"/>
            <w:vAlign w:val="top"/>
            <w:tcBorders>
              <w:top w:val="single" w:color="000000" w:sz="4" w:space="0"/>
            </w:tcBorders>
          </w:tcPr>
          <w:p>
            <w:pPr>
              <w:pStyle w:val="TableText"/>
              <w:ind w:left="135"/>
              <w:spacing w:before="110" w:line="227" w:lineRule="auto"/>
              <w:rPr/>
            </w:pPr>
            <w:r>
              <w:rPr>
                <w:spacing w:val="7"/>
              </w:rPr>
              <w:t>市场利率水平较高</w:t>
            </w:r>
          </w:p>
        </w:tc>
      </w:tr>
      <w:tr>
        <w:trPr>
          <w:trHeight w:val="357" w:hRule="atLeast"/>
        </w:trPr>
        <w:tc>
          <w:tcPr>
            <w:tcW w:w="1914" w:type="dxa"/>
            <w:vAlign w:val="top"/>
          </w:tcPr>
          <w:p>
            <w:pPr>
              <w:pStyle w:val="TableText"/>
              <w:ind w:left="141"/>
              <w:spacing w:before="65" w:line="226" w:lineRule="auto"/>
              <w:rPr/>
            </w:pPr>
            <w:r>
              <w:rPr>
                <w:rFonts w:ascii="Times New Roman" w:hAnsi="Times New Roman" w:eastAsia="Times New Roman" w:cs="Times New Roman"/>
                <w:spacing w:val="-3"/>
              </w:rPr>
              <w:t>1999</w:t>
            </w:r>
            <w:r>
              <w:rPr>
                <w:rFonts w:ascii="Times New Roman" w:hAnsi="Times New Roman" w:eastAsia="Times New Roman" w:cs="Times New Roman"/>
                <w:spacing w:val="31"/>
                <w:w w:val="101"/>
              </w:rPr>
              <w:t xml:space="preserve"> </w:t>
            </w:r>
            <w:r>
              <w:rPr>
                <w:spacing w:val="-3"/>
              </w:rPr>
              <w:t>年</w:t>
            </w:r>
          </w:p>
        </w:tc>
        <w:tc>
          <w:tcPr>
            <w:tcW w:w="2192" w:type="dxa"/>
            <w:vAlign w:val="top"/>
          </w:tcPr>
          <w:p>
            <w:pPr>
              <w:ind w:left="270"/>
              <w:spacing w:before="89" w:line="2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2.5%</w:t>
            </w:r>
          </w:p>
        </w:tc>
        <w:tc>
          <w:tcPr>
            <w:tcW w:w="4775" w:type="dxa"/>
            <w:vAlign w:val="top"/>
          </w:tcPr>
          <w:p>
            <w:pPr>
              <w:pStyle w:val="TableText"/>
              <w:ind w:left="135"/>
              <w:spacing w:before="65" w:line="226" w:lineRule="auto"/>
              <w:rPr/>
            </w:pPr>
            <w:r>
              <w:rPr>
                <w:spacing w:val="7"/>
              </w:rPr>
              <w:t>市场开放背景下防范利差损风险</w:t>
            </w:r>
          </w:p>
        </w:tc>
      </w:tr>
      <w:tr>
        <w:trPr>
          <w:trHeight w:val="357" w:hRule="atLeast"/>
        </w:trPr>
        <w:tc>
          <w:tcPr>
            <w:tcW w:w="1914" w:type="dxa"/>
            <w:vAlign w:val="top"/>
          </w:tcPr>
          <w:p>
            <w:pPr>
              <w:pStyle w:val="TableText"/>
              <w:ind w:left="131"/>
              <w:spacing w:before="67" w:line="224" w:lineRule="auto"/>
              <w:rPr/>
            </w:pPr>
            <w:r>
              <w:rPr>
                <w:rFonts w:ascii="Times New Roman" w:hAnsi="Times New Roman" w:eastAsia="Times New Roman" w:cs="Times New Roman"/>
                <w:spacing w:val="-1"/>
              </w:rPr>
              <w:t>2013</w:t>
            </w:r>
            <w:r>
              <w:rPr>
                <w:rFonts w:ascii="Times New Roman" w:hAnsi="Times New Roman" w:eastAsia="Times New Roman" w:cs="Times New Roman"/>
                <w:spacing w:val="31"/>
                <w:w w:val="101"/>
              </w:rPr>
              <w:t xml:space="preserve"> </w:t>
            </w:r>
            <w:r>
              <w:rPr>
                <w:spacing w:val="-1"/>
              </w:rPr>
              <w:t>年</w:t>
            </w:r>
          </w:p>
        </w:tc>
        <w:tc>
          <w:tcPr>
            <w:tcW w:w="2192" w:type="dxa"/>
            <w:vAlign w:val="top"/>
          </w:tcPr>
          <w:p>
            <w:pPr>
              <w:pStyle w:val="TableText"/>
              <w:ind w:left="268"/>
              <w:spacing w:before="67" w:line="224" w:lineRule="auto"/>
              <w:rPr>
                <w:rFonts w:ascii="Times New Roman" w:hAnsi="Times New Roman" w:eastAsia="Times New Roman" w:cs="Times New Roman"/>
              </w:rPr>
            </w:pPr>
            <w:r>
              <w:rPr>
                <w:rFonts w:ascii="Times New Roman" w:hAnsi="Times New Roman" w:eastAsia="Times New Roman" w:cs="Times New Roman"/>
                <w:spacing w:val="1"/>
              </w:rPr>
              <w:t>3.5%</w:t>
            </w:r>
            <w:r>
              <w:rPr>
                <w:rFonts w:ascii="Times New Roman" w:hAnsi="Times New Roman" w:eastAsia="Times New Roman" w:cs="Times New Roman"/>
                <w:spacing w:val="36"/>
              </w:rPr>
              <w:t xml:space="preserve"> </w:t>
            </w:r>
            <w:r>
              <w:rPr>
                <w:spacing w:val="1"/>
              </w:rPr>
              <w:t>至</w:t>
            </w:r>
            <w:r>
              <w:rPr>
                <w:spacing w:val="-31"/>
              </w:rPr>
              <w:t xml:space="preserve"> </w:t>
            </w:r>
            <w:r>
              <w:rPr>
                <w:rFonts w:ascii="Times New Roman" w:hAnsi="Times New Roman" w:eastAsia="Times New Roman" w:cs="Times New Roman"/>
                <w:spacing w:val="1"/>
              </w:rPr>
              <w:t>4.025%</w:t>
            </w:r>
          </w:p>
        </w:tc>
        <w:tc>
          <w:tcPr>
            <w:tcW w:w="4775" w:type="dxa"/>
            <w:vAlign w:val="top"/>
          </w:tcPr>
          <w:p>
            <w:pPr>
              <w:pStyle w:val="TableText"/>
              <w:ind w:left="142"/>
              <w:spacing w:before="67" w:line="224" w:lineRule="auto"/>
              <w:rPr/>
            </w:pPr>
            <w:r>
              <w:rPr>
                <w:spacing w:val="7"/>
              </w:rPr>
              <w:t>费率市场化改革背景下提升市场活力</w:t>
            </w:r>
          </w:p>
        </w:tc>
      </w:tr>
      <w:tr>
        <w:trPr>
          <w:trHeight w:val="357" w:hRule="atLeast"/>
        </w:trPr>
        <w:tc>
          <w:tcPr>
            <w:tcW w:w="1914" w:type="dxa"/>
            <w:vAlign w:val="top"/>
          </w:tcPr>
          <w:p>
            <w:pPr>
              <w:pStyle w:val="TableText"/>
              <w:ind w:left="131"/>
              <w:spacing w:before="69" w:line="223" w:lineRule="auto"/>
              <w:rPr/>
            </w:pPr>
            <w:r>
              <w:rPr>
                <w:rFonts w:ascii="Times New Roman" w:hAnsi="Times New Roman" w:eastAsia="Times New Roman" w:cs="Times New Roman"/>
                <w:spacing w:val="-1"/>
              </w:rPr>
              <w:t>2023</w:t>
            </w:r>
            <w:r>
              <w:rPr>
                <w:rFonts w:ascii="Times New Roman" w:hAnsi="Times New Roman" w:eastAsia="Times New Roman" w:cs="Times New Roman"/>
                <w:spacing w:val="31"/>
                <w:w w:val="101"/>
              </w:rPr>
              <w:t xml:space="preserve"> </w:t>
            </w:r>
            <w:r>
              <w:rPr>
                <w:spacing w:val="-1"/>
              </w:rPr>
              <w:t>年</w:t>
            </w:r>
          </w:p>
        </w:tc>
        <w:tc>
          <w:tcPr>
            <w:tcW w:w="2192" w:type="dxa"/>
            <w:vAlign w:val="top"/>
          </w:tcPr>
          <w:p>
            <w:pPr>
              <w:ind w:left="268"/>
              <w:spacing w:before="93" w:line="2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3.0%</w:t>
            </w:r>
          </w:p>
        </w:tc>
        <w:tc>
          <w:tcPr>
            <w:tcW w:w="4775" w:type="dxa"/>
            <w:vAlign w:val="top"/>
          </w:tcPr>
          <w:p>
            <w:pPr>
              <w:pStyle w:val="TableText"/>
              <w:ind w:left="129"/>
              <w:spacing w:before="69" w:line="223" w:lineRule="auto"/>
              <w:rPr/>
            </w:pPr>
            <w:r>
              <w:rPr>
                <w:spacing w:val="8"/>
              </w:rPr>
              <w:t>宏观利率下行背景下防范长期风险</w:t>
            </w:r>
          </w:p>
        </w:tc>
      </w:tr>
      <w:tr>
        <w:trPr>
          <w:trHeight w:val="357" w:hRule="atLeast"/>
        </w:trPr>
        <w:tc>
          <w:tcPr>
            <w:tcW w:w="1914" w:type="dxa"/>
            <w:vAlign w:val="top"/>
          </w:tcPr>
          <w:p>
            <w:pPr>
              <w:pStyle w:val="TableText"/>
              <w:ind w:left="131"/>
              <w:spacing w:before="70" w:line="222" w:lineRule="auto"/>
              <w:rPr/>
            </w:pPr>
            <w:r>
              <w:rPr>
                <w:rFonts w:ascii="Times New Roman" w:hAnsi="Times New Roman" w:eastAsia="Times New Roman" w:cs="Times New Roman"/>
                <w:spacing w:val="-1"/>
              </w:rPr>
              <w:t>2024</w:t>
            </w:r>
            <w:r>
              <w:rPr>
                <w:rFonts w:ascii="Times New Roman" w:hAnsi="Times New Roman" w:eastAsia="Times New Roman" w:cs="Times New Roman"/>
                <w:spacing w:val="31"/>
                <w:w w:val="101"/>
              </w:rPr>
              <w:t xml:space="preserve"> </w:t>
            </w:r>
            <w:r>
              <w:rPr>
                <w:spacing w:val="-1"/>
              </w:rPr>
              <w:t>年</w:t>
            </w:r>
          </w:p>
        </w:tc>
        <w:tc>
          <w:tcPr>
            <w:tcW w:w="2192" w:type="dxa"/>
            <w:vAlign w:val="top"/>
          </w:tcPr>
          <w:p>
            <w:pPr>
              <w:ind w:left="270"/>
              <w:spacing w:before="94" w:line="2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2.5%</w:t>
            </w:r>
          </w:p>
        </w:tc>
        <w:tc>
          <w:tcPr>
            <w:tcW w:w="4775" w:type="dxa"/>
            <w:vAlign w:val="top"/>
          </w:tcPr>
          <w:p>
            <w:pPr>
              <w:pStyle w:val="TableText"/>
              <w:ind w:left="132"/>
              <w:spacing w:before="70" w:line="222" w:lineRule="auto"/>
              <w:rPr/>
            </w:pPr>
            <w:r>
              <w:rPr>
                <w:spacing w:val="7"/>
              </w:rPr>
              <w:t>持续应对利率下行压力</w:t>
            </w:r>
          </w:p>
        </w:tc>
      </w:tr>
      <w:tr>
        <w:trPr>
          <w:trHeight w:val="1147" w:hRule="atLeast"/>
        </w:trPr>
        <w:tc>
          <w:tcPr>
            <w:tcW w:w="1914" w:type="dxa"/>
            <w:vAlign w:val="top"/>
            <w:tcBorders>
              <w:bottom w:val="single" w:color="000000" w:sz="6" w:space="0"/>
            </w:tcBorders>
          </w:tcPr>
          <w:p>
            <w:pPr>
              <w:pStyle w:val="TableText"/>
              <w:ind w:left="131"/>
              <w:spacing w:before="71" w:line="227" w:lineRule="auto"/>
              <w:rPr/>
            </w:pPr>
            <w:r>
              <w:rPr>
                <w:rFonts w:ascii="Times New Roman" w:hAnsi="Times New Roman" w:eastAsia="Times New Roman" w:cs="Times New Roman"/>
                <w:spacing w:val="-2"/>
              </w:rPr>
              <w:t>2025</w:t>
            </w:r>
            <w:r>
              <w:rPr>
                <w:rFonts w:ascii="Times New Roman" w:hAnsi="Times New Roman" w:eastAsia="Times New Roman" w:cs="Times New Roman"/>
                <w:spacing w:val="36"/>
                <w:w w:val="101"/>
              </w:rPr>
              <w:t xml:space="preserve"> </w:t>
            </w:r>
            <w:r>
              <w:rPr>
                <w:spacing w:val="-2"/>
              </w:rPr>
              <w:t>年</w:t>
            </w:r>
            <w:r>
              <w:rPr>
                <w:spacing w:val="-27"/>
              </w:rPr>
              <w:t xml:space="preserve"> </w:t>
            </w:r>
            <w:r>
              <w:rPr>
                <w:rFonts w:ascii="Times New Roman" w:hAnsi="Times New Roman" w:eastAsia="Times New Roman" w:cs="Times New Roman"/>
                <w:spacing w:val="-2"/>
              </w:rPr>
              <w:t>9</w:t>
            </w:r>
            <w:r>
              <w:rPr>
                <w:rFonts w:ascii="Times New Roman" w:hAnsi="Times New Roman" w:eastAsia="Times New Roman" w:cs="Times New Roman"/>
                <w:spacing w:val="35"/>
                <w:w w:val="101"/>
              </w:rPr>
              <w:t xml:space="preserve"> </w:t>
            </w:r>
            <w:r>
              <w:rPr>
                <w:spacing w:val="-2"/>
              </w:rPr>
              <w:t>月起</w:t>
            </w:r>
          </w:p>
        </w:tc>
        <w:tc>
          <w:tcPr>
            <w:tcW w:w="2192" w:type="dxa"/>
            <w:vAlign w:val="top"/>
            <w:tcBorders>
              <w:bottom w:val="single" w:color="000000" w:sz="6" w:space="0"/>
            </w:tcBorders>
          </w:tcPr>
          <w:p>
            <w:pPr>
              <w:pStyle w:val="TableText"/>
              <w:ind w:left="273" w:right="129" w:hanging="6"/>
              <w:spacing w:before="71" w:line="285" w:lineRule="auto"/>
              <w:jc w:val="both"/>
              <w:rPr>
                <w:rFonts w:ascii="Times New Roman" w:hAnsi="Times New Roman" w:eastAsia="Times New Roman" w:cs="Times New Roman"/>
              </w:rPr>
            </w:pPr>
            <w:r>
              <w:rPr>
                <w:spacing w:val="5"/>
              </w:rPr>
              <w:t>普通型 </w:t>
            </w:r>
            <w:r>
              <w:rPr>
                <w:rFonts w:ascii="Times New Roman" w:hAnsi="Times New Roman" w:eastAsia="Times New Roman" w:cs="Times New Roman"/>
                <w:spacing w:val="5"/>
              </w:rPr>
              <w:t>2.0%</w:t>
            </w:r>
            <w:r>
              <w:rPr>
                <w:spacing w:val="5"/>
              </w:rPr>
              <w:t>、分</w:t>
            </w:r>
            <w:r>
              <w:rPr>
                <w:spacing w:val="-5"/>
              </w:rPr>
              <w:t>红型</w:t>
            </w:r>
            <w:r>
              <w:rPr>
                <w:spacing w:val="-22"/>
              </w:rPr>
              <w:t xml:space="preserve"> </w:t>
            </w:r>
            <w:r>
              <w:rPr>
                <w:rFonts w:ascii="Times New Roman" w:hAnsi="Times New Roman" w:eastAsia="Times New Roman" w:cs="Times New Roman"/>
                <w:spacing w:val="-5"/>
              </w:rPr>
              <w:t>1.75%</w:t>
            </w:r>
            <w:r>
              <w:rPr>
                <w:spacing w:val="-5"/>
              </w:rPr>
              <w:t>、万能</w:t>
            </w:r>
            <w:r>
              <w:rPr>
                <w:spacing w:val="-3"/>
              </w:rPr>
              <w:t>型</w:t>
            </w:r>
            <w:r>
              <w:rPr>
                <w:spacing w:val="-14"/>
              </w:rPr>
              <w:t xml:space="preserve"> </w:t>
            </w:r>
            <w:r>
              <w:rPr>
                <w:rFonts w:ascii="Times New Roman" w:hAnsi="Times New Roman" w:eastAsia="Times New Roman" w:cs="Times New Roman"/>
                <w:spacing w:val="-3"/>
              </w:rPr>
              <w:t>1.0%</w:t>
            </w:r>
          </w:p>
        </w:tc>
        <w:tc>
          <w:tcPr>
            <w:tcW w:w="4775" w:type="dxa"/>
            <w:vAlign w:val="top"/>
            <w:tcBorders>
              <w:bottom w:val="single" w:color="000000" w:sz="6" w:space="0"/>
            </w:tcBorders>
          </w:tcPr>
          <w:p>
            <w:pPr>
              <w:pStyle w:val="TableText"/>
              <w:ind w:left="129"/>
              <w:spacing w:before="72" w:line="225" w:lineRule="auto"/>
              <w:rPr/>
            </w:pPr>
            <w:r>
              <w:rPr>
                <w:spacing w:val="8"/>
              </w:rPr>
              <w:t>健全定价机制，保障行业可持续发展</w:t>
            </w:r>
          </w:p>
        </w:tc>
      </w:tr>
    </w:tbl>
    <w:p>
      <w:pPr>
        <w:pStyle w:val="BodyText"/>
        <w:spacing w:line="308" w:lineRule="auto"/>
        <w:rPr/>
      </w:pPr>
      <w:r/>
    </w:p>
    <w:p>
      <w:pPr>
        <w:ind w:firstLine="480"/>
        <w:spacing w:before="75" w:line="288" w:lineRule="auto"/>
        <w:jc w:val="both"/>
        <w:rPr>
          <w:rFonts w:ascii="SimSun" w:hAnsi="SimSun" w:eastAsia="SimSun" w:cs="SimSun"/>
          <w:sz w:val="23"/>
          <w:szCs w:val="23"/>
        </w:rPr>
      </w:pPr>
      <w:r>
        <w:rPr>
          <w:rFonts w:ascii="SimSun" w:hAnsi="SimSun" w:eastAsia="SimSun" w:cs="SimSun"/>
          <w:sz w:val="23"/>
          <w:szCs w:val="23"/>
          <w:spacing w:val="12"/>
        </w:rPr>
        <w:t>利率上限下调提高了未来现金流现值，从而在</w:t>
      </w:r>
      <w:r>
        <w:rPr>
          <w:rFonts w:ascii="SimSun" w:hAnsi="SimSun" w:eastAsia="SimSun" w:cs="SimSun"/>
          <w:sz w:val="23"/>
          <w:szCs w:val="23"/>
          <w:spacing w:val="11"/>
        </w:rPr>
        <w:t>相同责任条件下推升理论保费水平。</w:t>
      </w:r>
      <w:r>
        <w:rPr>
          <w:rFonts w:ascii="SimSun" w:hAnsi="SimSun" w:eastAsia="SimSun" w:cs="SimSun"/>
          <w:sz w:val="23"/>
          <w:szCs w:val="23"/>
          <w:spacing w:val="7"/>
        </w:rPr>
        <w:t>与此同时，</w:t>
      </w:r>
      <w:r>
        <w:rPr>
          <w:rFonts w:ascii="SimSun" w:hAnsi="SimSun" w:eastAsia="SimSun" w:cs="SimSun"/>
          <w:sz w:val="23"/>
          <w:szCs w:val="23"/>
          <w:spacing w:val="-58"/>
        </w:rPr>
        <w:t xml:space="preserve"> </w:t>
      </w:r>
      <w:r>
        <w:rPr>
          <w:rFonts w:ascii="SimSun" w:hAnsi="SimSun" w:eastAsia="SimSun" w:cs="SimSun"/>
          <w:sz w:val="23"/>
          <w:szCs w:val="23"/>
          <w:spacing w:val="7"/>
        </w:rPr>
        <w:t>附加费用率也受到更为明确的合规约束。附加费用率在净保费基础上反</w:t>
      </w:r>
      <w:r>
        <w:rPr>
          <w:rFonts w:ascii="SimSun" w:hAnsi="SimSun" w:eastAsia="SimSun" w:cs="SimSun"/>
          <w:sz w:val="23"/>
          <w:szCs w:val="23"/>
          <w:spacing w:val="6"/>
        </w:rPr>
        <w:t>映销</w:t>
      </w:r>
      <w:r>
        <w:rPr>
          <w:rFonts w:ascii="SimSun" w:hAnsi="SimSun" w:eastAsia="SimSun" w:cs="SimSun"/>
          <w:sz w:val="23"/>
          <w:szCs w:val="23"/>
          <w:spacing w:val="-2"/>
        </w:rPr>
        <w:t>售费用、运营费用、税费与预期利润等内容；</w:t>
      </w:r>
      <w:r>
        <w:rPr>
          <w:rFonts w:ascii="SimSun" w:hAnsi="SimSun" w:eastAsia="SimSun" w:cs="SimSun"/>
          <w:sz w:val="23"/>
          <w:szCs w:val="23"/>
          <w:spacing w:val="71"/>
        </w:rPr>
        <w:t xml:space="preserve"> </w:t>
      </w:r>
      <w:r>
        <w:rPr>
          <w:rFonts w:ascii="SimSun" w:hAnsi="SimSun" w:eastAsia="SimSun" w:cs="SimSun"/>
          <w:sz w:val="23"/>
          <w:szCs w:val="23"/>
          <w:spacing w:val="-2"/>
        </w:rPr>
        <w:t>监管对其设置上限与下限的制度安排，</w:t>
      </w:r>
      <w:r>
        <w:rPr>
          <w:rFonts w:ascii="SimSun" w:hAnsi="SimSun" w:eastAsia="SimSun" w:cs="SimSun"/>
          <w:sz w:val="23"/>
          <w:szCs w:val="23"/>
          <w:spacing w:val="96"/>
        </w:rPr>
        <w:t xml:space="preserve"> </w:t>
      </w:r>
      <w:r>
        <w:rPr>
          <w:rFonts w:ascii="SimSun" w:hAnsi="SimSun" w:eastAsia="SimSun" w:cs="SimSun"/>
          <w:sz w:val="23"/>
          <w:szCs w:val="23"/>
          <w:spacing w:val="-2"/>
        </w:rPr>
        <w:t>旨</w:t>
      </w:r>
      <w:r>
        <w:rPr>
          <w:rFonts w:ascii="SimSun" w:hAnsi="SimSun" w:eastAsia="SimSun" w:cs="SimSun"/>
          <w:sz w:val="23"/>
          <w:szCs w:val="23"/>
          <w:spacing w:val="4"/>
        </w:rPr>
        <w:t>在督促保险公司提高经营效率， 促进合理定价，</w:t>
      </w:r>
      <w:r>
        <w:rPr>
          <w:rFonts w:ascii="SimSun" w:hAnsi="SimSun" w:eastAsia="SimSun" w:cs="SimSun"/>
          <w:sz w:val="23"/>
          <w:szCs w:val="23"/>
          <w:spacing w:val="-52"/>
        </w:rPr>
        <w:t xml:space="preserve"> </w:t>
      </w:r>
      <w:r>
        <w:rPr>
          <w:rFonts w:ascii="SimSun" w:hAnsi="SimSun" w:eastAsia="SimSun" w:cs="SimSun"/>
          <w:sz w:val="23"/>
          <w:szCs w:val="23"/>
          <w:spacing w:val="4"/>
        </w:rPr>
        <w:t>并保障费</w:t>
      </w:r>
      <w:r>
        <w:rPr>
          <w:rFonts w:ascii="SimSun" w:hAnsi="SimSun" w:eastAsia="SimSun" w:cs="SimSun"/>
          <w:sz w:val="23"/>
          <w:szCs w:val="23"/>
          <w:spacing w:val="3"/>
        </w:rPr>
        <w:t>率执行的一致性。实践中存在</w:t>
      </w:r>
      <w:r>
        <w:rPr>
          <w:rFonts w:ascii="SimSun" w:hAnsi="SimSun" w:eastAsia="SimSun" w:cs="SimSun"/>
          <w:sz w:val="23"/>
          <w:szCs w:val="23"/>
          <w:spacing w:val="4"/>
        </w:rPr>
        <w:t>通过压缩附加费用率以对冲定价利率下行、从而维持终端价格刚性的动机，</w:t>
      </w:r>
      <w:r>
        <w:rPr>
          <w:rFonts w:ascii="SimSun" w:hAnsi="SimSun" w:eastAsia="SimSun" w:cs="SimSun"/>
          <w:sz w:val="23"/>
          <w:szCs w:val="23"/>
          <w:spacing w:val="57"/>
        </w:rPr>
        <w:t xml:space="preserve"> </w:t>
      </w:r>
      <w:r>
        <w:rPr>
          <w:rFonts w:ascii="SimSun" w:hAnsi="SimSun" w:eastAsia="SimSun" w:cs="SimSun"/>
          <w:sz w:val="23"/>
          <w:szCs w:val="23"/>
          <w:spacing w:val="4"/>
        </w:rPr>
        <w:t>但若</w:t>
      </w:r>
      <w:r>
        <w:rPr>
          <w:rFonts w:ascii="SimSun" w:hAnsi="SimSun" w:eastAsia="SimSun" w:cs="SimSun"/>
          <w:sz w:val="23"/>
          <w:szCs w:val="23"/>
          <w:spacing w:val="3"/>
        </w:rPr>
        <w:t>缺乏底</w:t>
      </w:r>
      <w:r>
        <w:rPr>
          <w:rFonts w:ascii="SimSun" w:hAnsi="SimSun" w:eastAsia="SimSun" w:cs="SimSun"/>
          <w:sz w:val="23"/>
          <w:szCs w:val="23"/>
          <w:spacing w:val="4"/>
        </w:rPr>
        <w:t>线约束，容易演化为不当竞争并侵蚀渠道与运营成本空间，</w:t>
      </w:r>
      <w:r>
        <w:rPr>
          <w:rFonts w:ascii="SimSun" w:hAnsi="SimSun" w:eastAsia="SimSun" w:cs="SimSun"/>
          <w:sz w:val="23"/>
          <w:szCs w:val="23"/>
          <w:spacing w:val="62"/>
        </w:rPr>
        <w:t xml:space="preserve"> </w:t>
      </w:r>
      <w:r>
        <w:rPr>
          <w:rFonts w:ascii="SimSun" w:hAnsi="SimSun" w:eastAsia="SimSun" w:cs="SimSun"/>
          <w:sz w:val="23"/>
          <w:szCs w:val="23"/>
          <w:spacing w:val="4"/>
        </w:rPr>
        <w:t>最终影响</w:t>
      </w:r>
      <w:r>
        <w:rPr>
          <w:rFonts w:ascii="SimSun" w:hAnsi="SimSun" w:eastAsia="SimSun" w:cs="SimSun"/>
          <w:sz w:val="23"/>
          <w:szCs w:val="23"/>
          <w:spacing w:val="3"/>
        </w:rPr>
        <w:t>经营可持续与服务</w:t>
      </w:r>
      <w:r>
        <w:rPr>
          <w:rFonts w:ascii="SimSun" w:hAnsi="SimSun" w:eastAsia="SimSun" w:cs="SimSun"/>
          <w:sz w:val="23"/>
          <w:szCs w:val="23"/>
        </w:rPr>
        <w:t>能力稳定。因此，</w:t>
      </w:r>
      <w:r>
        <w:rPr>
          <w:rFonts w:ascii="SimSun" w:hAnsi="SimSun" w:eastAsia="SimSun" w:cs="SimSun"/>
          <w:sz w:val="23"/>
          <w:szCs w:val="23"/>
          <w:spacing w:val="91"/>
        </w:rPr>
        <w:t xml:space="preserve"> </w:t>
      </w:r>
      <w:r>
        <w:rPr>
          <w:rFonts w:ascii="SimSun" w:hAnsi="SimSun" w:eastAsia="SimSun" w:cs="SimSun"/>
          <w:sz w:val="23"/>
          <w:szCs w:val="23"/>
        </w:rPr>
        <w:t>附加费用率底线约束趋于强化， 促使定价利率变化更充分地反映在费</w:t>
      </w:r>
      <w:bookmarkStart w:name="bookmark23" w:id="37"/>
      <w:bookmarkEnd w:id="37"/>
      <w:r>
        <w:rPr>
          <w:rFonts w:ascii="SimSun" w:hAnsi="SimSun" w:eastAsia="SimSun" w:cs="SimSun"/>
          <w:sz w:val="23"/>
          <w:szCs w:val="23"/>
          <w:spacing w:val="8"/>
        </w:rPr>
        <w:t>率端，并推动公司通过经营效率提升而非单纯参数</w:t>
      </w:r>
      <w:r>
        <w:rPr>
          <w:rFonts w:ascii="SimSun" w:hAnsi="SimSun" w:eastAsia="SimSun" w:cs="SimSun"/>
          <w:sz w:val="23"/>
          <w:szCs w:val="23"/>
          <w:spacing w:val="7"/>
        </w:rPr>
        <w:t>压缩来应对利率环境变化。</w:t>
      </w:r>
    </w:p>
    <w:p>
      <w:pPr>
        <w:pStyle w:val="BodyText"/>
        <w:spacing w:line="253" w:lineRule="auto"/>
        <w:rPr/>
      </w:pPr>
      <w:r/>
    </w:p>
    <w:p>
      <w:pPr>
        <w:ind w:left="12"/>
        <w:spacing w:before="76" w:line="229" w:lineRule="auto"/>
        <w:outlineLvl w:val="3"/>
        <w:rPr>
          <w:rFonts w:ascii="SimHei" w:hAnsi="SimHei" w:eastAsia="SimHei" w:cs="SimHei"/>
          <w:sz w:val="23"/>
          <w:szCs w:val="23"/>
        </w:rPr>
      </w:pPr>
      <w:bookmarkStart w:name="bookmark61" w:id="38"/>
      <w:bookmarkEnd w:id="38"/>
      <w:r>
        <w:rPr>
          <w:rFonts w:ascii="Times New Roman" w:hAnsi="Times New Roman" w:eastAsia="Times New Roman" w:cs="Times New Roman"/>
          <w:sz w:val="23"/>
          <w:szCs w:val="23"/>
          <w:b/>
          <w:bCs/>
          <w:spacing w:val="11"/>
        </w:rPr>
        <w:t>1.4.2.3</w:t>
      </w:r>
      <w:r>
        <w:rPr>
          <w:rFonts w:ascii="Times New Roman" w:hAnsi="Times New Roman" w:eastAsia="Times New Roman" w:cs="Times New Roman"/>
          <w:sz w:val="23"/>
          <w:szCs w:val="23"/>
          <w:b/>
          <w:bCs/>
          <w:spacing w:val="5"/>
        </w:rPr>
        <w:t xml:space="preserve">    </w:t>
      </w:r>
      <w:r>
        <w:rPr>
          <w:rFonts w:ascii="SimHei" w:hAnsi="SimHei" w:eastAsia="SimHei" w:cs="SimHei"/>
          <w:sz w:val="23"/>
          <w:szCs w:val="23"/>
          <w:spacing w:val="11"/>
        </w:rPr>
        <w:t>定价合规与行业趋势</w:t>
      </w:r>
    </w:p>
    <w:p>
      <w:pPr>
        <w:ind w:firstLine="483"/>
        <w:spacing w:before="227" w:line="288" w:lineRule="auto"/>
        <w:jc w:val="both"/>
        <w:rPr>
          <w:rFonts w:ascii="SimSun" w:hAnsi="SimSun" w:eastAsia="SimSun" w:cs="SimSun"/>
          <w:sz w:val="23"/>
          <w:szCs w:val="23"/>
        </w:rPr>
      </w:pPr>
      <w:r>
        <w:rPr>
          <w:rFonts w:ascii="SimSun" w:hAnsi="SimSun" w:eastAsia="SimSun" w:cs="SimSun"/>
          <w:sz w:val="23"/>
          <w:szCs w:val="23"/>
          <w:spacing w:val="8"/>
        </w:rPr>
        <w:t>定价工作同时受到费率合规、费率执行一致性、保障水平要求与定价公平性等方面</w:t>
      </w:r>
      <w:r>
        <w:rPr>
          <w:rFonts w:ascii="SimSun" w:hAnsi="SimSun" w:eastAsia="SimSun" w:cs="SimSun"/>
          <w:sz w:val="23"/>
          <w:szCs w:val="23"/>
          <w:spacing w:val="3"/>
        </w:rPr>
        <w:t>的制度约束。费率需按规定进行备案或审批并遵守利率上限与费用率边界；</w:t>
      </w:r>
      <w:r>
        <w:rPr>
          <w:rFonts w:ascii="SimSun" w:hAnsi="SimSun" w:eastAsia="SimSun" w:cs="SimSun"/>
          <w:sz w:val="23"/>
          <w:szCs w:val="23"/>
          <w:spacing w:val="91"/>
        </w:rPr>
        <w:t xml:space="preserve"> </w:t>
      </w:r>
      <w:r>
        <w:rPr>
          <w:rFonts w:ascii="SimSun" w:hAnsi="SimSun" w:eastAsia="SimSun" w:cs="SimSun"/>
          <w:sz w:val="23"/>
          <w:szCs w:val="23"/>
          <w:spacing w:val="3"/>
        </w:rPr>
        <w:t>费率执行一</w:t>
      </w:r>
      <w:r>
        <w:rPr>
          <w:rFonts w:ascii="SimSun" w:hAnsi="SimSun" w:eastAsia="SimSun" w:cs="SimSun"/>
          <w:sz w:val="23"/>
          <w:szCs w:val="23"/>
          <w:spacing w:val="11"/>
        </w:rPr>
        <w:t>致性要求报备费率与实际执行费率一致，避免通过变相调整费用或价格进行不当竞争；</w:t>
      </w:r>
      <w:r>
        <w:rPr>
          <w:rFonts w:ascii="SimSun" w:hAnsi="SimSun" w:eastAsia="SimSun" w:cs="SimSun"/>
          <w:sz w:val="23"/>
          <w:szCs w:val="23"/>
          <w:spacing w:val="4"/>
        </w:rPr>
        <w:t>保障水平要求强调产品保障功能并保护消费者权益；</w:t>
      </w:r>
      <w:r>
        <w:rPr>
          <w:rFonts w:ascii="SimSun" w:hAnsi="SimSun" w:eastAsia="SimSun" w:cs="SimSun"/>
          <w:sz w:val="23"/>
          <w:szCs w:val="23"/>
          <w:spacing w:val="60"/>
        </w:rPr>
        <w:t xml:space="preserve"> </w:t>
      </w:r>
      <w:r>
        <w:rPr>
          <w:rFonts w:ascii="SimSun" w:hAnsi="SimSun" w:eastAsia="SimSun" w:cs="SimSun"/>
          <w:sz w:val="23"/>
          <w:szCs w:val="23"/>
          <w:spacing w:val="4"/>
        </w:rPr>
        <w:t>定价公平性要求避</w:t>
      </w:r>
      <w:r>
        <w:rPr>
          <w:rFonts w:ascii="SimSun" w:hAnsi="SimSun" w:eastAsia="SimSun" w:cs="SimSun"/>
          <w:sz w:val="23"/>
          <w:szCs w:val="23"/>
          <w:spacing w:val="3"/>
        </w:rPr>
        <w:t>免不合理的歧视</w:t>
      </w:r>
      <w:r>
        <w:rPr>
          <w:rFonts w:ascii="SimSun" w:hAnsi="SimSun" w:eastAsia="SimSun" w:cs="SimSun"/>
          <w:sz w:val="23"/>
          <w:szCs w:val="23"/>
          <w:spacing w:val="8"/>
        </w:rPr>
        <w:t>性定价并提升定价透明度与可解释性。与监管约束相伴随的行业趋势主要体现为定价利</w:t>
      </w:r>
      <w:r>
        <w:rPr>
          <w:rFonts w:ascii="SimSun" w:hAnsi="SimSun" w:eastAsia="SimSun" w:cs="SimSun"/>
          <w:sz w:val="23"/>
          <w:szCs w:val="23"/>
          <w:spacing w:val="8"/>
        </w:rPr>
        <w:t>率下行与定价机制优化、附加费用率规范化以及技术进步推动的大数据定价实践。随着</w:t>
      </w:r>
      <w:r>
        <w:rPr>
          <w:rFonts w:ascii="SimSun" w:hAnsi="SimSun" w:eastAsia="SimSun" w:cs="SimSun"/>
          <w:sz w:val="23"/>
          <w:szCs w:val="23"/>
          <w:spacing w:val="7"/>
        </w:rPr>
        <w:t>数据来源的扩展，</w:t>
      </w:r>
      <w:r>
        <w:rPr>
          <w:rFonts w:ascii="SimSun" w:hAnsi="SimSun" w:eastAsia="SimSun" w:cs="SimSun"/>
          <w:sz w:val="23"/>
          <w:szCs w:val="23"/>
          <w:spacing w:val="-56"/>
        </w:rPr>
        <w:t xml:space="preserve"> </w:t>
      </w:r>
      <w:r>
        <w:rPr>
          <w:rFonts w:ascii="SimSun" w:hAnsi="SimSun" w:eastAsia="SimSun" w:cs="SimSun"/>
          <w:sz w:val="23"/>
          <w:szCs w:val="23"/>
          <w:spacing w:val="7"/>
        </w:rPr>
        <w:t>保险公司开始在合规与公平框架下探索使用更多非传统数</w:t>
      </w:r>
      <w:r>
        <w:rPr>
          <w:rFonts w:ascii="SimSun" w:hAnsi="SimSun" w:eastAsia="SimSun" w:cs="SimSun"/>
          <w:sz w:val="23"/>
          <w:szCs w:val="23"/>
          <w:spacing w:val="6"/>
        </w:rPr>
        <w:t>据进行风险</w:t>
      </w:r>
      <w:r>
        <w:rPr>
          <w:rFonts w:ascii="SimSun" w:hAnsi="SimSun" w:eastAsia="SimSun" w:cs="SimSun"/>
          <w:sz w:val="23"/>
          <w:szCs w:val="23"/>
          <w:spacing w:val="4"/>
        </w:rPr>
        <w:t>刻画，</w:t>
      </w:r>
      <w:r>
        <w:rPr>
          <w:rFonts w:ascii="SimSun" w:hAnsi="SimSun" w:eastAsia="SimSun" w:cs="SimSun"/>
          <w:sz w:val="23"/>
          <w:szCs w:val="23"/>
          <w:spacing w:val="-66"/>
        </w:rPr>
        <w:t xml:space="preserve"> </w:t>
      </w:r>
      <w:r>
        <w:rPr>
          <w:rFonts w:ascii="SimSun" w:hAnsi="SimSun" w:eastAsia="SimSun" w:cs="SimSun"/>
          <w:sz w:val="23"/>
          <w:szCs w:val="23"/>
          <w:spacing w:val="4"/>
        </w:rPr>
        <w:t>以提升定价的科学性与精细化水平； 同时，场景化与定制化产品创新对定价模型</w:t>
      </w:r>
      <w:r>
        <w:rPr>
          <w:rFonts w:ascii="SimSun" w:hAnsi="SimSun" w:eastAsia="SimSun" w:cs="SimSun"/>
          <w:sz w:val="23"/>
          <w:szCs w:val="23"/>
          <w:spacing w:val="5"/>
        </w:rPr>
        <w:t>提出更高要求，精算人员需要在新风险特征下构建可解释、可复核且可执行的定价方案。</w:t>
      </w:r>
    </w:p>
    <w:p>
      <w:pPr>
        <w:spacing w:line="288" w:lineRule="auto"/>
        <w:sectPr>
          <w:footerReference w:type="default" r:id="rId15"/>
          <w:pgSz w:w="11906" w:h="16838"/>
          <w:pgMar w:top="400" w:right="1302" w:bottom="980" w:left="1425" w:header="0" w:footer="769" w:gutter="0"/>
        </w:sectPr>
        <w:rPr>
          <w:rFonts w:ascii="SimSun" w:hAnsi="SimSun" w:eastAsia="SimSun" w:cs="SimSun"/>
          <w:sz w:val="23"/>
          <w:szCs w:val="23"/>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 w:right="114" w:firstLine="480"/>
        <w:spacing w:before="75" w:line="288" w:lineRule="auto"/>
        <w:jc w:val="both"/>
        <w:rPr>
          <w:rFonts w:ascii="SimSun" w:hAnsi="SimSun" w:eastAsia="SimSun" w:cs="SimSun"/>
          <w:sz w:val="23"/>
          <w:szCs w:val="23"/>
        </w:rPr>
      </w:pPr>
      <w:r>
        <w:rPr>
          <w:rFonts w:ascii="SimSun" w:hAnsi="SimSun" w:eastAsia="SimSun" w:cs="SimSun"/>
          <w:sz w:val="23"/>
          <w:szCs w:val="23"/>
          <w:spacing w:val="6"/>
        </w:rPr>
        <w:t>为便于读者在结构上把握“监管要求与行业趋势”对定价要素的影响，</w:t>
      </w:r>
      <w:r>
        <w:rPr>
          <w:rFonts w:ascii="SimSun" w:hAnsi="SimSun" w:eastAsia="SimSun" w:cs="SimSun"/>
          <w:sz w:val="23"/>
          <w:szCs w:val="23"/>
          <w:spacing w:val="-32"/>
        </w:rPr>
        <w:t xml:space="preserve"> </w:t>
      </w:r>
      <w:r>
        <w:rPr>
          <w:rFonts w:ascii="SimSun" w:hAnsi="SimSun" w:eastAsia="SimSun" w:cs="SimSun"/>
          <w:sz w:val="23"/>
          <w:szCs w:val="23"/>
          <w:spacing w:val="6"/>
        </w:rPr>
        <w:t>可将其与费</w:t>
      </w:r>
      <w:r>
        <w:rPr>
          <w:rFonts w:ascii="SimSun" w:hAnsi="SimSun" w:eastAsia="SimSun" w:cs="SimSun"/>
          <w:sz w:val="23"/>
          <w:szCs w:val="23"/>
          <w:spacing w:val="1"/>
        </w:rPr>
        <w:t>率厘定四要素进行对应理解： 监管规则对保险责任的保障属性与适当</w:t>
      </w:r>
      <w:r>
        <w:rPr>
          <w:rFonts w:ascii="SimSun" w:hAnsi="SimSun" w:eastAsia="SimSun" w:cs="SimSun"/>
          <w:sz w:val="23"/>
          <w:szCs w:val="23"/>
        </w:rPr>
        <w:t>性提出要求，</w:t>
      </w:r>
      <w:r>
        <w:rPr>
          <w:rFonts w:ascii="SimSun" w:hAnsi="SimSun" w:eastAsia="SimSun" w:cs="SimSun"/>
          <w:sz w:val="23"/>
          <w:szCs w:val="23"/>
          <w:spacing w:val="58"/>
        </w:rPr>
        <w:t xml:space="preserve"> </w:t>
      </w:r>
      <w:r>
        <w:rPr>
          <w:rFonts w:ascii="SimSun" w:hAnsi="SimSun" w:eastAsia="SimSun" w:cs="SimSun"/>
          <w:sz w:val="23"/>
          <w:szCs w:val="23"/>
        </w:rPr>
        <w:t>对发</w:t>
      </w:r>
      <w:r>
        <w:rPr>
          <w:rFonts w:ascii="SimSun" w:hAnsi="SimSun" w:eastAsia="SimSun" w:cs="SimSun"/>
          <w:sz w:val="23"/>
          <w:szCs w:val="23"/>
          <w:spacing w:val="-1"/>
        </w:rPr>
        <w:t>生率口径与行业参考表更新形成约束，</w:t>
      </w:r>
      <w:r>
        <w:rPr>
          <w:rFonts w:ascii="SimSun" w:hAnsi="SimSun" w:eastAsia="SimSun" w:cs="SimSun"/>
          <w:sz w:val="23"/>
          <w:szCs w:val="23"/>
          <w:spacing w:val="69"/>
        </w:rPr>
        <w:t xml:space="preserve"> </w:t>
      </w:r>
      <w:r>
        <w:rPr>
          <w:rFonts w:ascii="SimSun" w:hAnsi="SimSun" w:eastAsia="SimSun" w:cs="SimSun"/>
          <w:sz w:val="23"/>
          <w:szCs w:val="23"/>
          <w:spacing w:val="-1"/>
        </w:rPr>
        <w:t>对定价利率设定上限并引导风险治理，</w:t>
      </w:r>
      <w:r>
        <w:rPr>
          <w:rFonts w:ascii="SimSun" w:hAnsi="SimSun" w:eastAsia="SimSun" w:cs="SimSun"/>
          <w:sz w:val="23"/>
          <w:szCs w:val="23"/>
          <w:spacing w:val="58"/>
        </w:rPr>
        <w:t xml:space="preserve"> </w:t>
      </w:r>
      <w:r>
        <w:rPr>
          <w:rFonts w:ascii="SimSun" w:hAnsi="SimSun" w:eastAsia="SimSun" w:cs="SimSun"/>
          <w:sz w:val="23"/>
          <w:szCs w:val="23"/>
          <w:spacing w:val="-1"/>
        </w:rPr>
        <w:t>对附加费</w:t>
      </w:r>
      <w:r>
        <w:rPr>
          <w:rFonts w:ascii="SimSun" w:hAnsi="SimSun" w:eastAsia="SimSun" w:cs="SimSun"/>
          <w:sz w:val="23"/>
          <w:szCs w:val="23"/>
          <w:spacing w:val="8"/>
        </w:rPr>
        <w:t>用率设置边界并强化费率执行一致性要求。上述对应关系有助于在产品开发阶段形成合</w:t>
      </w:r>
      <w:bookmarkStart w:name="bookmark24" w:id="39"/>
      <w:bookmarkEnd w:id="39"/>
      <w:r>
        <w:rPr>
          <w:rFonts w:ascii="SimSun" w:hAnsi="SimSun" w:eastAsia="SimSun" w:cs="SimSun"/>
          <w:sz w:val="23"/>
          <w:szCs w:val="23"/>
          <w:spacing w:val="5"/>
        </w:rPr>
        <w:t>规与经营可持续性的统一框架。</w:t>
      </w:r>
    </w:p>
    <w:p>
      <w:pPr>
        <w:pStyle w:val="BodyText"/>
        <w:spacing w:line="245" w:lineRule="auto"/>
        <w:rPr/>
      </w:pPr>
      <w:r/>
    </w:p>
    <w:p>
      <w:pPr>
        <w:pStyle w:val="BodyText"/>
        <w:spacing w:line="245" w:lineRule="auto"/>
        <w:rPr/>
      </w:pPr>
      <w:r/>
    </w:p>
    <w:p>
      <w:pPr>
        <w:ind w:left="12"/>
        <w:spacing w:before="74" w:line="228" w:lineRule="auto"/>
        <w:outlineLvl w:val="3"/>
        <w:rPr>
          <w:rFonts w:ascii="SimHei" w:hAnsi="SimHei" w:eastAsia="SimHei" w:cs="SimHei"/>
          <w:sz w:val="23"/>
          <w:szCs w:val="23"/>
        </w:rPr>
      </w:pPr>
      <w:bookmarkStart w:name="bookmark62" w:id="40"/>
      <w:bookmarkEnd w:id="40"/>
      <w:r>
        <w:rPr>
          <w:rFonts w:ascii="Times New Roman" w:hAnsi="Times New Roman" w:eastAsia="Times New Roman" w:cs="Times New Roman"/>
          <w:sz w:val="23"/>
          <w:szCs w:val="23"/>
          <w:b/>
          <w:bCs/>
          <w:spacing w:val="10"/>
        </w:rPr>
        <w:t>1.4.2.4    </w:t>
      </w:r>
      <w:r>
        <w:rPr>
          <w:rFonts w:ascii="SimHei" w:hAnsi="SimHei" w:eastAsia="SimHei" w:cs="SimHei"/>
          <w:sz w:val="23"/>
          <w:szCs w:val="23"/>
          <w:spacing w:val="10"/>
        </w:rPr>
        <w:t>利润测试的目标、方</w:t>
      </w:r>
      <w:r>
        <w:rPr>
          <w:rFonts w:ascii="SimHei" w:hAnsi="SimHei" w:eastAsia="SimHei" w:cs="SimHei"/>
          <w:sz w:val="23"/>
          <w:szCs w:val="23"/>
          <w:spacing w:val="9"/>
        </w:rPr>
        <w:t>法与结果解释</w:t>
      </w:r>
    </w:p>
    <w:p>
      <w:pPr>
        <w:ind w:firstLine="480"/>
        <w:spacing w:before="308" w:line="288" w:lineRule="auto"/>
        <w:jc w:val="both"/>
        <w:rPr>
          <w:rFonts w:ascii="SimSun" w:hAnsi="SimSun" w:eastAsia="SimSun" w:cs="SimSun"/>
          <w:sz w:val="23"/>
          <w:szCs w:val="23"/>
        </w:rPr>
      </w:pPr>
      <w:r>
        <w:rPr>
          <w:rFonts w:ascii="SimSun" w:hAnsi="SimSun" w:eastAsia="SimSun" w:cs="SimSun"/>
          <w:sz w:val="23"/>
          <w:szCs w:val="23"/>
          <w:spacing w:val="4"/>
        </w:rPr>
        <w:t>利润测试用于评估产品在全生命周期内的盈利</w:t>
      </w:r>
      <w:r>
        <w:rPr>
          <w:rFonts w:ascii="SimSun" w:hAnsi="SimSun" w:eastAsia="SimSun" w:cs="SimSun"/>
          <w:sz w:val="23"/>
          <w:szCs w:val="23"/>
          <w:spacing w:val="3"/>
        </w:rPr>
        <w:t>能力与风险暴露，</w:t>
      </w:r>
      <w:r>
        <w:rPr>
          <w:rFonts w:ascii="SimSun" w:hAnsi="SimSun" w:eastAsia="SimSun" w:cs="SimSun"/>
          <w:sz w:val="23"/>
          <w:szCs w:val="23"/>
          <w:spacing w:val="58"/>
        </w:rPr>
        <w:t xml:space="preserve"> </w:t>
      </w:r>
      <w:r>
        <w:rPr>
          <w:rFonts w:ascii="SimSun" w:hAnsi="SimSun" w:eastAsia="SimSun" w:cs="SimSun"/>
          <w:sz w:val="23"/>
          <w:szCs w:val="23"/>
          <w:spacing w:val="3"/>
        </w:rPr>
        <w:t>并验证费率的合理</w:t>
      </w:r>
      <w:r>
        <w:rPr>
          <w:rFonts w:ascii="SimSun" w:hAnsi="SimSun" w:eastAsia="SimSun" w:cs="SimSun"/>
          <w:sz w:val="23"/>
          <w:szCs w:val="23"/>
          <w:spacing w:val="11"/>
        </w:rPr>
        <w:t>性与产品结构的可持续性。利润测试通常以现金流预测为基础，将保费、赔付、费用、</w:t>
      </w:r>
      <w:r>
        <w:rPr>
          <w:rFonts w:ascii="SimSun" w:hAnsi="SimSun" w:eastAsia="SimSun" w:cs="SimSun"/>
          <w:sz w:val="23"/>
          <w:szCs w:val="23"/>
          <w:spacing w:val="8"/>
        </w:rPr>
        <w:t>投资收益与税费等要素纳入统一框架，并在目标利润要求下评估产品是否满足公司风险</w:t>
      </w:r>
      <w:r>
        <w:rPr>
          <w:rFonts w:ascii="SimSun" w:hAnsi="SimSun" w:eastAsia="SimSun" w:cs="SimSun"/>
          <w:sz w:val="23"/>
          <w:szCs w:val="23"/>
          <w:spacing w:val="4"/>
        </w:rPr>
        <w:t>偏好与资本约束。寿险业务具有长期性与跨期性，</w:t>
      </w:r>
      <w:r>
        <w:rPr>
          <w:rFonts w:ascii="SimSun" w:hAnsi="SimSun" w:eastAsia="SimSun" w:cs="SimSun"/>
          <w:sz w:val="23"/>
          <w:szCs w:val="23"/>
          <w:spacing w:val="66"/>
        </w:rPr>
        <w:t xml:space="preserve"> </w:t>
      </w:r>
      <w:r>
        <w:rPr>
          <w:rFonts w:ascii="SimSun" w:hAnsi="SimSun" w:eastAsia="SimSun" w:cs="SimSun"/>
          <w:sz w:val="23"/>
          <w:szCs w:val="23"/>
          <w:spacing w:val="4"/>
        </w:rPr>
        <w:t>决定了不</w:t>
      </w:r>
      <w:r>
        <w:rPr>
          <w:rFonts w:ascii="SimSun" w:hAnsi="SimSun" w:eastAsia="SimSun" w:cs="SimSun"/>
          <w:sz w:val="23"/>
          <w:szCs w:val="23"/>
          <w:spacing w:val="3"/>
        </w:rPr>
        <w:t>能以新业务承保当年度利润</w:t>
      </w:r>
      <w:r>
        <w:rPr>
          <w:rFonts w:ascii="SimSun" w:hAnsi="SimSun" w:eastAsia="SimSun" w:cs="SimSun"/>
          <w:sz w:val="23"/>
          <w:szCs w:val="23"/>
          <w:spacing w:val="5"/>
        </w:rPr>
        <w:t>简单衡量新业务对公司价值贡献， 因此应以保单全生命周期的利润释放路径进行评价与</w:t>
      </w:r>
      <w:r>
        <w:rPr>
          <w:rFonts w:ascii="SimSun" w:hAnsi="SimSun" w:eastAsia="SimSun" w:cs="SimSun"/>
          <w:sz w:val="23"/>
          <w:szCs w:val="23"/>
          <w:spacing w:val="-5"/>
        </w:rPr>
        <w:t>解释。</w:t>
      </w:r>
    </w:p>
    <w:p>
      <w:pPr>
        <w:ind w:firstLine="479"/>
        <w:spacing w:before="34" w:line="288" w:lineRule="auto"/>
        <w:jc w:val="both"/>
        <w:rPr>
          <w:rFonts w:ascii="SimSun" w:hAnsi="SimSun" w:eastAsia="SimSun" w:cs="SimSun"/>
          <w:sz w:val="23"/>
          <w:szCs w:val="23"/>
        </w:rPr>
      </w:pPr>
      <w:r>
        <w:rPr>
          <w:rFonts w:ascii="SimSun" w:hAnsi="SimSun" w:eastAsia="SimSun" w:cs="SimSun"/>
          <w:sz w:val="23"/>
          <w:szCs w:val="23"/>
          <w:spacing w:val="3"/>
        </w:rPr>
        <w:t>利润测试的核心指标之一是新业务价值。新业务价值是指在保单签发时点，</w:t>
      </w:r>
      <w:r>
        <w:rPr>
          <w:rFonts w:ascii="SimSun" w:hAnsi="SimSun" w:eastAsia="SimSun" w:cs="SimSun"/>
          <w:sz w:val="23"/>
          <w:szCs w:val="23"/>
          <w:spacing w:val="78"/>
        </w:rPr>
        <w:t xml:space="preserve"> </w:t>
      </w:r>
      <w:r>
        <w:rPr>
          <w:rFonts w:ascii="SimSun" w:hAnsi="SimSun" w:eastAsia="SimSun" w:cs="SimSun"/>
          <w:sz w:val="23"/>
          <w:szCs w:val="23"/>
          <w:spacing w:val="3"/>
        </w:rPr>
        <w:t>未来预</w:t>
      </w:r>
      <w:r>
        <w:rPr>
          <w:rFonts w:ascii="SimSun" w:hAnsi="SimSun" w:eastAsia="SimSun" w:cs="SimSun"/>
          <w:sz w:val="23"/>
          <w:szCs w:val="23"/>
          <w:spacing w:val="4"/>
        </w:rPr>
        <w:t>期税后利润的折现值扣除资本成本后的结果，</w:t>
      </w:r>
      <w:r>
        <w:rPr>
          <w:rFonts w:ascii="SimSun" w:hAnsi="SimSun" w:eastAsia="SimSun" w:cs="SimSun"/>
          <w:sz w:val="23"/>
          <w:szCs w:val="23"/>
          <w:spacing w:val="54"/>
        </w:rPr>
        <w:t xml:space="preserve"> </w:t>
      </w:r>
      <w:r>
        <w:rPr>
          <w:rFonts w:ascii="SimSun" w:hAnsi="SimSun" w:eastAsia="SimSun" w:cs="SimSun"/>
          <w:sz w:val="23"/>
          <w:szCs w:val="23"/>
          <w:spacing w:val="4"/>
        </w:rPr>
        <w:t>用于衡量新签发业务对公司未来价值的贡</w:t>
      </w:r>
      <w:r>
        <w:rPr>
          <w:rFonts w:ascii="SimSun" w:hAnsi="SimSun" w:eastAsia="SimSun" w:cs="SimSun"/>
          <w:sz w:val="23"/>
          <w:szCs w:val="23"/>
          <w:spacing w:val="2"/>
        </w:rPr>
        <w:t>献。新业务价值建立在公司最优估计假设基础上， 最优估计假设是在充分分析经验数据、</w:t>
      </w:r>
      <w:r>
        <w:rPr>
          <w:rFonts w:ascii="SimSun" w:hAnsi="SimSun" w:eastAsia="SimSun" w:cs="SimSun"/>
          <w:sz w:val="23"/>
          <w:szCs w:val="23"/>
          <w:spacing w:val="4"/>
        </w:rPr>
        <w:t>经营实践与外部环境后形成的无偏或最可能估计，</w:t>
      </w:r>
      <w:r>
        <w:rPr>
          <w:rFonts w:ascii="SimSun" w:hAnsi="SimSun" w:eastAsia="SimSun" w:cs="SimSun"/>
          <w:sz w:val="23"/>
          <w:szCs w:val="23"/>
          <w:spacing w:val="63"/>
        </w:rPr>
        <w:t xml:space="preserve"> </w:t>
      </w:r>
      <w:r>
        <w:rPr>
          <w:rFonts w:ascii="SimSun" w:hAnsi="SimSun" w:eastAsia="SimSun" w:cs="SimSun"/>
          <w:sz w:val="23"/>
          <w:szCs w:val="23"/>
          <w:spacing w:val="4"/>
        </w:rPr>
        <w:t>覆盖发生率、</w:t>
      </w:r>
      <w:r>
        <w:rPr>
          <w:rFonts w:ascii="SimSun" w:hAnsi="SimSun" w:eastAsia="SimSun" w:cs="SimSun"/>
          <w:sz w:val="23"/>
          <w:szCs w:val="23"/>
          <w:spacing w:val="3"/>
        </w:rPr>
        <w:t>退保率、费用率与投资</w:t>
      </w:r>
      <w:r>
        <w:rPr>
          <w:rFonts w:ascii="SimSun" w:hAnsi="SimSun" w:eastAsia="SimSun" w:cs="SimSun"/>
          <w:sz w:val="23"/>
          <w:szCs w:val="23"/>
          <w:spacing w:val="4"/>
        </w:rPr>
        <w:t>收益等关键变量。利润测试不仅观察在最优估计假设下的价值创造，</w:t>
      </w:r>
      <w:r>
        <w:rPr>
          <w:rFonts w:ascii="SimSun" w:hAnsi="SimSun" w:eastAsia="SimSun" w:cs="SimSun"/>
          <w:sz w:val="23"/>
          <w:szCs w:val="23"/>
          <w:spacing w:val="58"/>
        </w:rPr>
        <w:t xml:space="preserve"> </w:t>
      </w:r>
      <w:r>
        <w:rPr>
          <w:rFonts w:ascii="SimSun" w:hAnsi="SimSun" w:eastAsia="SimSun" w:cs="SimSun"/>
          <w:sz w:val="23"/>
          <w:szCs w:val="23"/>
          <w:spacing w:val="4"/>
        </w:rPr>
        <w:t>还需要</w:t>
      </w:r>
      <w:r>
        <w:rPr>
          <w:rFonts w:ascii="SimSun" w:hAnsi="SimSun" w:eastAsia="SimSun" w:cs="SimSun"/>
          <w:sz w:val="23"/>
          <w:szCs w:val="23"/>
          <w:spacing w:val="3"/>
        </w:rPr>
        <w:t>通过敏感性</w:t>
      </w:r>
      <w:r>
        <w:rPr>
          <w:rFonts w:ascii="SimSun" w:hAnsi="SimSun" w:eastAsia="SimSun" w:cs="SimSun"/>
          <w:sz w:val="23"/>
          <w:szCs w:val="23"/>
          <w:spacing w:val="3"/>
        </w:rPr>
        <w:t>测试与不利情景测试评价关键假设变化对价值指标与风险承受能力的影响，</w:t>
      </w:r>
      <w:r>
        <w:rPr>
          <w:rFonts w:ascii="SimSun" w:hAnsi="SimSun" w:eastAsia="SimSun" w:cs="SimSun"/>
          <w:sz w:val="23"/>
          <w:szCs w:val="23"/>
          <w:spacing w:val="91"/>
        </w:rPr>
        <w:t xml:space="preserve"> </w:t>
      </w:r>
      <w:r>
        <w:rPr>
          <w:rFonts w:ascii="SimSun" w:hAnsi="SimSun" w:eastAsia="SimSun" w:cs="SimSun"/>
          <w:sz w:val="23"/>
          <w:szCs w:val="23"/>
          <w:spacing w:val="3"/>
        </w:rPr>
        <w:t>以识别风险</w:t>
      </w:r>
      <w:r>
        <w:rPr>
          <w:rFonts w:ascii="SimSun" w:hAnsi="SimSun" w:eastAsia="SimSun" w:cs="SimSun"/>
          <w:sz w:val="23"/>
          <w:szCs w:val="23"/>
          <w:spacing w:val="6"/>
        </w:rPr>
        <w:t>暴露并支持产品结构与定价方案的迭代优化。</w:t>
      </w:r>
    </w:p>
    <w:p>
      <w:pPr>
        <w:ind w:left="7" w:right="114" w:firstLine="474"/>
        <w:spacing w:before="37" w:line="289" w:lineRule="auto"/>
        <w:rPr>
          <w:rFonts w:ascii="SimSun" w:hAnsi="SimSun" w:eastAsia="SimSun" w:cs="SimSun"/>
          <w:sz w:val="23"/>
          <w:szCs w:val="23"/>
        </w:rPr>
      </w:pPr>
      <w:r>
        <w:rPr>
          <w:rFonts w:ascii="SimSun" w:hAnsi="SimSun" w:eastAsia="SimSun" w:cs="SimSun"/>
          <w:sz w:val="23"/>
          <w:szCs w:val="23"/>
          <w:spacing w:val="4"/>
        </w:rPr>
        <w:t>为帮助读者形成直观理解，</w:t>
      </w:r>
      <w:r>
        <w:rPr>
          <w:rFonts w:ascii="SimSun" w:hAnsi="SimSun" w:eastAsia="SimSun" w:cs="SimSun"/>
          <w:sz w:val="23"/>
          <w:szCs w:val="23"/>
          <w:spacing w:val="-25"/>
        </w:rPr>
        <w:t xml:space="preserve"> </w:t>
      </w:r>
      <w:r>
        <w:rPr>
          <w:rFonts w:ascii="SimSun" w:hAnsi="SimSun" w:eastAsia="SimSun" w:cs="SimSun"/>
          <w:sz w:val="23"/>
          <w:szCs w:val="23"/>
          <w:spacing w:val="4"/>
        </w:rPr>
        <w:t>可用图</w:t>
      </w:r>
      <w:hyperlink w:history="true" w:anchor="bookmark63">
        <w:r>
          <w:rPr>
            <w:rFonts w:ascii="Times New Roman" w:hAnsi="Times New Roman" w:eastAsia="Times New Roman" w:cs="Times New Roman"/>
            <w:sz w:val="23"/>
            <w:szCs w:val="23"/>
            <w:spacing w:val="4"/>
          </w:rPr>
          <w:t>1.2</w:t>
        </w:r>
      </w:hyperlink>
      <w:r>
        <w:rPr>
          <w:rFonts w:ascii="SimSun" w:hAnsi="SimSun" w:eastAsia="SimSun" w:cs="SimSun"/>
          <w:sz w:val="23"/>
          <w:szCs w:val="23"/>
          <w:spacing w:val="4"/>
        </w:rPr>
        <w:t>对“利润在生命周期内逐步释放”的概念作示</w:t>
      </w:r>
      <w:r>
        <w:rPr>
          <w:rFonts w:ascii="SimSun" w:hAnsi="SimSun" w:eastAsia="SimSun" w:cs="SimSun"/>
          <w:sz w:val="23"/>
          <w:szCs w:val="23"/>
          <w:spacing w:val="6"/>
        </w:rPr>
        <w:t>意性表达。图形用于表达逻辑结构而非特定数值曲线。</w:t>
      </w:r>
    </w:p>
    <w:p>
      <w:pPr>
        <w:pStyle w:val="BodyText"/>
        <w:spacing w:line="312" w:lineRule="auto"/>
        <w:rPr/>
      </w:pPr>
      <w:r/>
    </w:p>
    <w:p>
      <w:pPr>
        <w:ind w:left="658"/>
        <w:spacing w:before="76" w:line="228" w:lineRule="auto"/>
        <w:rPr>
          <w:rFonts w:ascii="SimSun" w:hAnsi="SimSun" w:eastAsia="SimSun" w:cs="SimSun"/>
          <w:sz w:val="23"/>
          <w:szCs w:val="23"/>
        </w:rPr>
      </w:pPr>
      <w:r>
        <w:pict>
          <v:group id="_x0000_s26" style="position:absolute;margin-left:82.338pt;margin-top:9.72128pt;mso-position-vertical-relative:text;mso-position-horizontal-relative:text;width:314.05pt;height:115.65pt;z-index:251671552;" filled="false" stroked="false" coordsize="6281,2313" coordorigin="0,0">
            <v:shape id="_x0000_s28" style="position:absolute;left:44;top:2260;width:6224;height:14;" filled="false" strokecolor="#000000" strokeweight="0.70pt" coordsize="6224,14" coordorigin="0,0" path="m0,6l6223,6e">
              <v:stroke joinstyle="miter" miterlimit="10"/>
            </v:shape>
            <v:shape id="_x0000_s30" style="position:absolute;left:6233;top:2223;width:48;height:90;" filled="false" strokecolor="#000000" strokeweight="0.56pt" coordsize="48,90" coordorigin="0,0" path="m5,5c8,20,34,42,42,44c34,47,8,69,5,83e">
              <v:stroke endcap="round" miterlimit="10"/>
            </v:shape>
            <v:shape id="_x0000_s32" style="position:absolute;left:37;top:12;width:14;height:2255;" filled="false" strokecolor="#000000" strokeweight="0.70pt" coordsize="14,2255" coordorigin="0,0" path="m6,2254l6,0e">
              <v:stroke joinstyle="miter" miterlimit="10"/>
            </v:shape>
            <v:shape id="_x0000_s34" style="position:absolute;left:0;top:0;width:90;height:48;" filled="false" strokecolor="#000000" strokeweight="0.56pt" coordsize="90,48" coordorigin="0,0" path="m5,42c20,39,42,12,44,5c47,12,69,39,83,42e">
              <v:stroke endcap="round" miterlimit="10"/>
            </v:shape>
            <v:shape id="_x0000_s36" style="position:absolute;left:321;top:333;width:5400;height:1715;" filled="false" strokecolor="#000000" strokeweight="0.70pt" coordsize="5400,1715" coordorigin="0,0" path="m6,1707c1424,1481,3125,687,5392,6e">
              <v:stroke joinstyle="miter" miterlimit="10"/>
            </v:shape>
          </v:group>
        </w:pict>
      </w:r>
      <w:bookmarkStart w:name="bookmark63" w:id="41"/>
      <w:bookmarkEnd w:id="41"/>
      <w:r>
        <w:rPr>
          <w:rFonts w:ascii="SimSun" w:hAnsi="SimSun" w:eastAsia="SimSun" w:cs="SimSun"/>
          <w:sz w:val="23"/>
          <w:szCs w:val="23"/>
          <w:spacing w:val="6"/>
        </w:rPr>
        <w:t>利润贡献</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7459"/>
        <w:spacing w:before="75" w:line="228" w:lineRule="auto"/>
        <w:rPr>
          <w:rFonts w:ascii="SimSun" w:hAnsi="SimSun" w:eastAsia="SimSun" w:cs="SimSun"/>
          <w:sz w:val="23"/>
          <w:szCs w:val="23"/>
        </w:rPr>
      </w:pPr>
      <w:r>
        <w:rPr>
          <w:rFonts w:ascii="SimSun" w:hAnsi="SimSun" w:eastAsia="SimSun" w:cs="SimSun"/>
          <w:sz w:val="23"/>
          <w:szCs w:val="23"/>
          <w:spacing w:val="6"/>
        </w:rPr>
        <w:t>保单期限</w:t>
      </w:r>
    </w:p>
    <w:p>
      <w:pPr>
        <w:ind w:left="1895"/>
        <w:spacing w:before="221" w:line="227" w:lineRule="auto"/>
        <w:rPr>
          <w:rFonts w:ascii="SimSun" w:hAnsi="SimSun" w:eastAsia="SimSun" w:cs="SimSun"/>
          <w:sz w:val="23"/>
          <w:szCs w:val="23"/>
        </w:rPr>
      </w:pPr>
      <w:r>
        <w:rPr>
          <w:rFonts w:ascii="SimSun" w:hAnsi="SimSun" w:eastAsia="SimSun" w:cs="SimSun"/>
          <w:sz w:val="23"/>
          <w:szCs w:val="23"/>
          <w:spacing w:val="4"/>
        </w:rPr>
        <w:t>图 </w:t>
      </w:r>
      <w:r>
        <w:rPr>
          <w:rFonts w:ascii="Times New Roman" w:hAnsi="Times New Roman" w:eastAsia="Times New Roman" w:cs="Times New Roman"/>
          <w:sz w:val="23"/>
          <w:szCs w:val="23"/>
          <w:spacing w:val="4"/>
        </w:rPr>
        <w:t>1.2:</w:t>
      </w:r>
      <w:r>
        <w:rPr>
          <w:rFonts w:ascii="Times New Roman" w:hAnsi="Times New Roman" w:eastAsia="Times New Roman" w:cs="Times New Roman"/>
          <w:sz w:val="23"/>
          <w:szCs w:val="23"/>
          <w:spacing w:val="70"/>
          <w:w w:val="101"/>
        </w:rPr>
        <w:t xml:space="preserve"> </w:t>
      </w:r>
      <w:r>
        <w:rPr>
          <w:rFonts w:ascii="SimSun" w:hAnsi="SimSun" w:eastAsia="SimSun" w:cs="SimSun"/>
          <w:sz w:val="23"/>
          <w:szCs w:val="23"/>
          <w:spacing w:val="4"/>
        </w:rPr>
        <w:t>利润在保单生命周期内逐步释放的概念示意</w:t>
      </w:r>
    </w:p>
    <w:p>
      <w:pPr>
        <w:pStyle w:val="BodyText"/>
        <w:spacing w:line="278" w:lineRule="auto"/>
        <w:rPr/>
      </w:pPr>
      <w:r/>
    </w:p>
    <w:p>
      <w:pPr>
        <w:pStyle w:val="BodyText"/>
        <w:spacing w:line="278" w:lineRule="auto"/>
        <w:rPr/>
      </w:pPr>
      <w:r/>
    </w:p>
    <w:p>
      <w:pPr>
        <w:ind w:firstLine="479"/>
        <w:spacing w:before="75" w:line="288" w:lineRule="auto"/>
        <w:jc w:val="both"/>
        <w:rPr>
          <w:rFonts w:ascii="SimSun" w:hAnsi="SimSun" w:eastAsia="SimSun" w:cs="SimSun"/>
          <w:sz w:val="23"/>
          <w:szCs w:val="23"/>
        </w:rPr>
      </w:pPr>
      <w:r>
        <w:rPr>
          <w:rFonts w:ascii="SimSun" w:hAnsi="SimSun" w:eastAsia="SimSun" w:cs="SimSun"/>
          <w:sz w:val="23"/>
          <w:szCs w:val="23"/>
          <w:spacing w:val="3"/>
        </w:rPr>
        <w:t>利润测试的结果不应被理解为静态数字，</w:t>
      </w:r>
      <w:r>
        <w:rPr>
          <w:rFonts w:ascii="SimSun" w:hAnsi="SimSun" w:eastAsia="SimSun" w:cs="SimSun"/>
          <w:sz w:val="23"/>
          <w:szCs w:val="23"/>
          <w:spacing w:val="78"/>
        </w:rPr>
        <w:t xml:space="preserve"> </w:t>
      </w:r>
      <w:r>
        <w:rPr>
          <w:rFonts w:ascii="SimSun" w:hAnsi="SimSun" w:eastAsia="SimSun" w:cs="SimSun"/>
          <w:sz w:val="23"/>
          <w:szCs w:val="23"/>
          <w:spacing w:val="3"/>
        </w:rPr>
        <w:t>而应与产品设计、费用安排、再保险策略</w:t>
      </w:r>
      <w:r>
        <w:rPr>
          <w:rFonts w:ascii="SimSun" w:hAnsi="SimSun" w:eastAsia="SimSun" w:cs="SimSun"/>
          <w:sz w:val="23"/>
          <w:szCs w:val="23"/>
          <w:spacing w:val="11"/>
        </w:rPr>
        <w:t>与资产配置形成联动，并在上线后通过经验分析持续验证与修正，从而形成闭环治理。</w:t>
      </w:r>
      <w:r>
        <w:rPr>
          <w:rFonts w:ascii="SimSun" w:hAnsi="SimSun" w:eastAsia="SimSun" w:cs="SimSun"/>
          <w:sz w:val="23"/>
          <w:szCs w:val="23"/>
          <w:spacing w:val="1"/>
        </w:rPr>
        <w:t>风险越高、结果对假设越敏感，</w:t>
      </w:r>
      <w:r>
        <w:rPr>
          <w:rFonts w:ascii="SimSun" w:hAnsi="SimSun" w:eastAsia="SimSun" w:cs="SimSun"/>
          <w:sz w:val="23"/>
          <w:szCs w:val="23"/>
          <w:spacing w:val="63"/>
        </w:rPr>
        <w:t xml:space="preserve"> </w:t>
      </w:r>
      <w:r>
        <w:rPr>
          <w:rFonts w:ascii="SimSun" w:hAnsi="SimSun" w:eastAsia="SimSun" w:cs="SimSun"/>
          <w:sz w:val="23"/>
          <w:szCs w:val="23"/>
          <w:spacing w:val="1"/>
        </w:rPr>
        <w:t>合理的利润边际要求越高， </w:t>
      </w:r>
      <w:r>
        <w:rPr>
          <w:rFonts w:ascii="SimSun" w:hAnsi="SimSun" w:eastAsia="SimSun" w:cs="SimSun"/>
          <w:sz w:val="23"/>
          <w:szCs w:val="23"/>
        </w:rPr>
        <w:t>以体现风险补偿的经济学逻</w:t>
      </w:r>
      <w:bookmarkStart w:name="bookmark25" w:id="42"/>
      <w:bookmarkEnd w:id="42"/>
      <w:r>
        <w:rPr>
          <w:rFonts w:ascii="SimSun" w:hAnsi="SimSun" w:eastAsia="SimSun" w:cs="SimSun"/>
          <w:sz w:val="23"/>
          <w:szCs w:val="23"/>
          <w:spacing w:val="4"/>
        </w:rPr>
        <w:t>辑并满足资本约束要求。</w:t>
      </w:r>
    </w:p>
    <w:p>
      <w:pPr>
        <w:spacing w:line="288" w:lineRule="auto"/>
        <w:sectPr>
          <w:footerReference w:type="default" r:id="rId16"/>
          <w:pgSz w:w="11906" w:h="16838"/>
          <w:pgMar w:top="400" w:right="1302" w:bottom="980" w:left="1425" w:header="0" w:footer="769" w:gutter="0"/>
        </w:sectPr>
        <w:rPr>
          <w:rFonts w:ascii="SimSun" w:hAnsi="SimSun" w:eastAsia="SimSun" w:cs="SimSun"/>
          <w:sz w:val="23"/>
          <w:szCs w:val="23"/>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13"/>
        <w:spacing w:before="75" w:line="228" w:lineRule="auto"/>
        <w:outlineLvl w:val="3"/>
        <w:rPr>
          <w:rFonts w:ascii="SimHei" w:hAnsi="SimHei" w:eastAsia="SimHei" w:cs="SimHei"/>
          <w:sz w:val="23"/>
          <w:szCs w:val="23"/>
        </w:rPr>
      </w:pPr>
      <w:bookmarkStart w:name="bookmark64" w:id="43"/>
      <w:bookmarkEnd w:id="43"/>
      <w:r>
        <w:rPr>
          <w:rFonts w:ascii="Times New Roman" w:hAnsi="Times New Roman" w:eastAsia="Times New Roman" w:cs="Times New Roman"/>
          <w:sz w:val="23"/>
          <w:szCs w:val="23"/>
          <w:b/>
          <w:bCs/>
          <w:spacing w:val="10"/>
        </w:rPr>
        <w:t>1.4.2.5    </w:t>
      </w:r>
      <w:r>
        <w:rPr>
          <w:rFonts w:ascii="SimHei" w:hAnsi="SimHei" w:eastAsia="SimHei" w:cs="SimHei"/>
          <w:sz w:val="23"/>
          <w:szCs w:val="23"/>
          <w:spacing w:val="10"/>
        </w:rPr>
        <w:t>产品定价的流程与跨</w:t>
      </w:r>
      <w:r>
        <w:rPr>
          <w:rFonts w:ascii="SimHei" w:hAnsi="SimHei" w:eastAsia="SimHei" w:cs="SimHei"/>
          <w:sz w:val="23"/>
          <w:szCs w:val="23"/>
          <w:spacing w:val="9"/>
        </w:rPr>
        <w:t>部门协作</w:t>
      </w:r>
    </w:p>
    <w:p>
      <w:pPr>
        <w:ind w:left="2" w:right="114" w:firstLine="482"/>
        <w:spacing w:before="239" w:line="289" w:lineRule="auto"/>
        <w:rPr>
          <w:rFonts w:ascii="SimSun" w:hAnsi="SimSun" w:eastAsia="SimSun" w:cs="SimSun"/>
          <w:sz w:val="23"/>
          <w:szCs w:val="23"/>
        </w:rPr>
      </w:pPr>
      <w:r>
        <w:rPr>
          <w:rFonts w:ascii="SimSun" w:hAnsi="SimSun" w:eastAsia="SimSun" w:cs="SimSun"/>
          <w:sz w:val="23"/>
          <w:szCs w:val="23"/>
          <w:spacing w:val="3"/>
        </w:rPr>
        <w:t>定价工作具有显著的跨部门协作特征，</w:t>
      </w:r>
      <w:r>
        <w:rPr>
          <w:rFonts w:ascii="SimSun" w:hAnsi="SimSun" w:eastAsia="SimSun" w:cs="SimSun"/>
          <w:sz w:val="23"/>
          <w:szCs w:val="23"/>
          <w:spacing w:val="73"/>
        </w:rPr>
        <w:t xml:space="preserve"> </w:t>
      </w:r>
      <w:r>
        <w:rPr>
          <w:rFonts w:ascii="SimSun" w:hAnsi="SimSun" w:eastAsia="SimSun" w:cs="SimSun"/>
          <w:sz w:val="23"/>
          <w:szCs w:val="23"/>
          <w:spacing w:val="3"/>
        </w:rPr>
        <w:t>通常与产品开发、系统实现、渠道策略与合</w:t>
      </w:r>
      <w:r>
        <w:rPr>
          <w:rFonts w:ascii="SimSun" w:hAnsi="SimSun" w:eastAsia="SimSun" w:cs="SimSun"/>
          <w:sz w:val="23"/>
          <w:szCs w:val="23"/>
          <w:spacing w:val="4"/>
        </w:rPr>
        <w:t>规报批形成链式流程。</w:t>
      </w:r>
    </w:p>
    <w:p>
      <w:pPr>
        <w:ind w:left="2670"/>
        <w:spacing w:before="172" w:line="225" w:lineRule="auto"/>
        <w:rPr>
          <w:rFonts w:ascii="SimSun" w:hAnsi="SimSun" w:eastAsia="SimSun" w:cs="SimSun"/>
          <w:sz w:val="23"/>
          <w:szCs w:val="23"/>
        </w:rPr>
      </w:pPr>
      <w:r>
        <w:rPr>
          <w:rFonts w:ascii="SimSun" w:hAnsi="SimSun" w:eastAsia="SimSun" w:cs="SimSun"/>
          <w:sz w:val="23"/>
          <w:szCs w:val="23"/>
          <w:spacing w:val="4"/>
        </w:rPr>
        <w:t>表 </w:t>
      </w:r>
      <w:r>
        <w:rPr>
          <w:rFonts w:ascii="Times New Roman" w:hAnsi="Times New Roman" w:eastAsia="Times New Roman" w:cs="Times New Roman"/>
          <w:sz w:val="23"/>
          <w:szCs w:val="23"/>
          <w:spacing w:val="4"/>
        </w:rPr>
        <w:t>1.9:</w:t>
      </w:r>
      <w:r>
        <w:rPr>
          <w:rFonts w:ascii="Times New Roman" w:hAnsi="Times New Roman" w:eastAsia="Times New Roman" w:cs="Times New Roman"/>
          <w:sz w:val="23"/>
          <w:szCs w:val="23"/>
          <w:spacing w:val="59"/>
        </w:rPr>
        <w:t xml:space="preserve"> </w:t>
      </w:r>
      <w:r>
        <w:rPr>
          <w:rFonts w:ascii="SimSun" w:hAnsi="SimSun" w:eastAsia="SimSun" w:cs="SimSun"/>
          <w:sz w:val="23"/>
          <w:szCs w:val="23"/>
          <w:spacing w:val="4"/>
        </w:rPr>
        <w:t>产品定价与开发的典型流程</w:t>
      </w:r>
    </w:p>
    <w:p>
      <w:pPr>
        <w:spacing w:line="210" w:lineRule="exact"/>
        <w:rPr/>
      </w:pPr>
      <w:r/>
    </w:p>
    <w:tbl>
      <w:tblPr>
        <w:tblStyle w:val="TableNormal"/>
        <w:tblW w:w="8823" w:type="dxa"/>
        <w:tblInd w:w="11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05"/>
        <w:gridCol w:w="7318"/>
      </w:tblGrid>
      <w:tr>
        <w:trPr>
          <w:trHeight w:val="475" w:hRule="atLeast"/>
        </w:trPr>
        <w:tc>
          <w:tcPr>
            <w:tcW w:w="1505" w:type="dxa"/>
            <w:vAlign w:val="top"/>
            <w:tcBorders>
              <w:bottom w:val="single" w:color="000000" w:sz="4" w:space="0"/>
              <w:top w:val="single" w:color="000000" w:sz="6" w:space="0"/>
            </w:tcBorders>
          </w:tcPr>
          <w:p>
            <w:pPr>
              <w:pStyle w:val="TableText"/>
              <w:ind w:left="128"/>
              <w:spacing w:before="116" w:line="228" w:lineRule="auto"/>
              <w:rPr/>
            </w:pPr>
            <w:r>
              <w:rPr>
                <w:spacing w:val="4"/>
              </w:rPr>
              <w:t>环节</w:t>
            </w:r>
          </w:p>
        </w:tc>
        <w:tc>
          <w:tcPr>
            <w:tcW w:w="7318" w:type="dxa"/>
            <w:vAlign w:val="top"/>
            <w:tcBorders>
              <w:bottom w:val="single" w:color="000000" w:sz="4" w:space="0"/>
              <w:top w:val="single" w:color="000000" w:sz="6" w:space="0"/>
            </w:tcBorders>
          </w:tcPr>
          <w:p>
            <w:pPr>
              <w:pStyle w:val="TableText"/>
              <w:ind w:left="135"/>
              <w:spacing w:before="116" w:line="227" w:lineRule="auto"/>
              <w:rPr/>
            </w:pPr>
            <w:r>
              <w:rPr>
                <w:spacing w:val="7"/>
              </w:rPr>
              <w:t>核心工作内容</w:t>
            </w:r>
          </w:p>
        </w:tc>
      </w:tr>
      <w:tr>
        <w:trPr>
          <w:trHeight w:val="4412" w:hRule="atLeast"/>
        </w:trPr>
        <w:tc>
          <w:tcPr>
            <w:tcW w:w="1505" w:type="dxa"/>
            <w:vAlign w:val="top"/>
            <w:tcBorders>
              <w:top w:val="single" w:color="000000" w:sz="4" w:space="0"/>
              <w:bottom w:val="single" w:color="000000" w:sz="6" w:space="0"/>
            </w:tcBorders>
          </w:tcPr>
          <w:p>
            <w:pPr>
              <w:pStyle w:val="TableText"/>
              <w:ind w:left="142"/>
              <w:spacing w:before="109" w:line="228" w:lineRule="auto"/>
              <w:rPr/>
            </w:pPr>
            <w:r>
              <w:rPr>
                <w:spacing w:val="4"/>
              </w:rPr>
              <w:t>需求与方案</w:t>
            </w:r>
          </w:p>
          <w:p>
            <w:pPr>
              <w:spacing w:line="356" w:lineRule="auto"/>
              <w:rPr>
                <w:rFonts w:ascii="Arial"/>
                <w:sz w:val="21"/>
              </w:rPr>
            </w:pPr>
            <w:r/>
          </w:p>
          <w:p>
            <w:pPr>
              <w:pStyle w:val="TableText"/>
              <w:ind w:left="142"/>
              <w:spacing w:before="75" w:line="227" w:lineRule="auto"/>
              <w:rPr/>
            </w:pPr>
            <w:r>
              <w:rPr>
                <w:spacing w:val="3"/>
              </w:rPr>
              <w:t>费率厘定</w:t>
            </w:r>
          </w:p>
          <w:p>
            <w:pPr>
              <w:spacing w:line="356" w:lineRule="auto"/>
              <w:rPr>
                <w:rFonts w:ascii="Arial"/>
                <w:sz w:val="21"/>
              </w:rPr>
            </w:pPr>
            <w:r/>
          </w:p>
          <w:p>
            <w:pPr>
              <w:pStyle w:val="TableText"/>
              <w:ind w:left="129"/>
              <w:spacing w:before="75" w:line="228" w:lineRule="auto"/>
              <w:rPr/>
            </w:pPr>
            <w:r>
              <w:rPr>
                <w:spacing w:val="6"/>
              </w:rPr>
              <w:t>利润测试</w:t>
            </w:r>
          </w:p>
          <w:p>
            <w:pPr>
              <w:spacing w:line="356" w:lineRule="auto"/>
              <w:rPr>
                <w:rFonts w:ascii="Arial"/>
                <w:sz w:val="21"/>
              </w:rPr>
            </w:pPr>
            <w:r/>
          </w:p>
          <w:p>
            <w:pPr>
              <w:pStyle w:val="TableText"/>
              <w:ind w:left="130" w:right="115" w:firstLine="2"/>
              <w:spacing w:before="74" w:line="288" w:lineRule="auto"/>
              <w:rPr/>
            </w:pPr>
            <w:r>
              <w:rPr>
                <w:spacing w:val="21"/>
              </w:rPr>
              <w:t>系统与运营</w:t>
            </w:r>
            <w:r>
              <w:rPr>
                <w:spacing w:val="3"/>
              </w:rPr>
              <w:t>准备</w:t>
            </w:r>
          </w:p>
          <w:p>
            <w:pPr>
              <w:pStyle w:val="TableText"/>
              <w:ind w:left="129"/>
              <w:spacing w:before="1" w:line="226" w:lineRule="auto"/>
              <w:rPr/>
            </w:pPr>
            <w:r>
              <w:rPr>
                <w:spacing w:val="7"/>
              </w:rPr>
              <w:t>合规与报批</w:t>
            </w:r>
          </w:p>
          <w:p>
            <w:pPr>
              <w:spacing w:line="356" w:lineRule="auto"/>
              <w:rPr>
                <w:rFonts w:ascii="Arial"/>
                <w:sz w:val="21"/>
              </w:rPr>
            </w:pPr>
            <w:r/>
          </w:p>
          <w:p>
            <w:pPr>
              <w:pStyle w:val="TableText"/>
              <w:ind w:left="130"/>
              <w:spacing w:before="76" w:line="228" w:lineRule="auto"/>
              <w:rPr/>
            </w:pPr>
            <w:r>
              <w:rPr>
                <w:spacing w:val="6"/>
              </w:rPr>
              <w:t>上线与跟踪</w:t>
            </w:r>
          </w:p>
        </w:tc>
        <w:tc>
          <w:tcPr>
            <w:tcW w:w="7318" w:type="dxa"/>
            <w:vAlign w:val="top"/>
            <w:tcBorders>
              <w:top w:val="single" w:color="000000" w:sz="4" w:space="0"/>
              <w:bottom w:val="single" w:color="000000" w:sz="6" w:space="0"/>
            </w:tcBorders>
          </w:tcPr>
          <w:p>
            <w:pPr>
              <w:pStyle w:val="TableText"/>
              <w:ind w:left="133" w:right="119" w:hanging="1"/>
              <w:spacing w:before="109" w:line="288" w:lineRule="auto"/>
              <w:rPr/>
            </w:pPr>
            <w:r>
              <w:rPr>
                <w:spacing w:val="11"/>
              </w:rPr>
              <w:t>基于市场需求与保障缺口识别产品开发方向，</w:t>
            </w:r>
            <w:r>
              <w:rPr>
                <w:spacing w:val="-40"/>
              </w:rPr>
              <w:t xml:space="preserve"> </w:t>
            </w:r>
            <w:r>
              <w:rPr>
                <w:spacing w:val="11"/>
              </w:rPr>
              <w:t>明确保险责任与目标</w:t>
            </w:r>
            <w:r>
              <w:rPr>
                <w:spacing w:val="5"/>
              </w:rPr>
              <w:t>客户群体，形成产品设计方案。</w:t>
            </w:r>
          </w:p>
          <w:p>
            <w:pPr>
              <w:pStyle w:val="TableText"/>
              <w:ind w:left="135" w:right="4"/>
              <w:spacing w:before="1" w:line="287" w:lineRule="auto"/>
              <w:rPr/>
            </w:pPr>
            <w:r>
              <w:rPr>
                <w:spacing w:val="9"/>
              </w:rPr>
              <w:t>设定发生率、利率与附加费用率等定价假设，建立现金流测算框架，</w:t>
            </w:r>
            <w:r>
              <w:rPr>
                <w:spacing w:val="6"/>
              </w:rPr>
              <w:t>形成初步费率方案并完成合理性论证。</w:t>
            </w:r>
          </w:p>
          <w:p>
            <w:pPr>
              <w:pStyle w:val="TableText"/>
              <w:ind w:left="135" w:right="119" w:hanging="4"/>
              <w:spacing w:before="1" w:line="287" w:lineRule="auto"/>
              <w:rPr/>
            </w:pPr>
            <w:r>
              <w:rPr>
                <w:spacing w:val="13"/>
              </w:rPr>
              <w:t>在目标利润与资本约束下进行敏感性与不利情景测试，评估盈利能</w:t>
            </w:r>
            <w:r>
              <w:rPr>
                <w:spacing w:val="7"/>
              </w:rPr>
              <w:t>力与风险暴露，必要时反向优化条款、费率或费用安排。</w:t>
            </w:r>
          </w:p>
          <w:p>
            <w:pPr>
              <w:pStyle w:val="TableText"/>
              <w:ind w:left="134" w:right="119" w:hanging="2"/>
              <w:spacing w:before="2" w:line="287" w:lineRule="auto"/>
              <w:rPr/>
            </w:pPr>
            <w:r>
              <w:rPr>
                <w:spacing w:val="2"/>
              </w:rPr>
              <w:t>信息技术部门实现系统配置与计算逻辑， </w:t>
            </w:r>
            <w:r>
              <w:rPr>
                <w:spacing w:val="1"/>
              </w:rPr>
              <w:t>运营部门准备核保、保全与</w:t>
            </w:r>
            <w:r>
              <w:rPr>
                <w:spacing w:val="5"/>
              </w:rPr>
              <w:t>理赔规则，形成可执行的运营方案。</w:t>
            </w:r>
          </w:p>
          <w:p>
            <w:pPr>
              <w:pStyle w:val="TableText"/>
              <w:ind w:left="132" w:right="119" w:firstLine="1"/>
              <w:spacing w:before="2" w:line="287" w:lineRule="auto"/>
              <w:rPr/>
            </w:pPr>
            <w:r>
              <w:rPr>
                <w:spacing w:val="1"/>
              </w:rPr>
              <w:t>完成材料审核与合规评估，</w:t>
            </w:r>
            <w:r>
              <w:rPr>
                <w:spacing w:val="-50"/>
              </w:rPr>
              <w:t xml:space="preserve"> </w:t>
            </w:r>
            <w:r>
              <w:rPr>
                <w:spacing w:val="1"/>
              </w:rPr>
              <w:t>按监管要求进行报备或报批，</w:t>
            </w:r>
            <w:r>
              <w:rPr>
                <w:spacing w:val="-47"/>
              </w:rPr>
              <w:t xml:space="preserve"> </w:t>
            </w:r>
            <w:r>
              <w:rPr>
                <w:spacing w:val="1"/>
              </w:rPr>
              <w:t>确保定价口</w:t>
            </w:r>
            <w:r>
              <w:rPr>
                <w:spacing w:val="4"/>
              </w:rPr>
              <w:t>径与披露信息一致。</w:t>
            </w:r>
          </w:p>
          <w:p>
            <w:pPr>
              <w:pStyle w:val="TableText"/>
              <w:ind w:left="134" w:right="119" w:hanging="2"/>
              <w:spacing w:before="1" w:line="283" w:lineRule="auto"/>
              <w:rPr/>
            </w:pPr>
            <w:r>
              <w:rPr/>
              <w:t>产品上线后持续跟踪销售、赔付、退保与费用等经验指标，</w:t>
            </w:r>
            <w:r>
              <w:rPr>
                <w:spacing w:val="50"/>
              </w:rPr>
              <w:t xml:space="preserve"> </w:t>
            </w:r>
            <w:r>
              <w:rPr/>
              <w:t>结合经验</w:t>
            </w:r>
            <w:r>
              <w:rPr>
                <w:spacing w:val="5"/>
              </w:rPr>
              <w:t>分析对假设与策略进行反馈优化。</w:t>
            </w:r>
          </w:p>
        </w:tc>
      </w:tr>
    </w:tbl>
    <w:p>
      <w:pPr>
        <w:pStyle w:val="BodyText"/>
        <w:spacing w:line="469" w:lineRule="auto"/>
        <w:rPr/>
      </w:pPr>
      <w:r/>
    </w:p>
    <w:p>
      <w:pPr>
        <w:ind w:left="17"/>
        <w:spacing w:before="91" w:line="226" w:lineRule="auto"/>
        <w:outlineLvl w:val="2"/>
        <w:rPr>
          <w:rFonts w:ascii="SimHei" w:hAnsi="SimHei" w:eastAsia="SimHei" w:cs="SimHei"/>
          <w:sz w:val="28"/>
          <w:szCs w:val="28"/>
        </w:rPr>
      </w:pPr>
      <w:bookmarkStart w:name="bookmark26" w:id="44"/>
      <w:bookmarkEnd w:id="44"/>
      <w:bookmarkStart w:name="bookmark27" w:id="45"/>
      <w:bookmarkEnd w:id="45"/>
      <w:r>
        <w:rPr>
          <w:rFonts w:ascii="Times New Roman" w:hAnsi="Times New Roman" w:eastAsia="Times New Roman" w:cs="Times New Roman"/>
          <w:sz w:val="28"/>
          <w:szCs w:val="28"/>
          <w:b/>
          <w:bCs/>
          <w:spacing w:val="10"/>
        </w:rPr>
        <w:t>1.4.3</w:t>
      </w:r>
      <w:r>
        <w:rPr>
          <w:rFonts w:ascii="Times New Roman" w:hAnsi="Times New Roman" w:eastAsia="Times New Roman" w:cs="Times New Roman"/>
          <w:sz w:val="28"/>
          <w:szCs w:val="28"/>
          <w:b/>
          <w:bCs/>
          <w:spacing w:val="5"/>
        </w:rPr>
        <w:t xml:space="preserve">    </w:t>
      </w:r>
      <w:r>
        <w:rPr>
          <w:rFonts w:ascii="SimHei" w:hAnsi="SimHei" w:eastAsia="SimHei" w:cs="SimHei"/>
          <w:sz w:val="28"/>
          <w:szCs w:val="28"/>
          <w:spacing w:val="10"/>
        </w:rPr>
        <w:t>精算评估</w:t>
      </w:r>
    </w:p>
    <w:p>
      <w:pPr>
        <w:ind w:left="13"/>
        <w:spacing w:before="267" w:line="228" w:lineRule="auto"/>
        <w:outlineLvl w:val="3"/>
        <w:rPr>
          <w:rFonts w:ascii="SimHei" w:hAnsi="SimHei" w:eastAsia="SimHei" w:cs="SimHei"/>
          <w:sz w:val="23"/>
          <w:szCs w:val="23"/>
        </w:rPr>
      </w:pPr>
      <w:bookmarkStart w:name="bookmark65" w:id="46"/>
      <w:bookmarkEnd w:id="46"/>
      <w:r>
        <w:rPr>
          <w:rFonts w:ascii="Times New Roman" w:hAnsi="Times New Roman" w:eastAsia="Times New Roman" w:cs="Times New Roman"/>
          <w:sz w:val="23"/>
          <w:szCs w:val="23"/>
          <w:b/>
          <w:bCs/>
          <w:spacing w:val="10"/>
        </w:rPr>
        <w:t>1.4.3.1    </w:t>
      </w:r>
      <w:r>
        <w:rPr>
          <w:rFonts w:ascii="SimHei" w:hAnsi="SimHei" w:eastAsia="SimHei" w:cs="SimHei"/>
          <w:sz w:val="23"/>
          <w:szCs w:val="23"/>
          <w:spacing w:val="10"/>
        </w:rPr>
        <w:t>准备金的性质与分类</w:t>
      </w:r>
    </w:p>
    <w:p>
      <w:pPr>
        <w:ind w:left="2" w:firstLine="477"/>
        <w:spacing w:before="236" w:line="289" w:lineRule="auto"/>
        <w:jc w:val="both"/>
        <w:rPr>
          <w:rFonts w:ascii="SimSun" w:hAnsi="SimSun" w:eastAsia="SimSun" w:cs="SimSun"/>
          <w:sz w:val="23"/>
          <w:szCs w:val="23"/>
        </w:rPr>
      </w:pPr>
      <w:r>
        <w:rPr>
          <w:rFonts w:ascii="SimSun" w:hAnsi="SimSun" w:eastAsia="SimSun" w:cs="SimSun"/>
          <w:sz w:val="23"/>
          <w:szCs w:val="23"/>
          <w:spacing w:val="15"/>
        </w:rPr>
        <w:t>精算评估是保险公司在特定评估时点对其承担的保险责任所形成的负债进行计量</w:t>
      </w:r>
      <w:r>
        <w:rPr>
          <w:rFonts w:ascii="SimSun" w:hAnsi="SimSun" w:eastAsia="SimSun" w:cs="SimSun"/>
          <w:sz w:val="23"/>
          <w:szCs w:val="23"/>
          <w:spacing w:val="5"/>
        </w:rPr>
        <w:t>与分析的工作，核心是准备金的计提与评估。准备金在会计意义上反映由过去事项形成、</w:t>
      </w:r>
      <w:r>
        <w:rPr>
          <w:rFonts w:ascii="SimSun" w:hAnsi="SimSun" w:eastAsia="SimSun" w:cs="SimSun"/>
          <w:sz w:val="23"/>
          <w:szCs w:val="23"/>
          <w:spacing w:val="2"/>
        </w:rPr>
        <w:t>预期将导致经济利益流出的现时义务；</w:t>
      </w:r>
      <w:r>
        <w:rPr>
          <w:rFonts w:ascii="SimSun" w:hAnsi="SimSun" w:eastAsia="SimSun" w:cs="SimSun"/>
          <w:sz w:val="23"/>
          <w:szCs w:val="23"/>
          <w:spacing w:val="61"/>
        </w:rPr>
        <w:t xml:space="preserve"> </w:t>
      </w:r>
      <w:r>
        <w:rPr>
          <w:rFonts w:ascii="SimSun" w:hAnsi="SimSun" w:eastAsia="SimSun" w:cs="SimSun"/>
          <w:sz w:val="23"/>
          <w:szCs w:val="23"/>
          <w:spacing w:val="2"/>
        </w:rPr>
        <w:t>对保险公司而言，</w:t>
      </w:r>
      <w:r>
        <w:rPr>
          <w:rFonts w:ascii="SimSun" w:hAnsi="SimSun" w:eastAsia="SimSun" w:cs="SimSun"/>
          <w:sz w:val="23"/>
          <w:szCs w:val="23"/>
          <w:spacing w:val="-47"/>
        </w:rPr>
        <w:t xml:space="preserve"> </w:t>
      </w:r>
      <w:r>
        <w:rPr>
          <w:rFonts w:ascii="SimSun" w:hAnsi="SimSun" w:eastAsia="SimSun" w:cs="SimSun"/>
          <w:sz w:val="23"/>
          <w:szCs w:val="23"/>
          <w:spacing w:val="2"/>
        </w:rPr>
        <w:t>准备金是为应对未来保险责任</w:t>
      </w:r>
      <w:r>
        <w:rPr>
          <w:rFonts w:ascii="SimSun" w:hAnsi="SimSun" w:eastAsia="SimSun" w:cs="SimSun"/>
          <w:sz w:val="23"/>
          <w:szCs w:val="23"/>
          <w:spacing w:val="7"/>
        </w:rPr>
        <w:t>而计提的资金，构成保险公司负债计量中最重要的部分。</w:t>
      </w:r>
    </w:p>
    <w:p>
      <w:pPr>
        <w:ind w:right="114" w:firstLine="482"/>
        <w:spacing w:before="3" w:line="288" w:lineRule="auto"/>
        <w:jc w:val="both"/>
        <w:rPr>
          <w:rFonts w:ascii="SimSun" w:hAnsi="SimSun" w:eastAsia="SimSun" w:cs="SimSun"/>
          <w:sz w:val="23"/>
          <w:szCs w:val="23"/>
        </w:rPr>
      </w:pPr>
      <w:r>
        <w:rPr>
          <w:rFonts w:ascii="SimSun" w:hAnsi="SimSun" w:eastAsia="SimSun" w:cs="SimSun"/>
          <w:sz w:val="23"/>
          <w:szCs w:val="23"/>
          <w:spacing w:val="8"/>
        </w:rPr>
        <w:t>准备金通常分为未到期责任准备金与未决赔款准备金两大类。未到期责任准备金针</w:t>
      </w:r>
      <w:r>
        <w:rPr>
          <w:rFonts w:ascii="SimSun" w:hAnsi="SimSun" w:eastAsia="SimSun" w:cs="SimSun"/>
          <w:sz w:val="23"/>
          <w:szCs w:val="23"/>
          <w:spacing w:val="4"/>
        </w:rPr>
        <w:t>对评估时点之后预期未来可能发生的保险事故及相关现金流形成的负债，</w:t>
      </w:r>
      <w:r>
        <w:rPr>
          <w:rFonts w:ascii="SimSun" w:hAnsi="SimSun" w:eastAsia="SimSun" w:cs="SimSun"/>
          <w:sz w:val="23"/>
          <w:szCs w:val="23"/>
          <w:spacing w:val="55"/>
        </w:rPr>
        <w:t xml:space="preserve"> </w:t>
      </w:r>
      <w:r>
        <w:rPr>
          <w:rFonts w:ascii="SimSun" w:hAnsi="SimSun" w:eastAsia="SimSun" w:cs="SimSun"/>
          <w:sz w:val="23"/>
          <w:szCs w:val="23"/>
          <w:spacing w:val="4"/>
        </w:rPr>
        <w:t>反映尚未发生</w:t>
      </w:r>
      <w:r>
        <w:rPr>
          <w:rFonts w:ascii="SimSun" w:hAnsi="SimSun" w:eastAsia="SimSun" w:cs="SimSun"/>
          <w:sz w:val="23"/>
          <w:szCs w:val="23"/>
          <w:spacing w:val="5"/>
        </w:rPr>
        <w:t>但未来可能发生的保险责任； 未决赔款准备金针对评估时点之前已经发生保险事故但尚</w:t>
      </w:r>
      <w:r>
        <w:rPr>
          <w:rFonts w:ascii="SimSun" w:hAnsi="SimSun" w:eastAsia="SimSun" w:cs="SimSun"/>
          <w:sz w:val="23"/>
          <w:szCs w:val="23"/>
          <w:spacing w:val="4"/>
        </w:rPr>
        <w:t>未报案、或虽已报案但尚未结案、或已结案但尚未支付等情形形成的</w:t>
      </w:r>
      <w:r>
        <w:rPr>
          <w:rFonts w:ascii="SimSun" w:hAnsi="SimSun" w:eastAsia="SimSun" w:cs="SimSun"/>
          <w:sz w:val="23"/>
          <w:szCs w:val="23"/>
          <w:spacing w:val="3"/>
        </w:rPr>
        <w:t>负债，</w:t>
      </w:r>
      <w:r>
        <w:rPr>
          <w:rFonts w:ascii="SimSun" w:hAnsi="SimSun" w:eastAsia="SimSun" w:cs="SimSun"/>
          <w:sz w:val="23"/>
          <w:szCs w:val="23"/>
          <w:spacing w:val="63"/>
        </w:rPr>
        <w:t xml:space="preserve"> </w:t>
      </w:r>
      <w:r>
        <w:rPr>
          <w:rFonts w:ascii="SimSun" w:hAnsi="SimSun" w:eastAsia="SimSun" w:cs="SimSun"/>
          <w:sz w:val="23"/>
          <w:szCs w:val="23"/>
          <w:spacing w:val="3"/>
        </w:rPr>
        <w:t>反映已发生</w:t>
      </w:r>
      <w:r>
        <w:rPr>
          <w:rFonts w:ascii="SimSun" w:hAnsi="SimSun" w:eastAsia="SimSun" w:cs="SimSun"/>
          <w:sz w:val="23"/>
          <w:szCs w:val="23"/>
          <w:spacing w:val="8"/>
        </w:rPr>
        <w:t>但尚未处理完毕的责任。未决赔款准备金进一步可分为事故已发生未报案准备金、已报</w:t>
      </w:r>
      <w:r>
        <w:rPr>
          <w:rFonts w:ascii="SimSun" w:hAnsi="SimSun" w:eastAsia="SimSun" w:cs="SimSun"/>
          <w:sz w:val="23"/>
          <w:szCs w:val="23"/>
          <w:spacing w:val="4"/>
        </w:rPr>
        <w:t>案未结案准备金以及已结案未支付准备金等构成，</w:t>
      </w:r>
      <w:r>
        <w:rPr>
          <w:rFonts w:ascii="SimSun" w:hAnsi="SimSun" w:eastAsia="SimSun" w:cs="SimSun"/>
          <w:sz w:val="23"/>
          <w:szCs w:val="23"/>
          <w:spacing w:val="55"/>
        </w:rPr>
        <w:t xml:space="preserve"> </w:t>
      </w:r>
      <w:r>
        <w:rPr>
          <w:rFonts w:ascii="SimSun" w:hAnsi="SimSun" w:eastAsia="SimSun" w:cs="SimSun"/>
          <w:sz w:val="23"/>
          <w:szCs w:val="23"/>
          <w:spacing w:val="4"/>
        </w:rPr>
        <w:t>用以刻画不同理赔处理阶段的责任状</w:t>
      </w:r>
      <w:bookmarkStart w:name="bookmark28" w:id="47"/>
      <w:bookmarkEnd w:id="47"/>
      <w:r>
        <w:rPr>
          <w:rFonts w:ascii="SimSun" w:hAnsi="SimSun" w:eastAsia="SimSun" w:cs="SimSun"/>
          <w:sz w:val="23"/>
          <w:szCs w:val="23"/>
          <w:spacing w:val="-2"/>
        </w:rPr>
        <w:t>态差异。</w:t>
      </w:r>
    </w:p>
    <w:p>
      <w:pPr>
        <w:pStyle w:val="BodyText"/>
        <w:spacing w:line="284" w:lineRule="auto"/>
        <w:rPr/>
      </w:pPr>
      <w:r/>
    </w:p>
    <w:p>
      <w:pPr>
        <w:ind w:left="13"/>
        <w:spacing w:before="75" w:line="229" w:lineRule="auto"/>
        <w:outlineLvl w:val="3"/>
        <w:rPr>
          <w:rFonts w:ascii="SimHei" w:hAnsi="SimHei" w:eastAsia="SimHei" w:cs="SimHei"/>
          <w:sz w:val="23"/>
          <w:szCs w:val="23"/>
        </w:rPr>
      </w:pPr>
      <w:bookmarkStart w:name="bookmark66" w:id="48"/>
      <w:bookmarkEnd w:id="48"/>
      <w:r>
        <w:rPr>
          <w:rFonts w:ascii="Times New Roman" w:hAnsi="Times New Roman" w:eastAsia="Times New Roman" w:cs="Times New Roman"/>
          <w:sz w:val="23"/>
          <w:szCs w:val="23"/>
          <w:b/>
          <w:bCs/>
          <w:spacing w:val="10"/>
        </w:rPr>
        <w:t>1.4.3.2    </w:t>
      </w:r>
      <w:r>
        <w:rPr>
          <w:rFonts w:ascii="SimHei" w:hAnsi="SimHei" w:eastAsia="SimHei" w:cs="SimHei"/>
          <w:sz w:val="23"/>
          <w:szCs w:val="23"/>
          <w:spacing w:val="10"/>
        </w:rPr>
        <w:t>精算评估的四项关键</w:t>
      </w:r>
      <w:r>
        <w:rPr>
          <w:rFonts w:ascii="SimHei" w:hAnsi="SimHei" w:eastAsia="SimHei" w:cs="SimHei"/>
          <w:sz w:val="23"/>
          <w:szCs w:val="23"/>
          <w:spacing w:val="9"/>
        </w:rPr>
        <w:t>要素</w:t>
      </w:r>
    </w:p>
    <w:p>
      <w:pPr>
        <w:ind w:left="1" w:right="114" w:firstLine="478"/>
        <w:spacing w:before="237" w:line="289" w:lineRule="auto"/>
        <w:rPr>
          <w:rFonts w:ascii="SimSun" w:hAnsi="SimSun" w:eastAsia="SimSun" w:cs="SimSun"/>
          <w:sz w:val="23"/>
          <w:szCs w:val="23"/>
        </w:rPr>
      </w:pPr>
      <w:r>
        <w:rPr>
          <w:rFonts w:ascii="SimSun" w:hAnsi="SimSun" w:eastAsia="SimSun" w:cs="SimSun"/>
          <w:sz w:val="23"/>
          <w:szCs w:val="23"/>
          <w:spacing w:val="3"/>
        </w:rPr>
        <w:t>精算评估可在框架上分解为四项关键要素：</w:t>
      </w:r>
      <w:r>
        <w:rPr>
          <w:rFonts w:ascii="SimSun" w:hAnsi="SimSun" w:eastAsia="SimSun" w:cs="SimSun"/>
          <w:sz w:val="23"/>
          <w:szCs w:val="23"/>
          <w:spacing w:val="79"/>
        </w:rPr>
        <w:t xml:space="preserve"> </w:t>
      </w:r>
      <w:r>
        <w:rPr>
          <w:rFonts w:ascii="SimSun" w:hAnsi="SimSun" w:eastAsia="SimSun" w:cs="SimSun"/>
          <w:sz w:val="23"/>
          <w:szCs w:val="23"/>
          <w:spacing w:val="3"/>
        </w:rPr>
        <w:t>评估时点、评估对象、评估模型与精算</w:t>
      </w:r>
      <w:r>
        <w:rPr>
          <w:rFonts w:ascii="SimSun" w:hAnsi="SimSun" w:eastAsia="SimSun" w:cs="SimSun"/>
          <w:sz w:val="23"/>
          <w:szCs w:val="23"/>
          <w:spacing w:val="7"/>
        </w:rPr>
        <w:t>假设。表</w:t>
      </w:r>
      <w:hyperlink w:history="true" w:anchor="bookmark67">
        <w:r>
          <w:rPr>
            <w:rFonts w:ascii="Times New Roman" w:hAnsi="Times New Roman" w:eastAsia="Times New Roman" w:cs="Times New Roman"/>
            <w:sz w:val="23"/>
            <w:szCs w:val="23"/>
            <w:spacing w:val="7"/>
          </w:rPr>
          <w:t>1.10</w:t>
        </w:r>
      </w:hyperlink>
      <w:r>
        <w:rPr>
          <w:rFonts w:ascii="SimSun" w:hAnsi="SimSun" w:eastAsia="SimSun" w:cs="SimSun"/>
          <w:sz w:val="23"/>
          <w:szCs w:val="23"/>
          <w:spacing w:val="7"/>
        </w:rPr>
        <w:t>对四项要素的要点进行归纳，便于理解评估工作的输入结构与治理重点。</w:t>
      </w:r>
    </w:p>
    <w:p>
      <w:pPr>
        <w:spacing w:line="289" w:lineRule="auto"/>
        <w:sectPr>
          <w:footerReference w:type="default" r:id="rId17"/>
          <w:pgSz w:w="11906" w:h="16838"/>
          <w:pgMar w:top="400" w:right="1302" w:bottom="980" w:left="1424" w:header="0" w:footer="767" w:gutter="0"/>
        </w:sectPr>
        <w:rPr>
          <w:rFonts w:ascii="SimSun" w:hAnsi="SimSun" w:eastAsia="SimSun" w:cs="SimSun"/>
          <w:sz w:val="23"/>
          <w:szCs w:val="23"/>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2734"/>
        <w:spacing w:before="75" w:line="225" w:lineRule="auto"/>
        <w:rPr>
          <w:rFonts w:ascii="SimSun" w:hAnsi="SimSun" w:eastAsia="SimSun" w:cs="SimSun"/>
          <w:sz w:val="23"/>
          <w:szCs w:val="23"/>
        </w:rPr>
      </w:pPr>
      <w:bookmarkStart w:name="bookmark67" w:id="49"/>
      <w:bookmarkEnd w:id="49"/>
      <w:r>
        <w:rPr>
          <w:rFonts w:ascii="SimSun" w:hAnsi="SimSun" w:eastAsia="SimSun" w:cs="SimSun"/>
          <w:sz w:val="23"/>
          <w:szCs w:val="23"/>
          <w:spacing w:val="3"/>
        </w:rPr>
        <w:t>表 </w:t>
      </w:r>
      <w:r>
        <w:rPr>
          <w:rFonts w:ascii="Times New Roman" w:hAnsi="Times New Roman" w:eastAsia="Times New Roman" w:cs="Times New Roman"/>
          <w:sz w:val="23"/>
          <w:szCs w:val="23"/>
          <w:spacing w:val="3"/>
        </w:rPr>
        <w:t>1.10:</w:t>
      </w:r>
      <w:r>
        <w:rPr>
          <w:rFonts w:ascii="Times New Roman" w:hAnsi="Times New Roman" w:eastAsia="Times New Roman" w:cs="Times New Roman"/>
          <w:sz w:val="23"/>
          <w:szCs w:val="23"/>
          <w:spacing w:val="70"/>
        </w:rPr>
        <w:t xml:space="preserve"> </w:t>
      </w:r>
      <w:r>
        <w:rPr>
          <w:rFonts w:ascii="SimSun" w:hAnsi="SimSun" w:eastAsia="SimSun" w:cs="SimSun"/>
          <w:sz w:val="23"/>
          <w:szCs w:val="23"/>
          <w:spacing w:val="3"/>
        </w:rPr>
        <w:t>精算评估的四项关键要素</w:t>
      </w:r>
    </w:p>
    <w:p>
      <w:pPr>
        <w:spacing w:line="210" w:lineRule="exact"/>
        <w:rPr/>
      </w:pPr>
      <w:r/>
    </w:p>
    <w:tbl>
      <w:tblPr>
        <w:tblStyle w:val="TableNormal"/>
        <w:tblW w:w="8823" w:type="dxa"/>
        <w:tblInd w:w="1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03"/>
        <w:gridCol w:w="7620"/>
      </w:tblGrid>
      <w:tr>
        <w:trPr>
          <w:trHeight w:val="475" w:hRule="atLeast"/>
        </w:trPr>
        <w:tc>
          <w:tcPr>
            <w:tcW w:w="1203" w:type="dxa"/>
            <w:vAlign w:val="top"/>
            <w:tcBorders>
              <w:bottom w:val="single" w:color="000000" w:sz="4" w:space="0"/>
              <w:top w:val="single" w:color="000000" w:sz="6" w:space="0"/>
            </w:tcBorders>
          </w:tcPr>
          <w:p>
            <w:pPr>
              <w:pStyle w:val="TableText"/>
              <w:ind w:left="129"/>
              <w:spacing w:before="116" w:line="227" w:lineRule="auto"/>
              <w:rPr/>
            </w:pPr>
            <w:r>
              <w:rPr>
                <w:spacing w:val="3"/>
              </w:rPr>
              <w:t>要素</w:t>
            </w:r>
          </w:p>
        </w:tc>
        <w:tc>
          <w:tcPr>
            <w:tcW w:w="7620" w:type="dxa"/>
            <w:vAlign w:val="top"/>
            <w:tcBorders>
              <w:bottom w:val="single" w:color="000000" w:sz="4" w:space="0"/>
              <w:top w:val="single" w:color="000000" w:sz="6" w:space="0"/>
            </w:tcBorders>
          </w:tcPr>
          <w:p>
            <w:pPr>
              <w:pStyle w:val="TableText"/>
              <w:ind w:left="617"/>
              <w:spacing w:before="116" w:line="227" w:lineRule="auto"/>
              <w:rPr/>
            </w:pPr>
            <w:r>
              <w:rPr>
                <w:spacing w:val="6"/>
              </w:rPr>
              <w:t>要点说明</w:t>
            </w:r>
          </w:p>
        </w:tc>
      </w:tr>
      <w:tr>
        <w:trPr>
          <w:trHeight w:val="762" w:hRule="atLeast"/>
        </w:trPr>
        <w:tc>
          <w:tcPr>
            <w:tcW w:w="1203" w:type="dxa"/>
            <w:vAlign w:val="top"/>
            <w:tcBorders>
              <w:top w:val="single" w:color="000000" w:sz="4" w:space="0"/>
            </w:tcBorders>
          </w:tcPr>
          <w:p>
            <w:pPr>
              <w:pStyle w:val="TableText"/>
              <w:ind w:left="140"/>
              <w:spacing w:before="110" w:line="229" w:lineRule="auto"/>
              <w:rPr/>
            </w:pPr>
            <w:r>
              <w:rPr>
                <w:spacing w:val="-1"/>
              </w:rPr>
              <w:t>时间</w:t>
            </w:r>
          </w:p>
        </w:tc>
        <w:tc>
          <w:tcPr>
            <w:tcW w:w="7620" w:type="dxa"/>
            <w:vAlign w:val="top"/>
            <w:tcBorders>
              <w:top w:val="single" w:color="000000" w:sz="4" w:space="0"/>
            </w:tcBorders>
          </w:tcPr>
          <w:p>
            <w:pPr>
              <w:pStyle w:val="TableText"/>
              <w:ind w:right="4"/>
              <w:spacing w:before="110" w:line="225" w:lineRule="auto"/>
              <w:jc w:val="right"/>
              <w:rPr/>
            </w:pPr>
            <w:r>
              <w:rPr/>
              <w:t>评估时点决定计量口径与期间归属，</w:t>
            </w:r>
            <w:r>
              <w:rPr>
                <w:spacing w:val="-16"/>
              </w:rPr>
              <w:t xml:space="preserve"> </w:t>
            </w:r>
            <w:r>
              <w:rPr/>
              <w:t>常见包括月末、季末与年末等。</w:t>
            </w:r>
          </w:p>
          <w:p>
            <w:pPr>
              <w:pStyle w:val="TableText"/>
              <w:ind w:right="4"/>
              <w:spacing w:before="78" w:line="225" w:lineRule="auto"/>
              <w:jc w:val="right"/>
              <w:rPr/>
            </w:pPr>
            <w:r>
              <w:rPr>
                <w:spacing w:val="3"/>
              </w:rPr>
              <w:t>评估频率提升时，对数据流程、模型效率与复核机制要求显著提高。</w:t>
            </w:r>
          </w:p>
        </w:tc>
      </w:tr>
      <w:tr>
        <w:trPr>
          <w:trHeight w:val="1071" w:hRule="atLeast"/>
        </w:trPr>
        <w:tc>
          <w:tcPr>
            <w:tcW w:w="1203" w:type="dxa"/>
            <w:vAlign w:val="top"/>
          </w:tcPr>
          <w:p>
            <w:pPr>
              <w:pStyle w:val="TableText"/>
              <w:ind w:left="127"/>
              <w:spacing w:before="65" w:line="227" w:lineRule="auto"/>
              <w:rPr/>
            </w:pPr>
            <w:r>
              <w:rPr>
                <w:spacing w:val="4"/>
              </w:rPr>
              <w:t>对象</w:t>
            </w:r>
          </w:p>
        </w:tc>
        <w:tc>
          <w:tcPr>
            <w:tcW w:w="7620" w:type="dxa"/>
            <w:vAlign w:val="top"/>
          </w:tcPr>
          <w:p>
            <w:pPr>
              <w:pStyle w:val="TableText"/>
              <w:ind w:left="616" w:right="119" w:hanging="1"/>
              <w:spacing w:before="66" w:line="266" w:lineRule="auto"/>
              <w:jc w:val="both"/>
              <w:rPr/>
            </w:pPr>
            <w:r>
              <w:rPr>
                <w:spacing w:val="2"/>
              </w:rPr>
              <w:t>评估对象通常为评估时点的有效业务，</w:t>
            </w:r>
            <w:r>
              <w:rPr>
                <w:spacing w:val="41"/>
              </w:rPr>
              <w:t xml:space="preserve"> </w:t>
            </w:r>
            <w:r>
              <w:rPr>
                <w:spacing w:val="2"/>
              </w:rPr>
              <w:t>并需在保单层面或模型点层</w:t>
            </w:r>
            <w:r>
              <w:rPr>
                <w:spacing w:val="7"/>
              </w:rPr>
              <w:t>面映射到模型输入结构。对象范围的边界与口径一致性直接影响结</w:t>
            </w:r>
            <w:r>
              <w:rPr>
                <w:spacing w:val="4"/>
              </w:rPr>
              <w:t>果可比性与解释一致性。</w:t>
            </w:r>
          </w:p>
        </w:tc>
      </w:tr>
      <w:tr>
        <w:trPr>
          <w:trHeight w:val="1072" w:hRule="atLeast"/>
        </w:trPr>
        <w:tc>
          <w:tcPr>
            <w:tcW w:w="1203" w:type="dxa"/>
            <w:vAlign w:val="top"/>
          </w:tcPr>
          <w:p>
            <w:pPr>
              <w:pStyle w:val="TableText"/>
              <w:ind w:left="127"/>
              <w:spacing w:before="69" w:line="227" w:lineRule="auto"/>
              <w:rPr/>
            </w:pPr>
            <w:r>
              <w:rPr>
                <w:spacing w:val="4"/>
              </w:rPr>
              <w:t>模型</w:t>
            </w:r>
          </w:p>
        </w:tc>
        <w:tc>
          <w:tcPr>
            <w:tcW w:w="7620" w:type="dxa"/>
            <w:vAlign w:val="top"/>
          </w:tcPr>
          <w:p>
            <w:pPr>
              <w:pStyle w:val="TableText"/>
              <w:ind w:left="621" w:right="4" w:hanging="6"/>
              <w:spacing w:before="71" w:line="265" w:lineRule="auto"/>
              <w:jc w:val="both"/>
              <w:rPr/>
            </w:pPr>
            <w:r>
              <w:rPr>
                <w:spacing w:val="-1"/>
              </w:rPr>
              <w:t>模型体现计量规则与计算方法， 受监管制度与会计准则影响， 也受</w:t>
            </w:r>
            <w:r>
              <w:rPr>
                <w:spacing w:val="11"/>
              </w:rPr>
              <w:t>公司内部管理口径影响。模型变更应具备充分论证、测试与复核，</w:t>
            </w:r>
            <w:r>
              <w:rPr>
                <w:spacing w:val="4"/>
              </w:rPr>
              <w:t>并形成可追溯的变更记录。</w:t>
            </w:r>
          </w:p>
        </w:tc>
      </w:tr>
      <w:tr>
        <w:trPr>
          <w:trHeight w:val="1149" w:hRule="atLeast"/>
        </w:trPr>
        <w:tc>
          <w:tcPr>
            <w:tcW w:w="1203" w:type="dxa"/>
            <w:vAlign w:val="top"/>
            <w:tcBorders>
              <w:bottom w:val="single" w:color="000000" w:sz="6" w:space="0"/>
            </w:tcBorders>
          </w:tcPr>
          <w:p>
            <w:pPr>
              <w:pStyle w:val="TableText"/>
              <w:ind w:left="128"/>
              <w:spacing w:before="73" w:line="226" w:lineRule="auto"/>
              <w:rPr/>
            </w:pPr>
            <w:r>
              <w:rPr>
                <w:spacing w:val="4"/>
              </w:rPr>
              <w:t>假设</w:t>
            </w:r>
          </w:p>
        </w:tc>
        <w:tc>
          <w:tcPr>
            <w:tcW w:w="7620" w:type="dxa"/>
            <w:vAlign w:val="top"/>
            <w:tcBorders>
              <w:bottom w:val="single" w:color="000000" w:sz="6" w:space="0"/>
            </w:tcBorders>
          </w:tcPr>
          <w:p>
            <w:pPr>
              <w:pStyle w:val="TableText"/>
              <w:ind w:left="618" w:right="4" w:hanging="2"/>
              <w:spacing w:before="73" w:line="285" w:lineRule="auto"/>
              <w:jc w:val="both"/>
              <w:rPr/>
            </w:pPr>
            <w:r>
              <w:rPr>
                <w:spacing w:val="11"/>
              </w:rPr>
              <w:t>精算假设用于刻画未来不确定性，包括发生率、退保率、费用率、</w:t>
            </w:r>
            <w:r>
              <w:rPr>
                <w:spacing w:val="1"/>
              </w:rPr>
              <w:t>投资收益率等。假设应以经验数据与合理判断为基础，</w:t>
            </w:r>
            <w:r>
              <w:rPr>
                <w:spacing w:val="66"/>
              </w:rPr>
              <w:t xml:space="preserve"> </w:t>
            </w:r>
            <w:r>
              <w:rPr>
                <w:spacing w:val="1"/>
              </w:rPr>
              <w:t>并通过经验</w:t>
            </w:r>
            <w:r>
              <w:rPr>
                <w:spacing w:val="5"/>
              </w:rPr>
              <w:t>分析持续更新与开展影响测试。</w:t>
            </w:r>
          </w:p>
        </w:tc>
      </w:tr>
    </w:tbl>
    <w:p>
      <w:pPr>
        <w:pStyle w:val="BodyText"/>
        <w:spacing w:line="328" w:lineRule="auto"/>
        <w:rPr/>
      </w:pPr>
      <w:r/>
    </w:p>
    <w:p>
      <w:pPr>
        <w:pStyle w:val="BodyText"/>
        <w:spacing w:line="328" w:lineRule="auto"/>
        <w:rPr/>
      </w:pPr>
      <w:r/>
    </w:p>
    <w:p>
      <w:pPr>
        <w:ind w:left="16"/>
        <w:spacing w:before="75" w:line="228" w:lineRule="auto"/>
        <w:outlineLvl w:val="3"/>
        <w:rPr>
          <w:rFonts w:ascii="SimHei" w:hAnsi="SimHei" w:eastAsia="SimHei" w:cs="SimHei"/>
          <w:sz w:val="23"/>
          <w:szCs w:val="23"/>
        </w:rPr>
      </w:pPr>
      <w:bookmarkStart w:name="bookmark29" w:id="50"/>
      <w:bookmarkEnd w:id="50"/>
      <w:r>
        <w:rPr>
          <w:rFonts w:ascii="Times New Roman" w:hAnsi="Times New Roman" w:eastAsia="Times New Roman" w:cs="Times New Roman"/>
          <w:sz w:val="23"/>
          <w:szCs w:val="23"/>
          <w:b/>
          <w:bCs/>
          <w:spacing w:val="10"/>
        </w:rPr>
        <w:t>1.4.3.3    </w:t>
      </w:r>
      <w:r>
        <w:rPr>
          <w:rFonts w:ascii="SimHei" w:hAnsi="SimHei" w:eastAsia="SimHei" w:cs="SimHei"/>
          <w:sz w:val="23"/>
          <w:szCs w:val="23"/>
          <w:spacing w:val="10"/>
        </w:rPr>
        <w:t>评估方法与模型口径</w:t>
      </w:r>
    </w:p>
    <w:p>
      <w:pPr>
        <w:ind w:left="5" w:firstLine="480"/>
        <w:spacing w:before="311" w:line="288" w:lineRule="auto"/>
        <w:jc w:val="both"/>
        <w:rPr>
          <w:rFonts w:ascii="SimSun" w:hAnsi="SimSun" w:eastAsia="SimSun" w:cs="SimSun"/>
          <w:sz w:val="23"/>
          <w:szCs w:val="23"/>
        </w:rPr>
      </w:pPr>
      <w:r>
        <w:rPr>
          <w:rFonts w:ascii="SimSun" w:hAnsi="SimSun" w:eastAsia="SimSun" w:cs="SimSun"/>
          <w:sz w:val="23"/>
          <w:szCs w:val="23"/>
          <w:spacing w:val="8"/>
        </w:rPr>
        <w:t>准备金评估方法与模型口径在不同业务与不同计量框架下存在差异。实践中常见方</w:t>
      </w:r>
      <w:r>
        <w:rPr>
          <w:rFonts w:ascii="SimSun" w:hAnsi="SimSun" w:eastAsia="SimSun" w:cs="SimSun"/>
          <w:sz w:val="23"/>
          <w:szCs w:val="23"/>
          <w:spacing w:val="5"/>
        </w:rPr>
        <w:t>法包括现金流折现模型、比例法与链梯法等。现金流折现模型以未来现金流投影为核心，</w:t>
      </w:r>
      <w:r>
        <w:rPr>
          <w:rFonts w:ascii="SimSun" w:hAnsi="SimSun" w:eastAsia="SimSun" w:cs="SimSun"/>
          <w:sz w:val="23"/>
          <w:szCs w:val="23"/>
          <w:spacing w:val="4"/>
        </w:rPr>
        <w:t>通过折现率口径将未来责任折现到评估时点，</w:t>
      </w:r>
      <w:r>
        <w:rPr>
          <w:rFonts w:ascii="SimSun" w:hAnsi="SimSun" w:eastAsia="SimSun" w:cs="SimSun"/>
          <w:sz w:val="23"/>
          <w:szCs w:val="23"/>
          <w:spacing w:val="53"/>
        </w:rPr>
        <w:t xml:space="preserve"> </w:t>
      </w:r>
      <w:r>
        <w:rPr>
          <w:rFonts w:ascii="SimSun" w:hAnsi="SimSun" w:eastAsia="SimSun" w:cs="SimSun"/>
          <w:sz w:val="23"/>
          <w:szCs w:val="23"/>
          <w:spacing w:val="4"/>
        </w:rPr>
        <w:t>适用于对现金流结构较复杂或期限较长的</w:t>
      </w:r>
      <w:r>
        <w:rPr>
          <w:rFonts w:ascii="SimSun" w:hAnsi="SimSun" w:eastAsia="SimSun" w:cs="SimSun"/>
          <w:sz w:val="23"/>
          <w:szCs w:val="23"/>
          <w:spacing w:val="2"/>
        </w:rPr>
        <w:t>负债计量；</w:t>
      </w:r>
      <w:r>
        <w:rPr>
          <w:rFonts w:ascii="SimSun" w:hAnsi="SimSun" w:eastAsia="SimSun" w:cs="SimSun"/>
          <w:sz w:val="23"/>
          <w:szCs w:val="23"/>
          <w:spacing w:val="-45"/>
        </w:rPr>
        <w:t xml:space="preserve"> </w:t>
      </w:r>
      <w:r>
        <w:rPr>
          <w:rFonts w:ascii="SimSun" w:hAnsi="SimSun" w:eastAsia="SimSun" w:cs="SimSun"/>
          <w:sz w:val="23"/>
          <w:szCs w:val="23"/>
          <w:spacing w:val="2"/>
        </w:rPr>
        <w:t>比例法常用于未到期责任准备金的简化估计，</w:t>
      </w:r>
      <w:r>
        <w:rPr>
          <w:rFonts w:ascii="SimSun" w:hAnsi="SimSun" w:eastAsia="SimSun" w:cs="SimSun"/>
          <w:sz w:val="23"/>
          <w:szCs w:val="23"/>
          <w:spacing w:val="59"/>
        </w:rPr>
        <w:t xml:space="preserve"> </w:t>
      </w:r>
      <w:r>
        <w:rPr>
          <w:rFonts w:ascii="SimSun" w:hAnsi="SimSun" w:eastAsia="SimSun" w:cs="SimSun"/>
          <w:sz w:val="23"/>
          <w:szCs w:val="23"/>
          <w:spacing w:val="2"/>
        </w:rPr>
        <w:t>通过保费与时间分摊逻辑在一</w:t>
      </w:r>
      <w:r>
        <w:rPr>
          <w:rFonts w:ascii="SimSun" w:hAnsi="SimSun" w:eastAsia="SimSun" w:cs="SimSun"/>
          <w:sz w:val="23"/>
          <w:szCs w:val="23"/>
          <w:spacing w:val="2"/>
        </w:rPr>
        <w:t>定假设下估计未赚保费责任； 链梯法常用于未决赔款准备金估计， 依据赔款发展规律对</w:t>
      </w:r>
      <w:r>
        <w:rPr>
          <w:rFonts w:ascii="SimSun" w:hAnsi="SimSun" w:eastAsia="SimSun" w:cs="SimSun"/>
          <w:sz w:val="23"/>
          <w:szCs w:val="23"/>
          <w:spacing w:val="8"/>
        </w:rPr>
        <w:t>最终赔款进行预测并推导未决责任。方法选择需要与业务特征、数据可得性、监管与会</w:t>
      </w:r>
      <w:r>
        <w:rPr>
          <w:rFonts w:ascii="SimSun" w:hAnsi="SimSun" w:eastAsia="SimSun" w:cs="SimSun"/>
          <w:sz w:val="23"/>
          <w:szCs w:val="23"/>
          <w:spacing w:val="7"/>
        </w:rPr>
        <w:t>计口径一致性相匹配，并应通过回测与敏感性检验验证其稳健性。</w:t>
      </w:r>
    </w:p>
    <w:p>
      <w:pPr>
        <w:spacing w:before="36" w:line="227" w:lineRule="auto"/>
        <w:jc w:val="right"/>
        <w:rPr>
          <w:rFonts w:ascii="SimSun" w:hAnsi="SimSun" w:eastAsia="SimSun" w:cs="SimSun"/>
          <w:sz w:val="23"/>
          <w:szCs w:val="23"/>
        </w:rPr>
      </w:pPr>
      <w:r>
        <w:rPr>
          <w:rFonts w:ascii="SimSun" w:hAnsi="SimSun" w:eastAsia="SimSun" w:cs="SimSun"/>
          <w:sz w:val="23"/>
          <w:szCs w:val="23"/>
          <w:spacing w:val="6"/>
        </w:rPr>
        <w:t>为形成概览性理解，表</w:t>
      </w:r>
      <w:hyperlink w:history="true" w:anchor="bookmark68">
        <w:r>
          <w:rPr>
            <w:rFonts w:ascii="Times New Roman" w:hAnsi="Times New Roman" w:eastAsia="Times New Roman" w:cs="Times New Roman"/>
            <w:sz w:val="23"/>
            <w:szCs w:val="23"/>
            <w:spacing w:val="6"/>
          </w:rPr>
          <w:t>1.11</w:t>
        </w:r>
      </w:hyperlink>
      <w:r>
        <w:rPr>
          <w:rFonts w:ascii="SimSun" w:hAnsi="SimSun" w:eastAsia="SimSun" w:cs="SimSun"/>
          <w:sz w:val="23"/>
          <w:szCs w:val="23"/>
          <w:spacing w:val="6"/>
        </w:rPr>
        <w:t>对三类典型方法的适用场景与治理关注点作结构化归纳。</w:t>
      </w:r>
    </w:p>
    <w:p>
      <w:pPr>
        <w:pStyle w:val="BodyText"/>
        <w:spacing w:line="315" w:lineRule="auto"/>
        <w:rPr/>
      </w:pPr>
      <w:r/>
    </w:p>
    <w:p>
      <w:pPr>
        <w:ind w:left="1658"/>
        <w:spacing w:before="75" w:line="225" w:lineRule="auto"/>
        <w:rPr>
          <w:rFonts w:ascii="SimSun" w:hAnsi="SimSun" w:eastAsia="SimSun" w:cs="SimSun"/>
          <w:sz w:val="23"/>
          <w:szCs w:val="23"/>
        </w:rPr>
      </w:pPr>
      <w:bookmarkStart w:name="bookmark68" w:id="51"/>
      <w:bookmarkEnd w:id="51"/>
      <w:r>
        <w:rPr>
          <w:rFonts w:ascii="SimSun" w:hAnsi="SimSun" w:eastAsia="SimSun" w:cs="SimSun"/>
          <w:sz w:val="23"/>
          <w:szCs w:val="23"/>
          <w:spacing w:val="5"/>
        </w:rPr>
        <w:t>表 </w:t>
      </w:r>
      <w:r>
        <w:rPr>
          <w:rFonts w:ascii="Times New Roman" w:hAnsi="Times New Roman" w:eastAsia="Times New Roman" w:cs="Times New Roman"/>
          <w:sz w:val="23"/>
          <w:szCs w:val="23"/>
          <w:spacing w:val="5"/>
        </w:rPr>
        <w:t>1.11:</w:t>
      </w:r>
      <w:r>
        <w:rPr>
          <w:rFonts w:ascii="Times New Roman" w:hAnsi="Times New Roman" w:eastAsia="Times New Roman" w:cs="Times New Roman"/>
          <w:sz w:val="23"/>
          <w:szCs w:val="23"/>
          <w:spacing w:val="6"/>
        </w:rPr>
        <w:t xml:space="preserve">  </w:t>
      </w:r>
      <w:r>
        <w:rPr>
          <w:rFonts w:ascii="SimSun" w:hAnsi="SimSun" w:eastAsia="SimSun" w:cs="SimSun"/>
          <w:sz w:val="23"/>
          <w:szCs w:val="23"/>
          <w:spacing w:val="5"/>
        </w:rPr>
        <w:t>准备金评估典型方法的适用场景与治理关注点</w:t>
      </w:r>
    </w:p>
    <w:p>
      <w:pPr>
        <w:spacing w:line="211" w:lineRule="exact"/>
        <w:rPr/>
      </w:pPr>
      <w:r/>
    </w:p>
    <w:tbl>
      <w:tblPr>
        <w:tblStyle w:val="TableNormal"/>
        <w:tblW w:w="906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80"/>
        <w:gridCol w:w="2850"/>
        <w:gridCol w:w="4232"/>
      </w:tblGrid>
      <w:tr>
        <w:trPr>
          <w:trHeight w:val="475" w:hRule="atLeast"/>
        </w:trPr>
        <w:tc>
          <w:tcPr>
            <w:tcW w:w="1980" w:type="dxa"/>
            <w:vAlign w:val="top"/>
            <w:tcBorders>
              <w:bottom w:val="single" w:color="000000" w:sz="4" w:space="0"/>
              <w:top w:val="single" w:color="000000" w:sz="6" w:space="0"/>
            </w:tcBorders>
          </w:tcPr>
          <w:p>
            <w:pPr>
              <w:pStyle w:val="TableText"/>
              <w:ind w:left="129"/>
              <w:spacing w:before="116" w:line="227" w:lineRule="auto"/>
              <w:rPr/>
            </w:pPr>
            <w:r>
              <w:rPr>
                <w:spacing w:val="6"/>
              </w:rPr>
              <w:t>方法类型</w:t>
            </w:r>
          </w:p>
        </w:tc>
        <w:tc>
          <w:tcPr>
            <w:tcW w:w="2850" w:type="dxa"/>
            <w:vAlign w:val="top"/>
            <w:tcBorders>
              <w:bottom w:val="single" w:color="000000" w:sz="4" w:space="0"/>
              <w:top w:val="single" w:color="000000" w:sz="6" w:space="0"/>
            </w:tcBorders>
          </w:tcPr>
          <w:p>
            <w:pPr>
              <w:pStyle w:val="TableText"/>
              <w:ind w:left="206"/>
              <w:spacing w:before="116" w:line="227" w:lineRule="auto"/>
              <w:rPr/>
            </w:pPr>
            <w:r>
              <w:rPr>
                <w:spacing w:val="6"/>
              </w:rPr>
              <w:t>典型适用场景</w:t>
            </w:r>
          </w:p>
        </w:tc>
        <w:tc>
          <w:tcPr>
            <w:tcW w:w="4232" w:type="dxa"/>
            <w:vAlign w:val="top"/>
            <w:tcBorders>
              <w:bottom w:val="single" w:color="000000" w:sz="4" w:space="0"/>
              <w:top w:val="single" w:color="000000" w:sz="6" w:space="0"/>
            </w:tcBorders>
          </w:tcPr>
          <w:p>
            <w:pPr>
              <w:pStyle w:val="TableText"/>
              <w:ind w:left="136"/>
              <w:spacing w:before="116" w:line="228" w:lineRule="auto"/>
              <w:rPr/>
            </w:pPr>
            <w:r>
              <w:rPr>
                <w:spacing w:val="6"/>
              </w:rPr>
              <w:t>治理关注点</w:t>
            </w:r>
          </w:p>
        </w:tc>
      </w:tr>
      <w:tr>
        <w:trPr>
          <w:trHeight w:val="1117" w:hRule="atLeast"/>
        </w:trPr>
        <w:tc>
          <w:tcPr>
            <w:tcW w:w="1980" w:type="dxa"/>
            <w:vAlign w:val="top"/>
            <w:tcBorders>
              <w:top w:val="single" w:color="000000" w:sz="4" w:space="0"/>
            </w:tcBorders>
          </w:tcPr>
          <w:p>
            <w:pPr>
              <w:pStyle w:val="TableText"/>
              <w:ind w:left="154"/>
              <w:spacing w:before="110" w:line="228" w:lineRule="auto"/>
              <w:rPr/>
            </w:pPr>
            <w:r>
              <w:rPr>
                <w:spacing w:val="-2"/>
              </w:rPr>
              <w:t>比例法</w:t>
            </w:r>
          </w:p>
        </w:tc>
        <w:tc>
          <w:tcPr>
            <w:tcW w:w="2850" w:type="dxa"/>
            <w:vAlign w:val="top"/>
            <w:tcBorders>
              <w:top w:val="single" w:color="000000" w:sz="4" w:space="0"/>
            </w:tcBorders>
          </w:tcPr>
          <w:p>
            <w:pPr>
              <w:pStyle w:val="TableText"/>
              <w:ind w:left="203" w:right="117" w:firstLine="2"/>
              <w:spacing w:before="109" w:line="289" w:lineRule="auto"/>
              <w:rPr/>
            </w:pPr>
            <w:r>
              <w:rPr>
                <w:spacing w:val="22"/>
              </w:rPr>
              <w:t>未到期责任准备金的简</w:t>
            </w:r>
            <w:r>
              <w:rPr>
                <w:spacing w:val="5"/>
              </w:rPr>
              <w:t>化估计</w:t>
            </w:r>
          </w:p>
        </w:tc>
        <w:tc>
          <w:tcPr>
            <w:tcW w:w="4232" w:type="dxa"/>
            <w:vAlign w:val="top"/>
            <w:tcBorders>
              <w:top w:val="single" w:color="000000" w:sz="4" w:space="0"/>
            </w:tcBorders>
          </w:tcPr>
          <w:p>
            <w:pPr>
              <w:pStyle w:val="TableText"/>
              <w:ind w:left="131" w:right="119" w:firstLine="13"/>
              <w:spacing w:before="109" w:line="267" w:lineRule="auto"/>
              <w:jc w:val="both"/>
              <w:rPr/>
            </w:pPr>
            <w:r>
              <w:rPr>
                <w:spacing w:val="18"/>
              </w:rPr>
              <w:t>需要确保保费分摊逻辑与风险暴露节</w:t>
            </w:r>
            <w:r>
              <w:rPr>
                <w:spacing w:val="15"/>
              </w:rPr>
              <w:t>奏一致，</w:t>
            </w:r>
            <w:r>
              <w:rPr>
                <w:spacing w:val="-55"/>
              </w:rPr>
              <w:t xml:space="preserve"> </w:t>
            </w:r>
            <w:r>
              <w:rPr>
                <w:spacing w:val="15"/>
              </w:rPr>
              <w:t>并识别季节性与承保结构变</w:t>
            </w:r>
            <w:r>
              <w:rPr>
                <w:spacing w:val="3"/>
              </w:rPr>
              <w:t>化对适用性的影响。</w:t>
            </w:r>
          </w:p>
        </w:tc>
      </w:tr>
      <w:tr>
        <w:trPr>
          <w:trHeight w:val="1072" w:hRule="atLeast"/>
        </w:trPr>
        <w:tc>
          <w:tcPr>
            <w:tcW w:w="1980" w:type="dxa"/>
            <w:vAlign w:val="top"/>
          </w:tcPr>
          <w:p>
            <w:pPr>
              <w:pStyle w:val="TableText"/>
              <w:ind w:left="127"/>
              <w:spacing w:before="68" w:line="228" w:lineRule="auto"/>
              <w:rPr/>
            </w:pPr>
            <w:r>
              <w:rPr>
                <w:spacing w:val="6"/>
              </w:rPr>
              <w:t>链梯法</w:t>
            </w:r>
          </w:p>
        </w:tc>
        <w:tc>
          <w:tcPr>
            <w:tcW w:w="2850" w:type="dxa"/>
            <w:vAlign w:val="top"/>
          </w:tcPr>
          <w:p>
            <w:pPr>
              <w:pStyle w:val="TableText"/>
              <w:ind w:left="205" w:right="117"/>
              <w:spacing w:before="68" w:line="290" w:lineRule="auto"/>
              <w:rPr/>
            </w:pPr>
            <w:r>
              <w:rPr>
                <w:spacing w:val="22"/>
              </w:rPr>
              <w:t>未决赔款准备金与赔款</w:t>
            </w:r>
            <w:r>
              <w:rPr>
                <w:spacing w:val="5"/>
              </w:rPr>
              <w:t>发展分析</w:t>
            </w:r>
          </w:p>
        </w:tc>
        <w:tc>
          <w:tcPr>
            <w:tcW w:w="4232" w:type="dxa"/>
            <w:vAlign w:val="top"/>
          </w:tcPr>
          <w:p>
            <w:pPr>
              <w:pStyle w:val="TableText"/>
              <w:ind w:left="129" w:right="118" w:firstLine="15"/>
              <w:spacing w:before="67" w:line="266" w:lineRule="auto"/>
              <w:jc w:val="both"/>
              <w:rPr/>
            </w:pPr>
            <w:r>
              <w:rPr>
                <w:spacing w:val="3"/>
              </w:rPr>
              <w:t>需要关注赔款发展三角的稳定性、口径</w:t>
            </w:r>
            <w:r>
              <w:rPr>
                <w:spacing w:val="4"/>
              </w:rPr>
              <w:t>一致性与异常点处理，并对结构性变化</w:t>
            </w:r>
            <w:r>
              <w:rPr>
                <w:spacing w:val="3"/>
              </w:rPr>
              <w:t>进行分段或调整。</w:t>
            </w:r>
          </w:p>
        </w:tc>
      </w:tr>
      <w:tr>
        <w:trPr>
          <w:trHeight w:val="1148" w:hRule="atLeast"/>
        </w:trPr>
        <w:tc>
          <w:tcPr>
            <w:tcW w:w="1980" w:type="dxa"/>
            <w:vAlign w:val="top"/>
            <w:tcBorders>
              <w:bottom w:val="single" w:color="000000" w:sz="6" w:space="0"/>
            </w:tcBorders>
          </w:tcPr>
          <w:p>
            <w:pPr>
              <w:pStyle w:val="TableText"/>
              <w:ind w:left="130"/>
              <w:spacing w:before="72" w:line="227" w:lineRule="auto"/>
              <w:rPr/>
            </w:pPr>
            <w:r>
              <w:rPr>
                <w:spacing w:val="7"/>
              </w:rPr>
              <w:t>现金流折现模型</w:t>
            </w:r>
          </w:p>
        </w:tc>
        <w:tc>
          <w:tcPr>
            <w:tcW w:w="2850" w:type="dxa"/>
            <w:vAlign w:val="top"/>
            <w:tcBorders>
              <w:bottom w:val="single" w:color="000000" w:sz="6" w:space="0"/>
            </w:tcBorders>
          </w:tcPr>
          <w:p>
            <w:pPr>
              <w:pStyle w:val="TableText"/>
              <w:ind w:left="203"/>
              <w:spacing w:before="72" w:line="227" w:lineRule="auto"/>
              <w:rPr/>
            </w:pPr>
            <w:r>
              <w:rPr>
                <w:spacing w:val="22"/>
              </w:rPr>
              <w:t>长期负债或现金流结构</w:t>
            </w:r>
          </w:p>
          <w:p>
            <w:pPr>
              <w:pStyle w:val="TableText"/>
              <w:ind w:left="208"/>
              <w:spacing w:before="75" w:line="227" w:lineRule="auto"/>
              <w:outlineLvl w:val="3"/>
              <w:rPr/>
            </w:pPr>
            <w:bookmarkStart w:name="bookmark30" w:id="52"/>
            <w:bookmarkEnd w:id="52"/>
            <w:r>
              <w:rPr>
                <w:spacing w:val="7"/>
              </w:rPr>
              <w:t>复杂负债的现值计量</w:t>
            </w:r>
          </w:p>
        </w:tc>
        <w:tc>
          <w:tcPr>
            <w:tcW w:w="4232" w:type="dxa"/>
            <w:vAlign w:val="top"/>
            <w:tcBorders>
              <w:bottom w:val="single" w:color="000000" w:sz="6" w:space="0"/>
            </w:tcBorders>
          </w:tcPr>
          <w:p>
            <w:pPr>
              <w:pStyle w:val="TableText"/>
              <w:ind w:left="132" w:right="84" w:firstLine="11"/>
              <w:spacing w:before="72" w:line="285" w:lineRule="auto"/>
              <w:jc w:val="both"/>
              <w:rPr/>
            </w:pPr>
            <w:r>
              <w:rPr>
                <w:spacing w:val="3"/>
              </w:rPr>
              <w:t>需要关注折现率口径、假设一致性、模</w:t>
            </w:r>
            <w:r>
              <w:rPr>
                <w:spacing w:val="4"/>
              </w:rPr>
              <w:t>型变更管理与结果解释体系，尤其需形</w:t>
            </w:r>
            <w:r>
              <w:rPr>
                <w:spacing w:val="6"/>
              </w:rPr>
              <w:t>成假设更新与利润释放的可追溯解释。</w:t>
            </w:r>
          </w:p>
        </w:tc>
      </w:tr>
    </w:tbl>
    <w:p>
      <w:pPr>
        <w:pStyle w:val="BodyText"/>
        <w:rPr/>
      </w:pPr>
      <w:r/>
    </w:p>
    <w:p>
      <w:pPr>
        <w:sectPr>
          <w:footerReference w:type="default" r:id="rId18"/>
          <w:pgSz w:w="11906" w:h="16838"/>
          <w:pgMar w:top="400" w:right="1302" w:bottom="983" w:left="1421" w:header="0" w:footer="769" w:gutter="0"/>
        </w:sectPr>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12"/>
        <w:spacing w:before="75" w:line="228" w:lineRule="auto"/>
        <w:outlineLvl w:val="3"/>
        <w:rPr>
          <w:rFonts w:ascii="SimHei" w:hAnsi="SimHei" w:eastAsia="SimHei" w:cs="SimHei"/>
          <w:sz w:val="23"/>
          <w:szCs w:val="23"/>
        </w:rPr>
      </w:pPr>
      <w:bookmarkStart w:name="bookmark69" w:id="53"/>
      <w:bookmarkEnd w:id="53"/>
      <w:r>
        <w:rPr>
          <w:rFonts w:ascii="Times New Roman" w:hAnsi="Times New Roman" w:eastAsia="Times New Roman" w:cs="Times New Roman"/>
          <w:sz w:val="23"/>
          <w:szCs w:val="23"/>
          <w:b/>
          <w:bCs/>
          <w:spacing w:val="10"/>
        </w:rPr>
        <w:t>1.4.3.4    </w:t>
      </w:r>
      <w:r>
        <w:rPr>
          <w:rFonts w:ascii="SimHei" w:hAnsi="SimHei" w:eastAsia="SimHei" w:cs="SimHei"/>
          <w:sz w:val="23"/>
          <w:szCs w:val="23"/>
          <w:spacing w:val="10"/>
        </w:rPr>
        <w:t>评估体系的演进</w:t>
      </w:r>
    </w:p>
    <w:p>
      <w:pPr>
        <w:ind w:right="114" w:firstLine="481"/>
        <w:spacing w:before="315" w:line="288" w:lineRule="auto"/>
        <w:jc w:val="both"/>
        <w:rPr>
          <w:rFonts w:ascii="SimSun" w:hAnsi="SimSun" w:eastAsia="SimSun" w:cs="SimSun"/>
          <w:sz w:val="23"/>
          <w:szCs w:val="23"/>
        </w:rPr>
      </w:pPr>
      <w:r>
        <w:rPr>
          <w:rFonts w:ascii="SimSun" w:hAnsi="SimSun" w:eastAsia="SimSun" w:cs="SimSun"/>
          <w:sz w:val="23"/>
          <w:szCs w:val="23"/>
          <w:spacing w:val="8"/>
        </w:rPr>
        <w:t>准备金计量体系经历了由规则导向向原则导向的演进。规则导向强调固定公式与参</w:t>
      </w:r>
      <w:r>
        <w:rPr>
          <w:rFonts w:ascii="SimSun" w:hAnsi="SimSun" w:eastAsia="SimSun" w:cs="SimSun"/>
          <w:sz w:val="23"/>
          <w:szCs w:val="23"/>
          <w:spacing w:val="6"/>
        </w:rPr>
        <w:t>数口径，</w:t>
      </w:r>
      <w:r>
        <w:rPr>
          <w:rFonts w:ascii="SimSun" w:hAnsi="SimSun" w:eastAsia="SimSun" w:cs="SimSun"/>
          <w:sz w:val="23"/>
          <w:szCs w:val="23"/>
          <w:spacing w:val="-67"/>
        </w:rPr>
        <w:t xml:space="preserve"> </w:t>
      </w:r>
      <w:r>
        <w:rPr>
          <w:rFonts w:ascii="SimSun" w:hAnsi="SimSun" w:eastAsia="SimSun" w:cs="SimSun"/>
          <w:sz w:val="23"/>
          <w:szCs w:val="23"/>
          <w:spacing w:val="6"/>
        </w:rPr>
        <w:t>易于执行与监管统一，结果可比性较强，</w:t>
      </w:r>
      <w:r>
        <w:rPr>
          <w:rFonts w:ascii="SimSun" w:hAnsi="SimSun" w:eastAsia="SimSun" w:cs="SimSun"/>
          <w:sz w:val="23"/>
          <w:szCs w:val="23"/>
          <w:spacing w:val="-55"/>
        </w:rPr>
        <w:t xml:space="preserve"> </w:t>
      </w:r>
      <w:r>
        <w:rPr>
          <w:rFonts w:ascii="SimSun" w:hAnsi="SimSun" w:eastAsia="SimSun" w:cs="SimSun"/>
          <w:sz w:val="23"/>
          <w:szCs w:val="23"/>
          <w:spacing w:val="6"/>
        </w:rPr>
        <w:t>但</w:t>
      </w:r>
      <w:r>
        <w:rPr>
          <w:rFonts w:ascii="SimSun" w:hAnsi="SimSun" w:eastAsia="SimSun" w:cs="SimSun"/>
          <w:sz w:val="23"/>
          <w:szCs w:val="23"/>
          <w:spacing w:val="5"/>
        </w:rPr>
        <w:t>对实际风险状况与公司经营差异的</w:t>
      </w:r>
      <w:r>
        <w:rPr>
          <w:rFonts w:ascii="SimSun" w:hAnsi="SimSun" w:eastAsia="SimSun" w:cs="SimSun"/>
          <w:sz w:val="23"/>
          <w:szCs w:val="23"/>
          <w:spacing w:val="6"/>
        </w:rPr>
        <w:t>反映可能存在局限，</w:t>
      </w:r>
      <w:r>
        <w:rPr>
          <w:rFonts w:ascii="SimSun" w:hAnsi="SimSun" w:eastAsia="SimSun" w:cs="SimSun"/>
          <w:sz w:val="23"/>
          <w:szCs w:val="23"/>
          <w:spacing w:val="-22"/>
        </w:rPr>
        <w:t xml:space="preserve"> </w:t>
      </w:r>
      <w:r>
        <w:rPr>
          <w:rFonts w:ascii="SimSun" w:hAnsi="SimSun" w:eastAsia="SimSun" w:cs="SimSun"/>
          <w:sz w:val="23"/>
          <w:szCs w:val="23"/>
          <w:spacing w:val="6"/>
        </w:rPr>
        <w:t>并可能难以覆盖所有相关风险因素。原则导向强调以最优估计为基</w:t>
      </w:r>
      <w:r>
        <w:rPr>
          <w:rFonts w:ascii="SimSun" w:hAnsi="SimSun" w:eastAsia="SimSun" w:cs="SimSun"/>
          <w:sz w:val="23"/>
          <w:szCs w:val="23"/>
          <w:spacing w:val="2"/>
        </w:rPr>
        <w:t>础并引入风险调整，</w:t>
      </w:r>
      <w:r>
        <w:rPr>
          <w:rFonts w:ascii="SimSun" w:hAnsi="SimSun" w:eastAsia="SimSun" w:cs="SimSun"/>
          <w:sz w:val="23"/>
          <w:szCs w:val="23"/>
          <w:spacing w:val="-37"/>
        </w:rPr>
        <w:t xml:space="preserve"> </w:t>
      </w:r>
      <w:r>
        <w:rPr>
          <w:rFonts w:ascii="SimSun" w:hAnsi="SimSun" w:eastAsia="SimSun" w:cs="SimSun"/>
          <w:sz w:val="23"/>
          <w:szCs w:val="23"/>
          <w:spacing w:val="2"/>
        </w:rPr>
        <w:t>通常将负债拆分为最优估计负债、风</w:t>
      </w:r>
      <w:r>
        <w:rPr>
          <w:rFonts w:ascii="SimSun" w:hAnsi="SimSun" w:eastAsia="SimSun" w:cs="SimSun"/>
          <w:sz w:val="23"/>
          <w:szCs w:val="23"/>
          <w:spacing w:val="1"/>
        </w:rPr>
        <w:t>险边际与剩余边际等构成，</w:t>
      </w:r>
      <w:r>
        <w:rPr>
          <w:rFonts w:ascii="SimSun" w:hAnsi="SimSun" w:eastAsia="SimSun" w:cs="SimSun"/>
          <w:sz w:val="23"/>
          <w:szCs w:val="23"/>
          <w:spacing w:val="65"/>
        </w:rPr>
        <w:t xml:space="preserve"> </w:t>
      </w:r>
      <w:r>
        <w:rPr>
          <w:rFonts w:ascii="SimSun" w:hAnsi="SimSun" w:eastAsia="SimSun" w:cs="SimSun"/>
          <w:sz w:val="23"/>
          <w:szCs w:val="23"/>
          <w:spacing w:val="1"/>
        </w:rPr>
        <w:t>从</w:t>
      </w:r>
      <w:r>
        <w:rPr>
          <w:rFonts w:ascii="SimSun" w:hAnsi="SimSun" w:eastAsia="SimSun" w:cs="SimSun"/>
          <w:sz w:val="23"/>
          <w:szCs w:val="23"/>
          <w:spacing w:val="8"/>
        </w:rPr>
        <w:t>而更充分地反映风险特征与不确定性补偿要求。原则导向的优点在于能够更贴近公司经</w:t>
      </w:r>
      <w:r>
        <w:rPr>
          <w:rFonts w:ascii="SimSun" w:hAnsi="SimSun" w:eastAsia="SimSun" w:cs="SimSun"/>
          <w:sz w:val="23"/>
          <w:szCs w:val="23"/>
          <w:spacing w:val="1"/>
        </w:rPr>
        <w:t>营现实并涵盖更多风险因素， 更符合风险管理要求；</w:t>
      </w:r>
      <w:r>
        <w:rPr>
          <w:rFonts w:ascii="SimSun" w:hAnsi="SimSun" w:eastAsia="SimSun" w:cs="SimSun"/>
          <w:sz w:val="23"/>
          <w:szCs w:val="23"/>
          <w:spacing w:val="-32"/>
        </w:rPr>
        <w:t xml:space="preserve"> </w:t>
      </w:r>
      <w:r>
        <w:rPr>
          <w:rFonts w:ascii="SimSun" w:hAnsi="SimSun" w:eastAsia="SimSun" w:cs="SimSun"/>
          <w:sz w:val="23"/>
          <w:szCs w:val="23"/>
          <w:spacing w:val="1"/>
        </w:rPr>
        <w:t>其复杂性也显著提高，</w:t>
      </w:r>
      <w:r>
        <w:rPr>
          <w:rFonts w:ascii="SimSun" w:hAnsi="SimSun" w:eastAsia="SimSun" w:cs="SimSun"/>
          <w:sz w:val="23"/>
          <w:szCs w:val="23"/>
          <w:spacing w:val="-31"/>
        </w:rPr>
        <w:t xml:space="preserve"> </w:t>
      </w:r>
      <w:r>
        <w:rPr>
          <w:rFonts w:ascii="SimSun" w:hAnsi="SimSun" w:eastAsia="SimSun" w:cs="SimSun"/>
          <w:sz w:val="23"/>
          <w:szCs w:val="23"/>
          <w:spacing w:val="1"/>
        </w:rPr>
        <w:t>对精算师专</w:t>
      </w:r>
      <w:r>
        <w:rPr>
          <w:rFonts w:ascii="SimSun" w:hAnsi="SimSun" w:eastAsia="SimSun" w:cs="SimSun"/>
          <w:sz w:val="23"/>
          <w:szCs w:val="23"/>
          <w:spacing w:val="7"/>
        </w:rPr>
        <w:t>业判断能力、沟通能力以及模型与数据治理能力提出更高要求。</w:t>
      </w:r>
    </w:p>
    <w:p>
      <w:pPr>
        <w:ind w:left="1" w:right="114" w:firstLine="476"/>
        <w:spacing w:before="40" w:line="288" w:lineRule="auto"/>
        <w:jc w:val="both"/>
        <w:rPr>
          <w:rFonts w:ascii="SimSun" w:hAnsi="SimSun" w:eastAsia="SimSun" w:cs="SimSun"/>
          <w:sz w:val="23"/>
          <w:szCs w:val="23"/>
        </w:rPr>
      </w:pPr>
      <w:r>
        <w:rPr>
          <w:rFonts w:ascii="SimSun" w:hAnsi="SimSun" w:eastAsia="SimSun" w:cs="SimSun"/>
          <w:sz w:val="23"/>
          <w:szCs w:val="23"/>
          <w:spacing w:val="1"/>
        </w:rPr>
        <w:t>在原则导向框架下，</w:t>
      </w:r>
      <w:r>
        <w:rPr>
          <w:rFonts w:ascii="SimSun" w:hAnsi="SimSun" w:eastAsia="SimSun" w:cs="SimSun"/>
          <w:sz w:val="23"/>
          <w:szCs w:val="23"/>
          <w:spacing w:val="-23"/>
        </w:rPr>
        <w:t xml:space="preserve"> </w:t>
      </w:r>
      <w:r>
        <w:rPr>
          <w:rFonts w:ascii="SimSun" w:hAnsi="SimSun" w:eastAsia="SimSun" w:cs="SimSun"/>
          <w:sz w:val="23"/>
          <w:szCs w:val="23"/>
          <w:spacing w:val="1"/>
        </w:rPr>
        <w:t>风险边际用于反映非对冲风险的不确定性成本，</w:t>
      </w:r>
      <w:r>
        <w:rPr>
          <w:rFonts w:ascii="SimSun" w:hAnsi="SimSun" w:eastAsia="SimSun" w:cs="SimSun"/>
          <w:sz w:val="23"/>
          <w:szCs w:val="23"/>
          <w:spacing w:val="60"/>
        </w:rPr>
        <w:t xml:space="preserve"> </w:t>
      </w:r>
      <w:r>
        <w:rPr>
          <w:rFonts w:ascii="SimSun" w:hAnsi="SimSun" w:eastAsia="SimSun" w:cs="SimSun"/>
          <w:sz w:val="23"/>
          <w:szCs w:val="23"/>
          <w:spacing w:val="1"/>
        </w:rPr>
        <w:t>通常表现为风</w:t>
      </w:r>
      <w:r>
        <w:rPr>
          <w:rFonts w:ascii="SimSun" w:hAnsi="SimSun" w:eastAsia="SimSun" w:cs="SimSun"/>
          <w:sz w:val="23"/>
          <w:szCs w:val="23"/>
          <w:spacing w:val="2"/>
        </w:rPr>
        <w:t>险越高，风险边际越高；</w:t>
      </w:r>
      <w:r>
        <w:rPr>
          <w:rFonts w:ascii="SimSun" w:hAnsi="SimSun" w:eastAsia="SimSun" w:cs="SimSun"/>
          <w:sz w:val="23"/>
          <w:szCs w:val="23"/>
          <w:spacing w:val="-51"/>
        </w:rPr>
        <w:t xml:space="preserve"> </w:t>
      </w:r>
      <w:r>
        <w:rPr>
          <w:rFonts w:ascii="SimSun" w:hAnsi="SimSun" w:eastAsia="SimSun" w:cs="SimSun"/>
          <w:sz w:val="23"/>
          <w:szCs w:val="23"/>
          <w:spacing w:val="2"/>
        </w:rPr>
        <w:t>不同公司因风险管理能力、经验数据基础与风险偏好差异，</w:t>
      </w:r>
      <w:r>
        <w:rPr>
          <w:rFonts w:ascii="SimSun" w:hAnsi="SimSun" w:eastAsia="SimSun" w:cs="SimSun"/>
          <w:sz w:val="23"/>
          <w:szCs w:val="23"/>
          <w:spacing w:val="64"/>
        </w:rPr>
        <w:t xml:space="preserve"> </w:t>
      </w:r>
      <w:r>
        <w:rPr>
          <w:rFonts w:ascii="SimSun" w:hAnsi="SimSun" w:eastAsia="SimSun" w:cs="SimSun"/>
          <w:sz w:val="23"/>
          <w:szCs w:val="23"/>
          <w:spacing w:val="2"/>
        </w:rPr>
        <w:t>风</w:t>
      </w:r>
      <w:r>
        <w:rPr>
          <w:rFonts w:ascii="SimSun" w:hAnsi="SimSun" w:eastAsia="SimSun" w:cs="SimSun"/>
          <w:sz w:val="23"/>
          <w:szCs w:val="23"/>
          <w:spacing w:val="4"/>
        </w:rPr>
        <w:t>险边际水平可能存在差异。剩余边际用于体现利润的分期释放，</w:t>
      </w:r>
      <w:r>
        <w:rPr>
          <w:rFonts w:ascii="SimSun" w:hAnsi="SimSun" w:eastAsia="SimSun" w:cs="SimSun"/>
          <w:sz w:val="23"/>
          <w:szCs w:val="23"/>
          <w:spacing w:val="60"/>
        </w:rPr>
        <w:t xml:space="preserve"> </w:t>
      </w:r>
      <w:r>
        <w:rPr>
          <w:rFonts w:ascii="SimSun" w:hAnsi="SimSun" w:eastAsia="SimSun" w:cs="SimSun"/>
          <w:sz w:val="23"/>
          <w:szCs w:val="23"/>
          <w:spacing w:val="4"/>
        </w:rPr>
        <w:t>其目</w:t>
      </w:r>
      <w:r>
        <w:rPr>
          <w:rFonts w:ascii="SimSun" w:hAnsi="SimSun" w:eastAsia="SimSun" w:cs="SimSun"/>
          <w:sz w:val="23"/>
          <w:szCs w:val="23"/>
          <w:spacing w:val="3"/>
        </w:rPr>
        <w:t>的在于使保险业务</w:t>
      </w:r>
      <w:r>
        <w:rPr>
          <w:rFonts w:ascii="SimSun" w:hAnsi="SimSun" w:eastAsia="SimSun" w:cs="SimSun"/>
          <w:sz w:val="23"/>
          <w:szCs w:val="23"/>
          <w:spacing w:val="2"/>
        </w:rPr>
        <w:t>利润在保险期限内逐年释放， 与保险公司提供的保障服务相匹配， 从而避免在业务初始</w:t>
      </w:r>
      <w:bookmarkStart w:name="bookmark31" w:id="54"/>
      <w:bookmarkEnd w:id="54"/>
      <w:r>
        <w:rPr>
          <w:rFonts w:ascii="SimSun" w:hAnsi="SimSun" w:eastAsia="SimSun" w:cs="SimSun"/>
          <w:sz w:val="23"/>
          <w:szCs w:val="23"/>
          <w:spacing w:val="8"/>
        </w:rPr>
        <w:t>时点一次性确认全部利润所带来的计量扭曲，并强化利润与服</w:t>
      </w:r>
      <w:r>
        <w:rPr>
          <w:rFonts w:ascii="SimSun" w:hAnsi="SimSun" w:eastAsia="SimSun" w:cs="SimSun"/>
          <w:sz w:val="23"/>
          <w:szCs w:val="23"/>
          <w:spacing w:val="7"/>
        </w:rPr>
        <w:t>务期间的一致性。</w:t>
      </w:r>
    </w:p>
    <w:p>
      <w:pPr>
        <w:pStyle w:val="BodyText"/>
        <w:spacing w:line="255" w:lineRule="auto"/>
        <w:rPr/>
      </w:pPr>
      <w:r/>
    </w:p>
    <w:p>
      <w:pPr>
        <w:pStyle w:val="BodyText"/>
        <w:spacing w:line="256" w:lineRule="auto"/>
        <w:rPr/>
      </w:pPr>
      <w:r/>
    </w:p>
    <w:p>
      <w:pPr>
        <w:ind w:left="12"/>
        <w:spacing w:before="75" w:line="228" w:lineRule="auto"/>
        <w:outlineLvl w:val="3"/>
        <w:rPr>
          <w:rFonts w:ascii="SimHei" w:hAnsi="SimHei" w:eastAsia="SimHei" w:cs="SimHei"/>
          <w:sz w:val="23"/>
          <w:szCs w:val="23"/>
        </w:rPr>
      </w:pPr>
      <w:bookmarkStart w:name="bookmark70" w:id="55"/>
      <w:bookmarkEnd w:id="55"/>
      <w:r>
        <w:rPr>
          <w:rFonts w:ascii="Times New Roman" w:hAnsi="Times New Roman" w:eastAsia="Times New Roman" w:cs="Times New Roman"/>
          <w:sz w:val="23"/>
          <w:szCs w:val="23"/>
          <w:b/>
          <w:bCs/>
          <w:spacing w:val="10"/>
        </w:rPr>
        <w:t>1.4.3.5    </w:t>
      </w:r>
      <w:r>
        <w:rPr>
          <w:rFonts w:ascii="SimHei" w:hAnsi="SimHei" w:eastAsia="SimHei" w:cs="SimHei"/>
          <w:sz w:val="23"/>
          <w:szCs w:val="23"/>
          <w:spacing w:val="10"/>
        </w:rPr>
        <w:t>准备金变动分析与利</w:t>
      </w:r>
      <w:r>
        <w:rPr>
          <w:rFonts w:ascii="SimHei" w:hAnsi="SimHei" w:eastAsia="SimHei" w:cs="SimHei"/>
          <w:sz w:val="23"/>
          <w:szCs w:val="23"/>
          <w:spacing w:val="9"/>
        </w:rPr>
        <w:t>源分析</w:t>
      </w:r>
    </w:p>
    <w:p>
      <w:pPr>
        <w:ind w:right="114" w:firstLine="480"/>
        <w:spacing w:before="315" w:line="288" w:lineRule="auto"/>
        <w:jc w:val="both"/>
        <w:rPr>
          <w:rFonts w:ascii="SimSun" w:hAnsi="SimSun" w:eastAsia="SimSun" w:cs="SimSun"/>
          <w:sz w:val="23"/>
          <w:szCs w:val="23"/>
        </w:rPr>
      </w:pPr>
      <w:r>
        <w:rPr>
          <w:rFonts w:ascii="SimSun" w:hAnsi="SimSun" w:eastAsia="SimSun" w:cs="SimSun"/>
          <w:sz w:val="23"/>
          <w:szCs w:val="23"/>
          <w:spacing w:val="4"/>
        </w:rPr>
        <w:t>财务会计不仅关注评估时点准备金的绝对水平，</w:t>
      </w:r>
      <w:r>
        <w:rPr>
          <w:rFonts w:ascii="SimSun" w:hAnsi="SimSun" w:eastAsia="SimSun" w:cs="SimSun"/>
          <w:sz w:val="23"/>
          <w:szCs w:val="23"/>
          <w:spacing w:val="57"/>
        </w:rPr>
        <w:t xml:space="preserve"> </w:t>
      </w:r>
      <w:r>
        <w:rPr>
          <w:rFonts w:ascii="SimSun" w:hAnsi="SimSun" w:eastAsia="SimSun" w:cs="SimSun"/>
          <w:sz w:val="23"/>
          <w:szCs w:val="23"/>
          <w:spacing w:val="3"/>
        </w:rPr>
        <w:t>也关注会计期间内准备金变动对利</w:t>
      </w:r>
      <w:r>
        <w:rPr>
          <w:rFonts w:ascii="SimSun" w:hAnsi="SimSun" w:eastAsia="SimSun" w:cs="SimSun"/>
          <w:sz w:val="23"/>
          <w:szCs w:val="23"/>
          <w:spacing w:val="-1"/>
        </w:rPr>
        <w:t>润的影响。规则导向体系下，</w:t>
      </w:r>
      <w:r>
        <w:rPr>
          <w:rFonts w:ascii="SimSun" w:hAnsi="SimSun" w:eastAsia="SimSun" w:cs="SimSun"/>
          <w:sz w:val="23"/>
          <w:szCs w:val="23"/>
          <w:spacing w:val="64"/>
        </w:rPr>
        <w:t xml:space="preserve"> </w:t>
      </w:r>
      <w:r>
        <w:rPr>
          <w:rFonts w:ascii="SimSun" w:hAnsi="SimSun" w:eastAsia="SimSun" w:cs="SimSun"/>
          <w:sz w:val="23"/>
          <w:szCs w:val="23"/>
          <w:spacing w:val="-1"/>
        </w:rPr>
        <w:t>准备金变动主要可归因于时间推移与业务数据变动，</w:t>
      </w:r>
      <w:r>
        <w:rPr>
          <w:rFonts w:ascii="SimSun" w:hAnsi="SimSun" w:eastAsia="SimSun" w:cs="SimSun"/>
          <w:sz w:val="23"/>
          <w:szCs w:val="23"/>
          <w:spacing w:val="67"/>
        </w:rPr>
        <w:t xml:space="preserve"> </w:t>
      </w:r>
      <w:r>
        <w:rPr>
          <w:rFonts w:ascii="SimSun" w:hAnsi="SimSun" w:eastAsia="SimSun" w:cs="SimSun"/>
          <w:sz w:val="23"/>
          <w:szCs w:val="23"/>
          <w:spacing w:val="-2"/>
        </w:rPr>
        <w:t>并可</w:t>
      </w:r>
      <w:r>
        <w:rPr>
          <w:rFonts w:ascii="SimSun" w:hAnsi="SimSun" w:eastAsia="SimSun" w:cs="SimSun"/>
          <w:sz w:val="23"/>
          <w:szCs w:val="23"/>
          <w:spacing w:val="3"/>
        </w:rPr>
        <w:t>在传统利源分析框架下分解为费差、利差、死差与退保等差异，</w:t>
      </w:r>
      <w:r>
        <w:rPr>
          <w:rFonts w:ascii="SimSun" w:hAnsi="SimSun" w:eastAsia="SimSun" w:cs="SimSun"/>
          <w:sz w:val="23"/>
          <w:szCs w:val="23"/>
          <w:spacing w:val="92"/>
        </w:rPr>
        <w:t xml:space="preserve"> </w:t>
      </w:r>
      <w:r>
        <w:rPr>
          <w:rFonts w:ascii="SimSun" w:hAnsi="SimSun" w:eastAsia="SimSun" w:cs="SimSun"/>
          <w:sz w:val="23"/>
          <w:szCs w:val="23"/>
          <w:spacing w:val="3"/>
        </w:rPr>
        <w:t>以解释实际结果相对预</w:t>
      </w:r>
      <w:r>
        <w:rPr>
          <w:rFonts w:ascii="SimSun" w:hAnsi="SimSun" w:eastAsia="SimSun" w:cs="SimSun"/>
          <w:sz w:val="23"/>
          <w:szCs w:val="23"/>
          <w:spacing w:val="1"/>
        </w:rPr>
        <w:t>期的偏离来源。原则导向体系下，</w:t>
      </w:r>
      <w:r>
        <w:rPr>
          <w:rFonts w:ascii="SimSun" w:hAnsi="SimSun" w:eastAsia="SimSun" w:cs="SimSun"/>
          <w:sz w:val="23"/>
          <w:szCs w:val="23"/>
          <w:spacing w:val="64"/>
        </w:rPr>
        <w:t xml:space="preserve"> </w:t>
      </w:r>
      <w:r>
        <w:rPr>
          <w:rFonts w:ascii="SimSun" w:hAnsi="SimSun" w:eastAsia="SimSun" w:cs="SimSun"/>
          <w:sz w:val="23"/>
          <w:szCs w:val="23"/>
          <w:spacing w:val="1"/>
        </w:rPr>
        <w:t>准备金变动除时间与数据因</w:t>
      </w:r>
      <w:r>
        <w:rPr>
          <w:rFonts w:ascii="SimSun" w:hAnsi="SimSun" w:eastAsia="SimSun" w:cs="SimSun"/>
          <w:sz w:val="23"/>
          <w:szCs w:val="23"/>
        </w:rPr>
        <w:t>素外， 还可能受到模型变</w:t>
      </w:r>
      <w:r>
        <w:rPr>
          <w:rFonts w:ascii="SimSun" w:hAnsi="SimSun" w:eastAsia="SimSun" w:cs="SimSun"/>
          <w:sz w:val="23"/>
          <w:szCs w:val="23"/>
          <w:spacing w:val="6"/>
        </w:rPr>
        <w:t>更与假设更新影响，</w:t>
      </w:r>
      <w:r>
        <w:rPr>
          <w:rFonts w:ascii="SimSun" w:hAnsi="SimSun" w:eastAsia="SimSun" w:cs="SimSun"/>
          <w:sz w:val="23"/>
          <w:szCs w:val="23"/>
          <w:spacing w:val="-22"/>
        </w:rPr>
        <w:t xml:space="preserve"> </w:t>
      </w:r>
      <w:r>
        <w:rPr>
          <w:rFonts w:ascii="SimSun" w:hAnsi="SimSun" w:eastAsia="SimSun" w:cs="SimSun"/>
          <w:sz w:val="23"/>
          <w:szCs w:val="23"/>
          <w:spacing w:val="6"/>
        </w:rPr>
        <w:t>因此需要在更细颗粒度上解释预期利润释放与实际经营结果的偏离</w:t>
      </w:r>
      <w:bookmarkStart w:name="bookmark32" w:id="56"/>
      <w:bookmarkEnd w:id="56"/>
      <w:r>
        <w:rPr>
          <w:rFonts w:ascii="SimSun" w:hAnsi="SimSun" w:eastAsia="SimSun" w:cs="SimSun"/>
          <w:sz w:val="23"/>
          <w:szCs w:val="23"/>
          <w:spacing w:val="7"/>
        </w:rPr>
        <w:t>原因，并形成可审计、可管理的解释口径，以支持管理决策与外部披露。</w:t>
      </w:r>
    </w:p>
    <w:p>
      <w:pPr>
        <w:pStyle w:val="BodyText"/>
        <w:spacing w:line="255" w:lineRule="auto"/>
        <w:rPr/>
      </w:pPr>
      <w:r/>
    </w:p>
    <w:p>
      <w:pPr>
        <w:pStyle w:val="BodyText"/>
        <w:spacing w:line="256" w:lineRule="auto"/>
        <w:rPr/>
      </w:pPr>
      <w:r/>
    </w:p>
    <w:p>
      <w:pPr>
        <w:ind w:left="12"/>
        <w:spacing w:before="75" w:line="229" w:lineRule="auto"/>
        <w:outlineLvl w:val="3"/>
        <w:rPr>
          <w:rFonts w:ascii="SimHei" w:hAnsi="SimHei" w:eastAsia="SimHei" w:cs="SimHei"/>
          <w:sz w:val="23"/>
          <w:szCs w:val="23"/>
        </w:rPr>
      </w:pPr>
      <w:bookmarkStart w:name="bookmark71" w:id="57"/>
      <w:bookmarkEnd w:id="57"/>
      <w:r>
        <w:rPr>
          <w:rFonts w:ascii="Times New Roman" w:hAnsi="Times New Roman" w:eastAsia="Times New Roman" w:cs="Times New Roman"/>
          <w:sz w:val="23"/>
          <w:szCs w:val="23"/>
          <w:b/>
          <w:bCs/>
          <w:spacing w:val="10"/>
        </w:rPr>
        <w:t>1.4.3.6    </w:t>
      </w:r>
      <w:r>
        <w:rPr>
          <w:rFonts w:ascii="SimHei" w:hAnsi="SimHei" w:eastAsia="SimHei" w:cs="SimHei"/>
          <w:sz w:val="23"/>
          <w:szCs w:val="23"/>
          <w:spacing w:val="10"/>
        </w:rPr>
        <w:t>精算评估的延伸职能</w:t>
      </w:r>
    </w:p>
    <w:p>
      <w:pPr>
        <w:ind w:firstLine="479"/>
        <w:spacing w:before="314" w:line="288" w:lineRule="auto"/>
        <w:jc w:val="both"/>
        <w:rPr>
          <w:rFonts w:ascii="SimSun" w:hAnsi="SimSun" w:eastAsia="SimSun" w:cs="SimSun"/>
          <w:sz w:val="23"/>
          <w:szCs w:val="23"/>
        </w:rPr>
      </w:pPr>
      <w:r>
        <w:rPr>
          <w:rFonts w:ascii="SimSun" w:hAnsi="SimSun" w:eastAsia="SimSun" w:cs="SimSun"/>
          <w:sz w:val="23"/>
          <w:szCs w:val="23"/>
          <w:spacing w:val="4"/>
        </w:rPr>
        <w:t>精算评估除准备金计量外，</w:t>
      </w:r>
      <w:r>
        <w:rPr>
          <w:rFonts w:ascii="SimSun" w:hAnsi="SimSun" w:eastAsia="SimSun" w:cs="SimSun"/>
          <w:sz w:val="23"/>
          <w:szCs w:val="23"/>
          <w:spacing w:val="-59"/>
        </w:rPr>
        <w:t xml:space="preserve"> </w:t>
      </w:r>
      <w:r>
        <w:rPr>
          <w:rFonts w:ascii="SimSun" w:hAnsi="SimSun" w:eastAsia="SimSun" w:cs="SimSun"/>
          <w:sz w:val="23"/>
          <w:szCs w:val="23"/>
          <w:spacing w:val="4"/>
        </w:rPr>
        <w:t>还涵盖红利分配、</w:t>
      </w:r>
      <w:r>
        <w:rPr>
          <w:rFonts w:ascii="SimSun" w:hAnsi="SimSun" w:eastAsia="SimSun" w:cs="SimSun"/>
          <w:sz w:val="23"/>
          <w:szCs w:val="23"/>
          <w:spacing w:val="3"/>
        </w:rPr>
        <w:t>业务规划与偿付能力管理等重要职能。</w:t>
      </w:r>
      <w:r>
        <w:rPr>
          <w:rFonts w:ascii="SimSun" w:hAnsi="SimSun" w:eastAsia="SimSun" w:cs="SimSun"/>
          <w:sz w:val="23"/>
          <w:szCs w:val="23"/>
          <w:spacing w:val="-3"/>
        </w:rPr>
        <w:t>红利分配主要面向分红保险业务，</w:t>
      </w:r>
      <w:r>
        <w:rPr>
          <w:rFonts w:ascii="SimSun" w:hAnsi="SimSun" w:eastAsia="SimSun" w:cs="SimSun"/>
          <w:sz w:val="23"/>
          <w:szCs w:val="23"/>
          <w:spacing w:val="-19"/>
        </w:rPr>
        <w:t xml:space="preserve"> </w:t>
      </w:r>
      <w:r>
        <w:rPr>
          <w:rFonts w:ascii="SimSun" w:hAnsi="SimSun" w:eastAsia="SimSun" w:cs="SimSun"/>
          <w:sz w:val="23"/>
          <w:szCs w:val="23"/>
          <w:spacing w:val="-3"/>
        </w:rPr>
        <w:t>需要在公平、公正、长期稳健与可持续原则下， 基于实</w:t>
      </w:r>
      <w:r>
        <w:rPr>
          <w:rFonts w:ascii="SimSun" w:hAnsi="SimSun" w:eastAsia="SimSun" w:cs="SimSun"/>
          <w:sz w:val="23"/>
          <w:szCs w:val="23"/>
          <w:spacing w:val="5"/>
        </w:rPr>
        <w:t>际经营结果形成分配方案， 并在既定计量基础上保证一致性与可比性。业务规划包括年</w:t>
      </w:r>
      <w:r>
        <w:rPr>
          <w:rFonts w:ascii="SimSun" w:hAnsi="SimSun" w:eastAsia="SimSun" w:cs="SimSun"/>
          <w:sz w:val="23"/>
          <w:szCs w:val="23"/>
          <w:spacing w:val="2"/>
        </w:rPr>
        <w:t>度规划与中长期规划，</w:t>
      </w:r>
      <w:r>
        <w:rPr>
          <w:rFonts w:ascii="SimSun" w:hAnsi="SimSun" w:eastAsia="SimSun" w:cs="SimSun"/>
          <w:sz w:val="23"/>
          <w:szCs w:val="23"/>
          <w:spacing w:val="-30"/>
        </w:rPr>
        <w:t xml:space="preserve"> </w:t>
      </w:r>
      <w:r>
        <w:rPr>
          <w:rFonts w:ascii="SimSun" w:hAnsi="SimSun" w:eastAsia="SimSun" w:cs="SimSun"/>
          <w:sz w:val="23"/>
          <w:szCs w:val="23"/>
          <w:spacing w:val="2"/>
        </w:rPr>
        <w:t>规划制定过程中通常需要进行敏</w:t>
      </w:r>
      <w:r>
        <w:rPr>
          <w:rFonts w:ascii="SimSun" w:hAnsi="SimSun" w:eastAsia="SimSun" w:cs="SimSun"/>
          <w:sz w:val="23"/>
          <w:szCs w:val="23"/>
          <w:spacing w:val="1"/>
        </w:rPr>
        <w:t>感性测试与不利情景测试，</w:t>
      </w:r>
      <w:r>
        <w:rPr>
          <w:rFonts w:ascii="SimSun" w:hAnsi="SimSun" w:eastAsia="SimSun" w:cs="SimSun"/>
          <w:sz w:val="23"/>
          <w:szCs w:val="23"/>
          <w:spacing w:val="59"/>
        </w:rPr>
        <w:t xml:space="preserve"> </w:t>
      </w:r>
      <w:r>
        <w:rPr>
          <w:rFonts w:ascii="SimSun" w:hAnsi="SimSun" w:eastAsia="SimSun" w:cs="SimSun"/>
          <w:sz w:val="23"/>
          <w:szCs w:val="23"/>
          <w:spacing w:val="1"/>
        </w:rPr>
        <w:t>评估</w:t>
      </w:r>
      <w:r>
        <w:rPr>
          <w:rFonts w:ascii="SimSun" w:hAnsi="SimSun" w:eastAsia="SimSun" w:cs="SimSun"/>
          <w:sz w:val="23"/>
          <w:szCs w:val="23"/>
          <w:spacing w:val="11"/>
        </w:rPr>
        <w:t>风险因素对目标实现的影响并验证规划稳健性。偿付能力管理是监管关注的核心领域，</w:t>
      </w:r>
      <w:r>
        <w:rPr>
          <w:rFonts w:ascii="SimSun" w:hAnsi="SimSun" w:eastAsia="SimSun" w:cs="SimSun"/>
          <w:sz w:val="23"/>
          <w:szCs w:val="23"/>
          <w:spacing w:val="4"/>
        </w:rPr>
        <w:t>精算部门通常需要计算实际资本与最低资本，</w:t>
      </w:r>
      <w:r>
        <w:rPr>
          <w:rFonts w:ascii="SimSun" w:hAnsi="SimSun" w:eastAsia="SimSun" w:cs="SimSun"/>
          <w:sz w:val="23"/>
          <w:szCs w:val="23"/>
          <w:spacing w:val="54"/>
        </w:rPr>
        <w:t xml:space="preserve"> </w:t>
      </w:r>
      <w:r>
        <w:rPr>
          <w:rFonts w:ascii="SimSun" w:hAnsi="SimSun" w:eastAsia="SimSun" w:cs="SimSun"/>
          <w:sz w:val="23"/>
          <w:szCs w:val="23"/>
          <w:spacing w:val="4"/>
        </w:rPr>
        <w:t>评估偿付能力充足率并开展敏感性与情景</w:t>
      </w:r>
      <w:r>
        <w:rPr>
          <w:rFonts w:ascii="SimSun" w:hAnsi="SimSun" w:eastAsia="SimSun" w:cs="SimSun"/>
          <w:sz w:val="23"/>
          <w:szCs w:val="23"/>
          <w:spacing w:val="7"/>
        </w:rPr>
        <w:t>分析识别风险因素，从而提出相应风险管控措施。偿付能力充足率可按如下关系表示：</w:t>
      </w:r>
    </w:p>
    <w:p>
      <w:pPr>
        <w:ind w:left="3006"/>
        <w:spacing w:before="177" w:line="222" w:lineRule="auto"/>
        <w:rPr>
          <w:rFonts w:ascii="SimSun" w:hAnsi="SimSun" w:eastAsia="SimSun" w:cs="SimSun"/>
          <w:sz w:val="23"/>
          <w:szCs w:val="23"/>
        </w:rPr>
      </w:pPr>
      <w:r>
        <w:pict>
          <v:shape id="_x0000_s38" style="position:absolute;margin-left:250.143pt;margin-top:24.4007pt;mso-position-vertical-relative:text;mso-position-horizontal-relative:text;width:53.65pt;height:16.1pt;z-index:251680768;" filled="false" stroked="false" type="#_x0000_t202">
            <v:fill on="false"/>
            <v:stroke on="false"/>
            <v:path/>
            <v:imagedata o:title=""/>
            <o:lock v:ext="edit" aspectratio="false"/>
            <v:textbox inset="0mm,0mm,0mm,0mm">
              <w:txbxContent>
                <w:p>
                  <w:pPr>
                    <w:ind w:left="20"/>
                    <w:spacing w:before="20" w:line="281" w:lineRule="exact"/>
                    <w:rPr>
                      <w:rFonts w:ascii="Times New Roman" w:hAnsi="Times New Roman" w:eastAsia="Times New Roman" w:cs="Times New Roman"/>
                      <w:sz w:val="23"/>
                      <w:szCs w:val="23"/>
                    </w:rPr>
                  </w:pPr>
                  <w:r>
                    <w:rPr>
                      <w:rFonts w:ascii="SimSun" w:hAnsi="SimSun" w:eastAsia="SimSun" w:cs="SimSun"/>
                      <w:sz w:val="23"/>
                      <w:szCs w:val="23"/>
                      <w:spacing w:val="13"/>
                    </w:rPr>
                    <w:t>最低资本</w:t>
                  </w:r>
                  <w:r>
                    <w:rPr>
                      <w:rFonts w:ascii="Times New Roman" w:hAnsi="Times New Roman" w:eastAsia="Times New Roman" w:cs="Times New Roman"/>
                      <w:sz w:val="23"/>
                      <w:szCs w:val="23"/>
                      <w:spacing w:val="13"/>
                      <w:position w:val="16"/>
                    </w:rPr>
                    <w:t>.</w:t>
                  </w:r>
                </w:p>
              </w:txbxContent>
            </v:textbox>
          </v:shape>
        </w:pict>
      </w:r>
      <w:r>
        <w:rPr>
          <w:rFonts w:ascii="SimSun" w:hAnsi="SimSun" w:eastAsia="SimSun" w:cs="SimSun"/>
          <w:sz w:val="23"/>
          <w:szCs w:val="23"/>
          <w:spacing w:val="9"/>
          <w:position w:val="-5"/>
        </w:rPr>
        <w:t>偿付能力充足率</w:t>
      </w:r>
      <w:r>
        <w:rPr>
          <w:rFonts w:ascii="SimSun" w:hAnsi="SimSun" w:eastAsia="SimSun" w:cs="SimSun"/>
          <w:sz w:val="23"/>
          <w:szCs w:val="23"/>
          <w:spacing w:val="-29"/>
          <w:position w:val="-5"/>
        </w:rPr>
        <w:t xml:space="preserve"> </w:t>
      </w:r>
      <w:r>
        <w:rPr>
          <w:rFonts w:ascii="Times New Roman" w:hAnsi="Times New Roman" w:eastAsia="Times New Roman" w:cs="Times New Roman"/>
          <w:sz w:val="23"/>
          <w:szCs w:val="23"/>
          <w:spacing w:val="9"/>
          <w:position w:val="-5"/>
        </w:rPr>
        <w:t>=</w:t>
      </w:r>
      <w:r>
        <w:rPr>
          <w:rFonts w:ascii="Times New Roman" w:hAnsi="Times New Roman" w:eastAsia="Times New Roman" w:cs="Times New Roman"/>
          <w:sz w:val="23"/>
          <w:szCs w:val="23"/>
          <w:spacing w:val="48"/>
          <w:position w:val="-5"/>
        </w:rPr>
        <w:t xml:space="preserve"> </w:t>
      </w:r>
      <w:r>
        <w:rPr>
          <w:rFonts w:ascii="SimSun" w:hAnsi="SimSun" w:eastAsia="SimSun" w:cs="SimSun"/>
          <w:sz w:val="23"/>
          <w:szCs w:val="23"/>
          <w:u w:val="single" w:color="auto"/>
          <w:spacing w:val="9"/>
          <w:position w:val="10"/>
        </w:rPr>
        <w:t>实际资本</w:t>
      </w:r>
    </w:p>
    <w:p>
      <w:pPr>
        <w:pStyle w:val="BodyText"/>
        <w:spacing w:line="364" w:lineRule="auto"/>
        <w:rPr/>
      </w:pPr>
      <w:r/>
    </w:p>
    <w:p>
      <w:pPr>
        <w:ind w:right="114" w:firstLine="4"/>
        <w:spacing w:before="75" w:line="289" w:lineRule="auto"/>
        <w:jc w:val="both"/>
        <w:rPr>
          <w:rFonts w:ascii="SimSun" w:hAnsi="SimSun" w:eastAsia="SimSun" w:cs="SimSun"/>
          <w:sz w:val="23"/>
          <w:szCs w:val="23"/>
        </w:rPr>
      </w:pPr>
      <w:r>
        <w:rPr>
          <w:rFonts w:ascii="SimSun" w:hAnsi="SimSun" w:eastAsia="SimSun" w:cs="SimSun"/>
          <w:sz w:val="23"/>
          <w:szCs w:val="23"/>
          <w:spacing w:val="4"/>
        </w:rPr>
        <w:t>该指标以资本视角刻画履约能力状况，</w:t>
      </w:r>
      <w:r>
        <w:rPr>
          <w:rFonts w:ascii="SimSun" w:hAnsi="SimSun" w:eastAsia="SimSun" w:cs="SimSun"/>
          <w:sz w:val="23"/>
          <w:szCs w:val="23"/>
          <w:spacing w:val="62"/>
        </w:rPr>
        <w:t xml:space="preserve"> </w:t>
      </w:r>
      <w:r>
        <w:rPr>
          <w:rFonts w:ascii="SimSun" w:hAnsi="SimSun" w:eastAsia="SimSun" w:cs="SimSun"/>
          <w:sz w:val="23"/>
          <w:szCs w:val="23"/>
          <w:spacing w:val="4"/>
        </w:rPr>
        <w:t>其波动与业务结构</w:t>
      </w:r>
      <w:r>
        <w:rPr>
          <w:rFonts w:ascii="SimSun" w:hAnsi="SimSun" w:eastAsia="SimSun" w:cs="SimSun"/>
          <w:sz w:val="23"/>
          <w:szCs w:val="23"/>
          <w:spacing w:val="3"/>
        </w:rPr>
        <w:t>、资产配置、假设更新及市场</w:t>
      </w:r>
      <w:r>
        <w:rPr>
          <w:rFonts w:ascii="SimSun" w:hAnsi="SimSun" w:eastAsia="SimSun" w:cs="SimSun"/>
          <w:sz w:val="23"/>
          <w:szCs w:val="23"/>
          <w:spacing w:val="5"/>
        </w:rPr>
        <w:t>环境变化均具有内在关联， 因此需要在评估解释与风险治理体系中形成稳定的监控与反</w:t>
      </w:r>
      <w:bookmarkStart w:name="bookmark33" w:id="58"/>
      <w:bookmarkEnd w:id="58"/>
      <w:r>
        <w:rPr>
          <w:rFonts w:ascii="SimSun" w:hAnsi="SimSun" w:eastAsia="SimSun" w:cs="SimSun"/>
          <w:sz w:val="23"/>
          <w:szCs w:val="23"/>
          <w:spacing w:val="-3"/>
        </w:rPr>
        <w:t>馈机制。</w:t>
      </w:r>
    </w:p>
    <w:p>
      <w:pPr>
        <w:spacing w:line="289" w:lineRule="auto"/>
        <w:sectPr>
          <w:footerReference w:type="default" r:id="rId19"/>
          <w:pgSz w:w="11906" w:h="16838"/>
          <w:pgMar w:top="400" w:right="1302" w:bottom="980" w:left="1425" w:header="0" w:footer="767" w:gutter="0"/>
        </w:sectPr>
        <w:rPr>
          <w:rFonts w:ascii="SimSun" w:hAnsi="SimSun" w:eastAsia="SimSun" w:cs="SimSun"/>
          <w:sz w:val="23"/>
          <w:szCs w:val="23"/>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16"/>
        <w:spacing w:before="91" w:line="226" w:lineRule="auto"/>
        <w:outlineLvl w:val="2"/>
        <w:rPr>
          <w:rFonts w:ascii="SimHei" w:hAnsi="SimHei" w:eastAsia="SimHei" w:cs="SimHei"/>
          <w:sz w:val="28"/>
          <w:szCs w:val="28"/>
        </w:rPr>
      </w:pPr>
      <w:bookmarkStart w:name="bookmark34" w:id="59"/>
      <w:bookmarkEnd w:id="59"/>
      <w:r>
        <w:rPr>
          <w:rFonts w:ascii="Times New Roman" w:hAnsi="Times New Roman" w:eastAsia="Times New Roman" w:cs="Times New Roman"/>
          <w:sz w:val="28"/>
          <w:szCs w:val="28"/>
          <w:b/>
          <w:bCs/>
          <w:spacing w:val="8"/>
        </w:rPr>
        <w:t>1.4.4    </w:t>
      </w:r>
      <w:r>
        <w:rPr>
          <w:rFonts w:ascii="SimHei" w:hAnsi="SimHei" w:eastAsia="SimHei" w:cs="SimHei"/>
          <w:sz w:val="28"/>
          <w:szCs w:val="28"/>
          <w:spacing w:val="8"/>
        </w:rPr>
        <w:t>经验分析</w:t>
      </w:r>
    </w:p>
    <w:p>
      <w:pPr>
        <w:ind w:left="12"/>
        <w:spacing w:before="257" w:line="229" w:lineRule="auto"/>
        <w:outlineLvl w:val="3"/>
        <w:rPr>
          <w:rFonts w:ascii="SimHei" w:hAnsi="SimHei" w:eastAsia="SimHei" w:cs="SimHei"/>
          <w:sz w:val="23"/>
          <w:szCs w:val="23"/>
        </w:rPr>
      </w:pPr>
      <w:bookmarkStart w:name="bookmark72" w:id="60"/>
      <w:bookmarkEnd w:id="60"/>
      <w:r>
        <w:rPr>
          <w:rFonts w:ascii="Times New Roman" w:hAnsi="Times New Roman" w:eastAsia="Times New Roman" w:cs="Times New Roman"/>
          <w:sz w:val="23"/>
          <w:szCs w:val="23"/>
          <w:b/>
          <w:bCs/>
          <w:spacing w:val="10"/>
        </w:rPr>
        <w:t>1.4.4.1    </w:t>
      </w:r>
      <w:r>
        <w:rPr>
          <w:rFonts w:ascii="SimHei" w:hAnsi="SimHei" w:eastAsia="SimHei" w:cs="SimHei"/>
          <w:sz w:val="23"/>
          <w:szCs w:val="23"/>
          <w:spacing w:val="10"/>
        </w:rPr>
        <w:t>经验分析的定义与定位</w:t>
      </w:r>
    </w:p>
    <w:p>
      <w:pPr>
        <w:ind w:right="114" w:firstLine="481"/>
        <w:spacing w:before="224" w:line="289" w:lineRule="auto"/>
        <w:jc w:val="both"/>
        <w:rPr>
          <w:rFonts w:ascii="SimSun" w:hAnsi="SimSun" w:eastAsia="SimSun" w:cs="SimSun"/>
          <w:sz w:val="23"/>
          <w:szCs w:val="23"/>
        </w:rPr>
      </w:pPr>
      <w:r>
        <w:rPr>
          <w:rFonts w:ascii="SimSun" w:hAnsi="SimSun" w:eastAsia="SimSun" w:cs="SimSun"/>
          <w:sz w:val="23"/>
          <w:szCs w:val="23"/>
          <w:spacing w:val="3"/>
        </w:rPr>
        <w:t>经验分析是通过收集、整理与分析历史业务数据，</w:t>
      </w:r>
      <w:r>
        <w:rPr>
          <w:rFonts w:ascii="SimSun" w:hAnsi="SimSun" w:eastAsia="SimSun" w:cs="SimSun"/>
          <w:sz w:val="23"/>
          <w:szCs w:val="23"/>
          <w:spacing w:val="77"/>
        </w:rPr>
        <w:t xml:space="preserve"> </w:t>
      </w:r>
      <w:r>
        <w:rPr>
          <w:rFonts w:ascii="SimSun" w:hAnsi="SimSun" w:eastAsia="SimSun" w:cs="SimSun"/>
          <w:sz w:val="23"/>
          <w:szCs w:val="23"/>
          <w:spacing w:val="3"/>
        </w:rPr>
        <w:t>识别风险规律并解释实际结果相</w:t>
      </w:r>
      <w:r>
        <w:rPr>
          <w:rFonts w:ascii="SimSun" w:hAnsi="SimSun" w:eastAsia="SimSun" w:cs="SimSun"/>
          <w:sz w:val="23"/>
          <w:szCs w:val="23"/>
          <w:spacing w:val="4"/>
        </w:rPr>
        <w:t>对于预期的偏离原因的工作。经验分析连接</w:t>
      </w:r>
      <w:r>
        <w:rPr>
          <w:rFonts w:ascii="SimSun" w:hAnsi="SimSun" w:eastAsia="SimSun" w:cs="SimSun"/>
          <w:sz w:val="23"/>
          <w:szCs w:val="23"/>
          <w:spacing w:val="3"/>
        </w:rPr>
        <w:t>模型与实际经营，</w:t>
      </w:r>
      <w:r>
        <w:rPr>
          <w:rFonts w:ascii="SimSun" w:hAnsi="SimSun" w:eastAsia="SimSun" w:cs="SimSun"/>
          <w:sz w:val="23"/>
          <w:szCs w:val="23"/>
          <w:spacing w:val="73"/>
        </w:rPr>
        <w:t xml:space="preserve"> </w:t>
      </w:r>
      <w:r>
        <w:rPr>
          <w:rFonts w:ascii="SimSun" w:hAnsi="SimSun" w:eastAsia="SimSun" w:cs="SimSun"/>
          <w:sz w:val="23"/>
          <w:szCs w:val="23"/>
          <w:spacing w:val="3"/>
        </w:rPr>
        <w:t>既是精算假设治理的基础</w:t>
      </w:r>
      <w:r>
        <w:rPr>
          <w:rFonts w:ascii="SimSun" w:hAnsi="SimSun" w:eastAsia="SimSun" w:cs="SimSun"/>
          <w:sz w:val="23"/>
          <w:szCs w:val="23"/>
          <w:spacing w:val="4"/>
        </w:rPr>
        <w:t>环节，也是经营管理的价值创造环节。经验分析不应止于描述性统</w:t>
      </w:r>
      <w:r>
        <w:rPr>
          <w:rFonts w:ascii="SimSun" w:hAnsi="SimSun" w:eastAsia="SimSun" w:cs="SimSun"/>
          <w:sz w:val="23"/>
          <w:szCs w:val="23"/>
          <w:spacing w:val="3"/>
        </w:rPr>
        <w:t>计，</w:t>
      </w:r>
      <w:r>
        <w:rPr>
          <w:rFonts w:ascii="SimSun" w:hAnsi="SimSun" w:eastAsia="SimSun" w:cs="SimSun"/>
          <w:sz w:val="23"/>
          <w:szCs w:val="23"/>
          <w:spacing w:val="63"/>
        </w:rPr>
        <w:t xml:space="preserve"> </w:t>
      </w:r>
      <w:r>
        <w:rPr>
          <w:rFonts w:ascii="SimSun" w:hAnsi="SimSun" w:eastAsia="SimSun" w:cs="SimSun"/>
          <w:sz w:val="23"/>
          <w:szCs w:val="23"/>
          <w:spacing w:val="3"/>
        </w:rPr>
        <w:t>而应进一步追溯</w:t>
      </w:r>
      <w:r>
        <w:rPr>
          <w:rFonts w:ascii="SimSun" w:hAnsi="SimSun" w:eastAsia="SimSun" w:cs="SimSun"/>
          <w:sz w:val="23"/>
          <w:szCs w:val="23"/>
          <w:spacing w:val="4"/>
        </w:rPr>
        <w:t>偏离原因、识别可控因素、提出可执行的管理措施，</w:t>
      </w:r>
      <w:r>
        <w:rPr>
          <w:rFonts w:ascii="SimSun" w:hAnsi="SimSun" w:eastAsia="SimSun" w:cs="SimSun"/>
          <w:sz w:val="23"/>
          <w:szCs w:val="23"/>
          <w:spacing w:val="69"/>
        </w:rPr>
        <w:t xml:space="preserve"> </w:t>
      </w:r>
      <w:r>
        <w:rPr>
          <w:rFonts w:ascii="SimSun" w:hAnsi="SimSun" w:eastAsia="SimSun" w:cs="SimSun"/>
          <w:sz w:val="23"/>
          <w:szCs w:val="23"/>
          <w:spacing w:val="3"/>
        </w:rPr>
        <w:t>并评估对定价、评估、价值指标与</w:t>
      </w:r>
      <w:r>
        <w:rPr>
          <w:rFonts w:ascii="SimSun" w:hAnsi="SimSun" w:eastAsia="SimSun" w:cs="SimSun"/>
          <w:sz w:val="23"/>
          <w:szCs w:val="23"/>
          <w:spacing w:val="8"/>
        </w:rPr>
        <w:t>偿付能力等关键指标的影响。经验分析的规范性直接影响假设更新的审慎性与外部复核</w:t>
      </w:r>
      <w:bookmarkStart w:name="bookmark35" w:id="61"/>
      <w:bookmarkEnd w:id="61"/>
      <w:r>
        <w:rPr>
          <w:rFonts w:ascii="SimSun" w:hAnsi="SimSun" w:eastAsia="SimSun" w:cs="SimSun"/>
          <w:sz w:val="23"/>
          <w:szCs w:val="23"/>
          <w:spacing w:val="1"/>
        </w:rPr>
        <w:t>的可接受性。</w:t>
      </w:r>
    </w:p>
    <w:p>
      <w:pPr>
        <w:pStyle w:val="BodyText"/>
        <w:spacing w:line="253" w:lineRule="auto"/>
        <w:rPr/>
      </w:pPr>
      <w:r/>
    </w:p>
    <w:p>
      <w:pPr>
        <w:ind w:left="12"/>
        <w:spacing w:before="74" w:line="229" w:lineRule="auto"/>
        <w:outlineLvl w:val="3"/>
        <w:rPr>
          <w:rFonts w:ascii="SimHei" w:hAnsi="SimHei" w:eastAsia="SimHei" w:cs="SimHei"/>
          <w:sz w:val="23"/>
          <w:szCs w:val="23"/>
        </w:rPr>
      </w:pPr>
      <w:bookmarkStart w:name="bookmark73" w:id="62"/>
      <w:bookmarkEnd w:id="62"/>
      <w:r>
        <w:rPr>
          <w:rFonts w:ascii="Times New Roman" w:hAnsi="Times New Roman" w:eastAsia="Times New Roman" w:cs="Times New Roman"/>
          <w:sz w:val="23"/>
          <w:szCs w:val="23"/>
          <w:b/>
          <w:bCs/>
          <w:spacing w:val="10"/>
        </w:rPr>
        <w:t>1.4.4.2    </w:t>
      </w:r>
      <w:r>
        <w:rPr>
          <w:rFonts w:ascii="SimHei" w:hAnsi="SimHei" w:eastAsia="SimHei" w:cs="SimHei"/>
          <w:sz w:val="23"/>
          <w:szCs w:val="23"/>
          <w:spacing w:val="10"/>
        </w:rPr>
        <w:t>经验分析的目的与输出</w:t>
      </w:r>
    </w:p>
    <w:p>
      <w:pPr>
        <w:ind w:right="114" w:firstLine="480"/>
        <w:spacing w:before="226" w:line="289" w:lineRule="auto"/>
        <w:jc w:val="both"/>
        <w:rPr>
          <w:rFonts w:ascii="SimSun" w:hAnsi="SimSun" w:eastAsia="SimSun" w:cs="SimSun"/>
          <w:sz w:val="23"/>
          <w:szCs w:val="23"/>
        </w:rPr>
      </w:pPr>
      <w:r>
        <w:rPr>
          <w:rFonts w:ascii="SimSun" w:hAnsi="SimSun" w:eastAsia="SimSun" w:cs="SimSun"/>
          <w:sz w:val="23"/>
          <w:szCs w:val="23"/>
          <w:spacing w:val="8"/>
        </w:rPr>
        <w:t>经验分析的目的可以概括为审核模型参数与假设、分析偏离原因、积累经验数据与</w:t>
      </w:r>
      <w:r>
        <w:rPr>
          <w:rFonts w:ascii="SimSun" w:hAnsi="SimSun" w:eastAsia="SimSun" w:cs="SimSun"/>
          <w:sz w:val="23"/>
          <w:szCs w:val="23"/>
          <w:spacing w:val="3"/>
        </w:rPr>
        <w:t>经验、分析利润来源、为管理层与股东提供信息、满足监管要求并提升公众形象，</w:t>
      </w:r>
      <w:r>
        <w:rPr>
          <w:rFonts w:ascii="SimSun" w:hAnsi="SimSun" w:eastAsia="SimSun" w:cs="SimSun"/>
          <w:sz w:val="23"/>
          <w:szCs w:val="23"/>
          <w:spacing w:val="91"/>
        </w:rPr>
        <w:t xml:space="preserve"> </w:t>
      </w:r>
      <w:r>
        <w:rPr>
          <w:rFonts w:ascii="SimSun" w:hAnsi="SimSun" w:eastAsia="SimSun" w:cs="SimSun"/>
          <w:sz w:val="23"/>
          <w:szCs w:val="23"/>
          <w:spacing w:val="3"/>
        </w:rPr>
        <w:t>以及</w:t>
      </w:r>
      <w:bookmarkStart w:name="bookmark74" w:id="63"/>
      <w:bookmarkEnd w:id="63"/>
      <w:r>
        <w:rPr>
          <w:rFonts w:ascii="SimSun" w:hAnsi="SimSun" w:eastAsia="SimSun" w:cs="SimSun"/>
          <w:sz w:val="23"/>
          <w:szCs w:val="23"/>
          <w:spacing w:val="6"/>
        </w:rPr>
        <w:t>满足上市或并购等信息披露要求，如表</w:t>
      </w:r>
      <w:hyperlink w:history="true" w:anchor="bookmark74">
        <w:r>
          <w:rPr>
            <w:rFonts w:ascii="Times New Roman" w:hAnsi="Times New Roman" w:eastAsia="Times New Roman" w:cs="Times New Roman"/>
            <w:sz w:val="23"/>
            <w:szCs w:val="23"/>
            <w:spacing w:val="6"/>
          </w:rPr>
          <w:t>1.12</w:t>
        </w:r>
      </w:hyperlink>
      <w:r>
        <w:rPr>
          <w:rFonts w:ascii="SimSun" w:hAnsi="SimSun" w:eastAsia="SimSun" w:cs="SimSun"/>
          <w:sz w:val="23"/>
          <w:szCs w:val="23"/>
          <w:spacing w:val="6"/>
        </w:rPr>
        <w:t>所示。</w:t>
      </w:r>
    </w:p>
    <w:p>
      <w:pPr>
        <w:ind w:left="2969"/>
        <w:spacing w:before="152" w:line="228" w:lineRule="auto"/>
        <w:rPr>
          <w:rFonts w:ascii="SimSun" w:hAnsi="SimSun" w:eastAsia="SimSun" w:cs="SimSun"/>
          <w:sz w:val="23"/>
          <w:szCs w:val="23"/>
        </w:rPr>
      </w:pPr>
      <w:r>
        <w:rPr>
          <w:rFonts w:ascii="SimSun" w:hAnsi="SimSun" w:eastAsia="SimSun" w:cs="SimSun"/>
          <w:sz w:val="23"/>
          <w:szCs w:val="23"/>
          <w:spacing w:val="3"/>
        </w:rPr>
        <w:t>表 </w:t>
      </w:r>
      <w:r>
        <w:rPr>
          <w:rFonts w:ascii="Times New Roman" w:hAnsi="Times New Roman" w:eastAsia="Times New Roman" w:cs="Times New Roman"/>
          <w:sz w:val="23"/>
          <w:szCs w:val="23"/>
          <w:spacing w:val="3"/>
        </w:rPr>
        <w:t>1.12:</w:t>
      </w:r>
      <w:r>
        <w:rPr>
          <w:rFonts w:ascii="Times New Roman" w:hAnsi="Times New Roman" w:eastAsia="Times New Roman" w:cs="Times New Roman"/>
          <w:sz w:val="23"/>
          <w:szCs w:val="23"/>
        </w:rPr>
        <w:t xml:space="preserve">  </w:t>
      </w:r>
      <w:r>
        <w:rPr>
          <w:rFonts w:ascii="SimSun" w:hAnsi="SimSun" w:eastAsia="SimSun" w:cs="SimSun"/>
          <w:sz w:val="23"/>
          <w:szCs w:val="23"/>
          <w:spacing w:val="3"/>
        </w:rPr>
        <w:t>经验分析的主要目的</w:t>
      </w:r>
    </w:p>
    <w:p>
      <w:pPr>
        <w:spacing w:line="208" w:lineRule="exact"/>
        <w:rPr/>
      </w:pPr>
      <w:r/>
    </w:p>
    <w:tbl>
      <w:tblPr>
        <w:tblStyle w:val="TableNormal"/>
        <w:tblW w:w="8823" w:type="dxa"/>
        <w:tblInd w:w="11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65"/>
        <w:gridCol w:w="6658"/>
      </w:tblGrid>
      <w:tr>
        <w:trPr>
          <w:trHeight w:val="475" w:hRule="atLeast"/>
        </w:trPr>
        <w:tc>
          <w:tcPr>
            <w:tcW w:w="2165" w:type="dxa"/>
            <w:vAlign w:val="top"/>
            <w:tcBorders>
              <w:bottom w:val="single" w:color="000000" w:sz="4" w:space="0"/>
              <w:top w:val="single" w:color="000000" w:sz="6" w:space="0"/>
            </w:tcBorders>
          </w:tcPr>
          <w:p>
            <w:pPr>
              <w:pStyle w:val="TableText"/>
              <w:ind w:left="174"/>
              <w:spacing w:before="116" w:line="227" w:lineRule="auto"/>
              <w:rPr/>
            </w:pPr>
            <w:r>
              <w:rPr>
                <w:spacing w:val="-4"/>
              </w:rPr>
              <w:t>目的类别</w:t>
            </w:r>
          </w:p>
        </w:tc>
        <w:tc>
          <w:tcPr>
            <w:tcW w:w="6658" w:type="dxa"/>
            <w:vAlign w:val="top"/>
            <w:tcBorders>
              <w:bottom w:val="single" w:color="000000" w:sz="4" w:space="0"/>
              <w:top w:val="single" w:color="000000" w:sz="6" w:space="0"/>
            </w:tcBorders>
          </w:tcPr>
          <w:p>
            <w:pPr>
              <w:pStyle w:val="TableText"/>
              <w:ind w:left="384"/>
              <w:spacing w:before="117" w:line="228" w:lineRule="auto"/>
              <w:rPr/>
            </w:pPr>
            <w:r>
              <w:rPr>
                <w:spacing w:val="5"/>
              </w:rPr>
              <w:t>具体指向</w:t>
            </w:r>
          </w:p>
        </w:tc>
      </w:tr>
      <w:tr>
        <w:trPr>
          <w:trHeight w:val="404" w:hRule="atLeast"/>
        </w:trPr>
        <w:tc>
          <w:tcPr>
            <w:tcW w:w="2165" w:type="dxa"/>
            <w:vAlign w:val="top"/>
            <w:tcBorders>
              <w:top w:val="single" w:color="000000" w:sz="4" w:space="0"/>
            </w:tcBorders>
          </w:tcPr>
          <w:p>
            <w:pPr>
              <w:pStyle w:val="TableText"/>
              <w:ind w:left="128"/>
              <w:spacing w:before="110" w:line="226" w:lineRule="auto"/>
              <w:rPr/>
            </w:pPr>
            <w:r>
              <w:rPr>
                <w:spacing w:val="7"/>
              </w:rPr>
              <w:t>假设与模型治理</w:t>
            </w:r>
          </w:p>
        </w:tc>
        <w:tc>
          <w:tcPr>
            <w:tcW w:w="6658" w:type="dxa"/>
            <w:vAlign w:val="top"/>
            <w:tcBorders>
              <w:top w:val="single" w:color="000000" w:sz="4" w:space="0"/>
            </w:tcBorders>
          </w:tcPr>
          <w:p>
            <w:pPr>
              <w:pStyle w:val="TableText"/>
              <w:ind w:left="392"/>
              <w:spacing w:before="110" w:line="226" w:lineRule="auto"/>
              <w:rPr/>
            </w:pPr>
            <w:r>
              <w:rPr>
                <w:spacing w:val="4"/>
              </w:rPr>
              <w:t>审核模型参数与假设的合理性，</w:t>
            </w:r>
            <w:r>
              <w:rPr>
                <w:spacing w:val="-47"/>
              </w:rPr>
              <w:t xml:space="preserve"> </w:t>
            </w:r>
            <w:r>
              <w:rPr>
                <w:spacing w:val="4"/>
              </w:rPr>
              <w:t>识别需要更</w:t>
            </w:r>
            <w:r>
              <w:rPr>
                <w:spacing w:val="3"/>
              </w:rPr>
              <w:t>新或改进的环节</w:t>
            </w:r>
          </w:p>
        </w:tc>
      </w:tr>
      <w:tr>
        <w:trPr>
          <w:trHeight w:val="357" w:hRule="atLeast"/>
        </w:trPr>
        <w:tc>
          <w:tcPr>
            <w:tcW w:w="2165" w:type="dxa"/>
            <w:vAlign w:val="top"/>
          </w:tcPr>
          <w:p>
            <w:pPr>
              <w:pStyle w:val="TableText"/>
              <w:ind w:left="128"/>
              <w:spacing w:before="65" w:line="226" w:lineRule="auto"/>
              <w:rPr/>
            </w:pPr>
            <w:r>
              <w:rPr>
                <w:spacing w:val="6"/>
              </w:rPr>
              <w:t>偏离解释</w:t>
            </w:r>
          </w:p>
        </w:tc>
        <w:tc>
          <w:tcPr>
            <w:tcW w:w="6658" w:type="dxa"/>
            <w:vAlign w:val="top"/>
          </w:tcPr>
          <w:p>
            <w:pPr>
              <w:pStyle w:val="TableText"/>
              <w:ind w:left="382"/>
              <w:spacing w:before="65" w:line="226" w:lineRule="auto"/>
              <w:rPr/>
            </w:pPr>
            <w:r>
              <w:rPr>
                <w:spacing w:val="8"/>
              </w:rPr>
              <w:t>分析实际结果偏离预期的原因，形成解释口径与管理建议</w:t>
            </w:r>
          </w:p>
        </w:tc>
      </w:tr>
      <w:tr>
        <w:trPr>
          <w:trHeight w:val="356" w:hRule="atLeast"/>
        </w:trPr>
        <w:tc>
          <w:tcPr>
            <w:tcW w:w="2165" w:type="dxa"/>
            <w:vAlign w:val="top"/>
          </w:tcPr>
          <w:p>
            <w:pPr>
              <w:pStyle w:val="TableText"/>
              <w:ind w:left="130"/>
              <w:spacing w:before="66" w:line="224" w:lineRule="auto"/>
              <w:rPr/>
            </w:pPr>
            <w:r>
              <w:rPr>
                <w:spacing w:val="6"/>
              </w:rPr>
              <w:t>经验积累</w:t>
            </w:r>
          </w:p>
        </w:tc>
        <w:tc>
          <w:tcPr>
            <w:tcW w:w="6658" w:type="dxa"/>
            <w:vAlign w:val="top"/>
          </w:tcPr>
          <w:p>
            <w:pPr>
              <w:pStyle w:val="TableText"/>
              <w:ind w:left="382"/>
              <w:spacing w:before="66" w:line="224" w:lineRule="auto"/>
              <w:rPr/>
            </w:pPr>
            <w:r>
              <w:rPr>
                <w:spacing w:val="8"/>
              </w:rPr>
              <w:t>持续积累经验数据与分析经验，完善公司经验库</w:t>
            </w:r>
          </w:p>
        </w:tc>
      </w:tr>
      <w:tr>
        <w:trPr>
          <w:trHeight w:val="357" w:hRule="atLeast"/>
        </w:trPr>
        <w:tc>
          <w:tcPr>
            <w:tcW w:w="2165" w:type="dxa"/>
            <w:vAlign w:val="top"/>
          </w:tcPr>
          <w:p>
            <w:pPr>
              <w:pStyle w:val="TableText"/>
              <w:ind w:left="129"/>
              <w:spacing w:before="69" w:line="223" w:lineRule="auto"/>
              <w:rPr/>
            </w:pPr>
            <w:r>
              <w:rPr>
                <w:spacing w:val="7"/>
              </w:rPr>
              <w:t>利润来源分析</w:t>
            </w:r>
          </w:p>
        </w:tc>
        <w:tc>
          <w:tcPr>
            <w:tcW w:w="6658" w:type="dxa"/>
            <w:vAlign w:val="top"/>
          </w:tcPr>
          <w:p>
            <w:pPr>
              <w:pStyle w:val="TableText"/>
              <w:ind w:left="381"/>
              <w:spacing w:before="69" w:line="223" w:lineRule="auto"/>
              <w:rPr/>
            </w:pPr>
            <w:r>
              <w:rPr>
                <w:spacing w:val="8"/>
              </w:rPr>
              <w:t>识别利润来源与驱动因素，为经营管理提供抓手</w:t>
            </w:r>
          </w:p>
        </w:tc>
      </w:tr>
      <w:tr>
        <w:trPr>
          <w:trHeight w:val="357" w:hRule="atLeast"/>
        </w:trPr>
        <w:tc>
          <w:tcPr>
            <w:tcW w:w="2165" w:type="dxa"/>
            <w:vAlign w:val="top"/>
          </w:tcPr>
          <w:p>
            <w:pPr>
              <w:pStyle w:val="TableText"/>
              <w:ind w:left="128"/>
              <w:spacing w:before="70" w:line="222" w:lineRule="auto"/>
              <w:rPr/>
            </w:pPr>
            <w:r>
              <w:rPr>
                <w:spacing w:val="6"/>
              </w:rPr>
              <w:t>信息支持</w:t>
            </w:r>
          </w:p>
        </w:tc>
        <w:tc>
          <w:tcPr>
            <w:tcW w:w="6658" w:type="dxa"/>
            <w:vAlign w:val="top"/>
          </w:tcPr>
          <w:p>
            <w:pPr>
              <w:pStyle w:val="TableText"/>
              <w:ind w:left="404"/>
              <w:spacing w:before="70" w:line="222" w:lineRule="auto"/>
              <w:rPr/>
            </w:pPr>
            <w:r>
              <w:rPr>
                <w:spacing w:val="7"/>
              </w:rPr>
              <w:t>向管理层与股东提供经营信息，支持战略与治理决策</w:t>
            </w:r>
          </w:p>
        </w:tc>
      </w:tr>
      <w:tr>
        <w:trPr>
          <w:trHeight w:val="714" w:hRule="atLeast"/>
        </w:trPr>
        <w:tc>
          <w:tcPr>
            <w:tcW w:w="2165" w:type="dxa"/>
            <w:vAlign w:val="top"/>
          </w:tcPr>
          <w:p>
            <w:pPr>
              <w:pStyle w:val="TableText"/>
              <w:ind w:left="129"/>
              <w:spacing w:before="71" w:line="228" w:lineRule="auto"/>
              <w:rPr/>
            </w:pPr>
            <w:r>
              <w:rPr>
                <w:spacing w:val="7"/>
              </w:rPr>
              <w:t>合规与披露</w:t>
            </w:r>
          </w:p>
        </w:tc>
        <w:tc>
          <w:tcPr>
            <w:tcW w:w="6658" w:type="dxa"/>
            <w:vAlign w:val="top"/>
          </w:tcPr>
          <w:p>
            <w:pPr>
              <w:pStyle w:val="TableText"/>
              <w:ind w:left="388" w:right="119" w:hanging="8"/>
              <w:spacing w:before="71" w:line="254" w:lineRule="auto"/>
              <w:rPr/>
            </w:pPr>
            <w:r>
              <w:rPr>
                <w:spacing w:val="3"/>
              </w:rPr>
              <w:t>满足监管要求，支持对外披露与市场沟通，</w:t>
            </w:r>
            <w:r>
              <w:rPr>
                <w:spacing w:val="-16"/>
              </w:rPr>
              <w:t xml:space="preserve"> </w:t>
            </w:r>
            <w:r>
              <w:rPr>
                <w:spacing w:val="3"/>
              </w:rPr>
              <w:t>提升公司公众形</w:t>
            </w:r>
            <w:r>
              <w:rPr/>
              <w:t>象</w:t>
            </w:r>
          </w:p>
        </w:tc>
      </w:tr>
      <w:tr>
        <w:trPr>
          <w:trHeight w:val="433" w:hRule="atLeast"/>
        </w:trPr>
        <w:tc>
          <w:tcPr>
            <w:tcW w:w="2165" w:type="dxa"/>
            <w:vAlign w:val="top"/>
            <w:tcBorders>
              <w:bottom w:val="single" w:color="000000" w:sz="6" w:space="0"/>
            </w:tcBorders>
          </w:tcPr>
          <w:p>
            <w:pPr>
              <w:pStyle w:val="TableText"/>
              <w:ind w:left="139"/>
              <w:spacing w:before="75" w:line="226" w:lineRule="auto"/>
              <w:rPr/>
            </w:pPr>
            <w:r>
              <w:rPr>
                <w:spacing w:val="6"/>
              </w:rPr>
              <w:t>资本市场与并购</w:t>
            </w:r>
          </w:p>
        </w:tc>
        <w:tc>
          <w:tcPr>
            <w:tcW w:w="6658" w:type="dxa"/>
            <w:vAlign w:val="top"/>
            <w:tcBorders>
              <w:bottom w:val="single" w:color="000000" w:sz="6" w:space="0"/>
            </w:tcBorders>
          </w:tcPr>
          <w:p>
            <w:pPr>
              <w:pStyle w:val="TableText"/>
              <w:ind w:left="380"/>
              <w:spacing w:before="75" w:line="227" w:lineRule="auto"/>
              <w:rPr/>
            </w:pPr>
            <w:r>
              <w:rPr>
                <w:spacing w:val="8"/>
              </w:rPr>
              <w:t>满足上市或并购等场景下的信息披露与尽职调查需求</w:t>
            </w:r>
          </w:p>
        </w:tc>
      </w:tr>
    </w:tbl>
    <w:p>
      <w:pPr>
        <w:pStyle w:val="BodyText"/>
        <w:spacing w:line="316" w:lineRule="auto"/>
        <w:rPr/>
      </w:pPr>
      <w:r/>
    </w:p>
    <w:p>
      <w:pPr>
        <w:ind w:left="2" w:firstLine="478"/>
        <w:spacing w:before="75" w:line="288" w:lineRule="auto"/>
        <w:jc w:val="both"/>
        <w:rPr>
          <w:rFonts w:ascii="SimSun" w:hAnsi="SimSun" w:eastAsia="SimSun" w:cs="SimSun"/>
          <w:sz w:val="23"/>
          <w:szCs w:val="23"/>
        </w:rPr>
      </w:pPr>
      <w:r>
        <w:rPr>
          <w:rFonts w:ascii="SimSun" w:hAnsi="SimSun" w:eastAsia="SimSun" w:cs="SimSun"/>
          <w:sz w:val="23"/>
          <w:szCs w:val="23"/>
          <w:spacing w:val="4"/>
        </w:rPr>
        <w:t>经验分析的核心产出之一是最优估计假设，</w:t>
      </w:r>
      <w:r>
        <w:rPr>
          <w:rFonts w:ascii="SimSun" w:hAnsi="SimSun" w:eastAsia="SimSun" w:cs="SimSun"/>
          <w:sz w:val="23"/>
          <w:szCs w:val="23"/>
          <w:spacing w:val="-23"/>
        </w:rPr>
        <w:t xml:space="preserve"> </w:t>
      </w:r>
      <w:r>
        <w:rPr>
          <w:rFonts w:ascii="SimSun" w:hAnsi="SimSun" w:eastAsia="SimSun" w:cs="SimSun"/>
          <w:sz w:val="23"/>
          <w:szCs w:val="23"/>
          <w:spacing w:val="4"/>
        </w:rPr>
        <w:t>即在充分分析信息后，</w:t>
      </w:r>
      <w:r>
        <w:rPr>
          <w:rFonts w:ascii="SimSun" w:hAnsi="SimSun" w:eastAsia="SimSun" w:cs="SimSun"/>
          <w:sz w:val="23"/>
          <w:szCs w:val="23"/>
          <w:spacing w:val="-51"/>
        </w:rPr>
        <w:t xml:space="preserve"> </w:t>
      </w:r>
      <w:r>
        <w:rPr>
          <w:rFonts w:ascii="SimSun" w:hAnsi="SimSun" w:eastAsia="SimSun" w:cs="SimSun"/>
          <w:sz w:val="23"/>
          <w:szCs w:val="23"/>
          <w:spacing w:val="4"/>
        </w:rPr>
        <w:t>对现金流发生概</w:t>
      </w:r>
      <w:r>
        <w:rPr>
          <w:rFonts w:ascii="SimSun" w:hAnsi="SimSun" w:eastAsia="SimSun" w:cs="SimSun"/>
          <w:sz w:val="23"/>
          <w:szCs w:val="23"/>
          <w:spacing w:val="1"/>
        </w:rPr>
        <w:t>率、发生时间与发生金额的无偏或最可能估计，</w:t>
      </w:r>
      <w:r>
        <w:rPr>
          <w:rFonts w:ascii="SimSun" w:hAnsi="SimSun" w:eastAsia="SimSun" w:cs="SimSun"/>
          <w:sz w:val="23"/>
          <w:szCs w:val="23"/>
          <w:spacing w:val="49"/>
        </w:rPr>
        <w:t xml:space="preserve"> </w:t>
      </w:r>
      <w:r>
        <w:rPr>
          <w:rFonts w:ascii="SimSun" w:hAnsi="SimSun" w:eastAsia="SimSun" w:cs="SimSun"/>
          <w:sz w:val="23"/>
          <w:szCs w:val="23"/>
          <w:spacing w:val="1"/>
        </w:rPr>
        <w:t>覆盖理赔率、死亡率、发病率、退保率、</w:t>
      </w:r>
      <w:r>
        <w:rPr>
          <w:rFonts w:ascii="SimSun" w:hAnsi="SimSun" w:eastAsia="SimSun" w:cs="SimSun"/>
          <w:sz w:val="23"/>
          <w:szCs w:val="23"/>
          <w:spacing w:val="8"/>
        </w:rPr>
        <w:t>投资收益率、费用率与费用超支率等。最优估计假设应建立在经验数据、业务机制与外</w:t>
      </w:r>
      <w:r>
        <w:rPr>
          <w:rFonts w:ascii="SimSun" w:hAnsi="SimSun" w:eastAsia="SimSun" w:cs="SimSun"/>
          <w:sz w:val="23"/>
          <w:szCs w:val="23"/>
          <w:spacing w:val="2"/>
        </w:rPr>
        <w:t>部环境综合判断基础之上， 并应按既定频率进行更新， 同时需要开展影响测试以评估假</w:t>
      </w:r>
      <w:bookmarkStart w:name="bookmark36" w:id="64"/>
      <w:bookmarkEnd w:id="64"/>
      <w:r>
        <w:rPr>
          <w:rFonts w:ascii="SimSun" w:hAnsi="SimSun" w:eastAsia="SimSun" w:cs="SimSun"/>
          <w:sz w:val="23"/>
          <w:szCs w:val="23"/>
          <w:spacing w:val="6"/>
        </w:rPr>
        <w:t>设更新对准备金、价值与偿付能力等结果的影响。</w:t>
      </w:r>
    </w:p>
    <w:p>
      <w:pPr>
        <w:pStyle w:val="BodyText"/>
        <w:spacing w:line="257" w:lineRule="auto"/>
        <w:rPr/>
      </w:pPr>
      <w:r/>
    </w:p>
    <w:p>
      <w:pPr>
        <w:ind w:left="12"/>
        <w:spacing w:before="74" w:line="228" w:lineRule="auto"/>
        <w:outlineLvl w:val="3"/>
        <w:rPr>
          <w:rFonts w:ascii="SimHei" w:hAnsi="SimHei" w:eastAsia="SimHei" w:cs="SimHei"/>
          <w:sz w:val="23"/>
          <w:szCs w:val="23"/>
        </w:rPr>
      </w:pPr>
      <w:bookmarkStart w:name="bookmark75" w:id="65"/>
      <w:bookmarkEnd w:id="65"/>
      <w:r>
        <w:rPr>
          <w:rFonts w:ascii="Times New Roman" w:hAnsi="Times New Roman" w:eastAsia="Times New Roman" w:cs="Times New Roman"/>
          <w:sz w:val="23"/>
          <w:szCs w:val="23"/>
          <w:b/>
          <w:bCs/>
          <w:spacing w:val="10"/>
        </w:rPr>
        <w:t>1.4.4.3    </w:t>
      </w:r>
      <w:r>
        <w:rPr>
          <w:rFonts w:ascii="SimHei" w:hAnsi="SimHei" w:eastAsia="SimHei" w:cs="SimHei"/>
          <w:sz w:val="23"/>
          <w:szCs w:val="23"/>
          <w:spacing w:val="10"/>
        </w:rPr>
        <w:t>经验分析的步骤与流程</w:t>
      </w:r>
    </w:p>
    <w:p>
      <w:pPr>
        <w:ind w:right="114" w:firstLine="481"/>
        <w:spacing w:before="228" w:line="289" w:lineRule="auto"/>
        <w:rPr>
          <w:rFonts w:ascii="SimSun" w:hAnsi="SimSun" w:eastAsia="SimSun" w:cs="SimSun"/>
          <w:sz w:val="23"/>
          <w:szCs w:val="23"/>
        </w:rPr>
      </w:pPr>
      <w:r>
        <w:rPr>
          <w:rFonts w:ascii="SimSun" w:hAnsi="SimSun" w:eastAsia="SimSun" w:cs="SimSun"/>
          <w:sz w:val="23"/>
          <w:szCs w:val="23"/>
          <w:spacing w:val="8"/>
        </w:rPr>
        <w:t>经验分析的典型步骤包括设定目标、收集数据、评估数据质量、验证数据、进行经</w:t>
      </w:r>
      <w:r>
        <w:rPr>
          <w:rFonts w:ascii="SimSun" w:hAnsi="SimSun" w:eastAsia="SimSun" w:cs="SimSun"/>
          <w:sz w:val="23"/>
          <w:szCs w:val="23"/>
          <w:spacing w:val="6"/>
        </w:rPr>
        <w:t>验分析、报告结果与检验结果，如表</w:t>
      </w:r>
      <w:hyperlink w:history="true" w:anchor="bookmark76">
        <w:r>
          <w:rPr>
            <w:rFonts w:ascii="Times New Roman" w:hAnsi="Times New Roman" w:eastAsia="Times New Roman" w:cs="Times New Roman"/>
            <w:sz w:val="23"/>
            <w:szCs w:val="23"/>
            <w:spacing w:val="6"/>
          </w:rPr>
          <w:t>1.13</w:t>
        </w:r>
      </w:hyperlink>
      <w:r>
        <w:rPr>
          <w:rFonts w:ascii="SimSun" w:hAnsi="SimSun" w:eastAsia="SimSun" w:cs="SimSun"/>
          <w:sz w:val="23"/>
          <w:szCs w:val="23"/>
          <w:spacing w:val="6"/>
        </w:rPr>
        <w:t>所示。</w:t>
      </w:r>
    </w:p>
    <w:p>
      <w:pPr>
        <w:spacing w:line="289" w:lineRule="auto"/>
        <w:sectPr>
          <w:footerReference w:type="default" r:id="rId20"/>
          <w:pgSz w:w="11906" w:h="16838"/>
          <w:pgMar w:top="400" w:right="1302" w:bottom="980" w:left="1425" w:header="0" w:footer="767" w:gutter="0"/>
        </w:sectPr>
        <w:rPr>
          <w:rFonts w:ascii="SimSun" w:hAnsi="SimSun" w:eastAsia="SimSun" w:cs="SimSun"/>
          <w:sz w:val="23"/>
          <w:szCs w:val="23"/>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left="2968"/>
        <w:spacing w:before="75" w:line="227" w:lineRule="auto"/>
        <w:rPr>
          <w:rFonts w:ascii="SimSun" w:hAnsi="SimSun" w:eastAsia="SimSun" w:cs="SimSun"/>
          <w:sz w:val="23"/>
          <w:szCs w:val="23"/>
        </w:rPr>
      </w:pPr>
      <w:bookmarkStart w:name="bookmark76" w:id="66"/>
      <w:bookmarkEnd w:id="66"/>
      <w:r>
        <w:rPr>
          <w:rFonts w:ascii="SimSun" w:hAnsi="SimSun" w:eastAsia="SimSun" w:cs="SimSun"/>
          <w:sz w:val="23"/>
          <w:szCs w:val="23"/>
          <w:spacing w:val="3"/>
        </w:rPr>
        <w:t>表 </w:t>
      </w:r>
      <w:r>
        <w:rPr>
          <w:rFonts w:ascii="Times New Roman" w:hAnsi="Times New Roman" w:eastAsia="Times New Roman" w:cs="Times New Roman"/>
          <w:sz w:val="23"/>
          <w:szCs w:val="23"/>
          <w:spacing w:val="3"/>
        </w:rPr>
        <w:t>1.13:</w:t>
      </w:r>
      <w:r>
        <w:rPr>
          <w:rFonts w:ascii="Times New Roman" w:hAnsi="Times New Roman" w:eastAsia="Times New Roman" w:cs="Times New Roman"/>
          <w:sz w:val="23"/>
          <w:szCs w:val="23"/>
        </w:rPr>
        <w:t xml:space="preserve">  </w:t>
      </w:r>
      <w:r>
        <w:rPr>
          <w:rFonts w:ascii="SimSun" w:hAnsi="SimSun" w:eastAsia="SimSun" w:cs="SimSun"/>
          <w:sz w:val="23"/>
          <w:szCs w:val="23"/>
          <w:spacing w:val="3"/>
        </w:rPr>
        <w:t>经验分析的典型步骤</w:t>
      </w:r>
    </w:p>
    <w:p>
      <w:pPr>
        <w:spacing w:line="208" w:lineRule="exact"/>
        <w:rPr/>
      </w:pPr>
      <w:r/>
    </w:p>
    <w:tbl>
      <w:tblPr>
        <w:tblStyle w:val="TableNormal"/>
        <w:tblW w:w="8823" w:type="dxa"/>
        <w:tblInd w:w="1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42"/>
        <w:gridCol w:w="7381"/>
      </w:tblGrid>
      <w:tr>
        <w:trPr>
          <w:trHeight w:val="474" w:hRule="atLeast"/>
        </w:trPr>
        <w:tc>
          <w:tcPr>
            <w:tcW w:w="1442" w:type="dxa"/>
            <w:vAlign w:val="top"/>
            <w:tcBorders>
              <w:bottom w:val="single" w:color="000000" w:sz="4" w:space="0"/>
              <w:top w:val="single" w:color="000000" w:sz="6" w:space="0"/>
            </w:tcBorders>
          </w:tcPr>
          <w:p>
            <w:pPr>
              <w:pStyle w:val="TableText"/>
              <w:ind w:left="131"/>
              <w:spacing w:before="116" w:line="227" w:lineRule="auto"/>
              <w:rPr/>
            </w:pPr>
            <w:r>
              <w:rPr>
                <w:spacing w:val="3"/>
              </w:rPr>
              <w:t>步骤</w:t>
            </w:r>
          </w:p>
        </w:tc>
        <w:tc>
          <w:tcPr>
            <w:tcW w:w="7381" w:type="dxa"/>
            <w:vAlign w:val="top"/>
            <w:tcBorders>
              <w:bottom w:val="single" w:color="000000" w:sz="4" w:space="0"/>
              <w:top w:val="single" w:color="000000" w:sz="6" w:space="0"/>
            </w:tcBorders>
          </w:tcPr>
          <w:p>
            <w:pPr>
              <w:pStyle w:val="TableText"/>
              <w:ind w:left="378"/>
              <w:spacing w:before="116" w:line="227" w:lineRule="auto"/>
              <w:rPr/>
            </w:pPr>
            <w:r>
              <w:rPr>
                <w:spacing w:val="6"/>
              </w:rPr>
              <w:t>要点说明</w:t>
            </w:r>
          </w:p>
        </w:tc>
      </w:tr>
      <w:tr>
        <w:trPr>
          <w:trHeight w:val="403" w:hRule="atLeast"/>
        </w:trPr>
        <w:tc>
          <w:tcPr>
            <w:tcW w:w="1442" w:type="dxa"/>
            <w:vAlign w:val="top"/>
            <w:tcBorders>
              <w:top w:val="single" w:color="000000" w:sz="4" w:space="0"/>
            </w:tcBorders>
          </w:tcPr>
          <w:p>
            <w:pPr>
              <w:pStyle w:val="TableText"/>
              <w:ind w:left="174"/>
              <w:spacing w:before="111" w:line="226" w:lineRule="auto"/>
              <w:rPr/>
            </w:pPr>
            <w:r>
              <w:rPr>
                <w:spacing w:val="-4"/>
              </w:rPr>
              <w:t>目标设定</w:t>
            </w:r>
          </w:p>
        </w:tc>
        <w:tc>
          <w:tcPr>
            <w:tcW w:w="7381" w:type="dxa"/>
            <w:vAlign w:val="top"/>
            <w:tcBorders>
              <w:top w:val="single" w:color="000000" w:sz="4" w:space="0"/>
            </w:tcBorders>
          </w:tcPr>
          <w:p>
            <w:pPr>
              <w:pStyle w:val="TableText"/>
              <w:ind w:left="399"/>
              <w:spacing w:before="111" w:line="226" w:lineRule="auto"/>
              <w:rPr/>
            </w:pPr>
            <w:r>
              <w:rPr>
                <w:spacing w:val="1"/>
              </w:rPr>
              <w:t>明确分析对象、期间、口径与输出用途，</w:t>
            </w:r>
            <w:r>
              <w:rPr>
                <w:spacing w:val="53"/>
              </w:rPr>
              <w:t xml:space="preserve"> </w:t>
            </w:r>
            <w:r>
              <w:rPr>
                <w:spacing w:val="1"/>
              </w:rPr>
              <w:t>确定需要解</w:t>
            </w:r>
            <w:r>
              <w:rPr/>
              <w:t>释的偏离维度</w:t>
            </w:r>
          </w:p>
        </w:tc>
      </w:tr>
      <w:tr>
        <w:trPr>
          <w:trHeight w:val="357" w:hRule="atLeast"/>
        </w:trPr>
        <w:tc>
          <w:tcPr>
            <w:tcW w:w="1442" w:type="dxa"/>
            <w:vAlign w:val="top"/>
          </w:tcPr>
          <w:p>
            <w:pPr>
              <w:pStyle w:val="TableText"/>
              <w:ind w:left="130"/>
              <w:spacing w:before="66" w:line="225" w:lineRule="auto"/>
              <w:rPr/>
            </w:pPr>
            <w:r>
              <w:rPr>
                <w:spacing w:val="6"/>
              </w:rPr>
              <w:t>数据收集</w:t>
            </w:r>
          </w:p>
        </w:tc>
        <w:tc>
          <w:tcPr>
            <w:tcW w:w="7381" w:type="dxa"/>
            <w:vAlign w:val="top"/>
          </w:tcPr>
          <w:p>
            <w:pPr>
              <w:pStyle w:val="TableText"/>
              <w:ind w:left="377"/>
              <w:spacing w:before="66" w:line="225" w:lineRule="auto"/>
              <w:rPr/>
            </w:pPr>
            <w:r>
              <w:rPr>
                <w:spacing w:val="9"/>
              </w:rPr>
              <w:t>汇集业务、理赔、退保、费用与投资等数据，</w:t>
            </w:r>
            <w:r>
              <w:rPr>
                <w:spacing w:val="8"/>
              </w:rPr>
              <w:t>确保覆盖关键变量</w:t>
            </w:r>
          </w:p>
        </w:tc>
      </w:tr>
      <w:tr>
        <w:trPr>
          <w:trHeight w:val="358" w:hRule="atLeast"/>
        </w:trPr>
        <w:tc>
          <w:tcPr>
            <w:tcW w:w="1442" w:type="dxa"/>
            <w:vAlign w:val="top"/>
          </w:tcPr>
          <w:p>
            <w:pPr>
              <w:pStyle w:val="TableText"/>
              <w:ind w:left="129"/>
              <w:spacing w:before="68" w:line="224" w:lineRule="auto"/>
              <w:rPr/>
            </w:pPr>
            <w:r>
              <w:rPr>
                <w:spacing w:val="6"/>
              </w:rPr>
              <w:t>质量评估</w:t>
            </w:r>
          </w:p>
        </w:tc>
        <w:tc>
          <w:tcPr>
            <w:tcW w:w="7381" w:type="dxa"/>
            <w:vAlign w:val="top"/>
          </w:tcPr>
          <w:p>
            <w:pPr>
              <w:pStyle w:val="TableText"/>
              <w:ind w:left="377"/>
              <w:spacing w:before="68" w:line="224" w:lineRule="auto"/>
              <w:rPr/>
            </w:pPr>
            <w:r>
              <w:rPr>
                <w:spacing w:val="5"/>
              </w:rPr>
              <w:t>检查完整性、准确性、</w:t>
            </w:r>
            <w:r>
              <w:rPr>
                <w:spacing w:val="-20"/>
              </w:rPr>
              <w:t xml:space="preserve"> </w:t>
            </w:r>
            <w:r>
              <w:rPr>
                <w:spacing w:val="5"/>
              </w:rPr>
              <w:t>一致性与时效性，识别异常</w:t>
            </w:r>
            <w:r>
              <w:rPr>
                <w:spacing w:val="4"/>
              </w:rPr>
              <w:t>与缺失</w:t>
            </w:r>
          </w:p>
        </w:tc>
      </w:tr>
      <w:tr>
        <w:trPr>
          <w:trHeight w:val="356" w:hRule="atLeast"/>
        </w:trPr>
        <w:tc>
          <w:tcPr>
            <w:tcW w:w="1442" w:type="dxa"/>
            <w:vAlign w:val="top"/>
          </w:tcPr>
          <w:p>
            <w:pPr>
              <w:pStyle w:val="TableText"/>
              <w:ind w:left="130"/>
              <w:spacing w:before="69" w:line="222" w:lineRule="auto"/>
              <w:rPr/>
            </w:pPr>
            <w:r>
              <w:rPr>
                <w:spacing w:val="6"/>
              </w:rPr>
              <w:t>数据验证</w:t>
            </w:r>
          </w:p>
        </w:tc>
        <w:tc>
          <w:tcPr>
            <w:tcW w:w="7381" w:type="dxa"/>
            <w:vAlign w:val="top"/>
          </w:tcPr>
          <w:p>
            <w:pPr>
              <w:pStyle w:val="TableText"/>
              <w:ind w:left="382"/>
              <w:spacing w:before="69" w:line="222" w:lineRule="auto"/>
              <w:rPr/>
            </w:pPr>
            <w:r>
              <w:rPr>
                <w:spacing w:val="8"/>
              </w:rPr>
              <w:t>与系统口径与业务规则核对，保证口径可追溯并可复核</w:t>
            </w:r>
          </w:p>
        </w:tc>
      </w:tr>
      <w:tr>
        <w:trPr>
          <w:trHeight w:val="357" w:hRule="atLeast"/>
        </w:trPr>
        <w:tc>
          <w:tcPr>
            <w:tcW w:w="1442" w:type="dxa"/>
            <w:vAlign w:val="top"/>
          </w:tcPr>
          <w:p>
            <w:pPr>
              <w:pStyle w:val="TableText"/>
              <w:ind w:left="130"/>
              <w:spacing w:before="71" w:line="221" w:lineRule="auto"/>
              <w:rPr/>
            </w:pPr>
            <w:r>
              <w:rPr>
                <w:spacing w:val="6"/>
              </w:rPr>
              <w:t>经验分析</w:t>
            </w:r>
          </w:p>
        </w:tc>
        <w:tc>
          <w:tcPr>
            <w:tcW w:w="7381" w:type="dxa"/>
            <w:vAlign w:val="top"/>
          </w:tcPr>
          <w:p>
            <w:pPr>
              <w:pStyle w:val="TableText"/>
              <w:ind w:left="376"/>
              <w:spacing w:before="71" w:line="221" w:lineRule="auto"/>
              <w:rPr/>
            </w:pPr>
            <w:r>
              <w:rPr>
                <w:spacing w:val="8"/>
              </w:rPr>
              <w:t>选择合适统计方法与分组维度，识别规律并解释偏离原因</w:t>
            </w:r>
          </w:p>
        </w:tc>
      </w:tr>
      <w:tr>
        <w:trPr>
          <w:trHeight w:val="357" w:hRule="atLeast"/>
        </w:trPr>
        <w:tc>
          <w:tcPr>
            <w:tcW w:w="1442" w:type="dxa"/>
            <w:vAlign w:val="top"/>
          </w:tcPr>
          <w:p>
            <w:pPr>
              <w:pStyle w:val="TableText"/>
              <w:ind w:left="134"/>
              <w:spacing w:before="72" w:line="220" w:lineRule="auto"/>
              <w:rPr/>
            </w:pPr>
            <w:r>
              <w:rPr>
                <w:spacing w:val="5"/>
              </w:rPr>
              <w:t>结果报告</w:t>
            </w:r>
          </w:p>
        </w:tc>
        <w:tc>
          <w:tcPr>
            <w:tcW w:w="7381" w:type="dxa"/>
            <w:vAlign w:val="top"/>
          </w:tcPr>
          <w:p>
            <w:pPr>
              <w:pStyle w:val="TableText"/>
              <w:ind w:left="380"/>
              <w:spacing w:before="72" w:line="220" w:lineRule="auto"/>
              <w:rPr/>
            </w:pPr>
            <w:r>
              <w:rPr>
                <w:spacing w:val="8"/>
              </w:rPr>
              <w:t>形成可沟通的报告结构，说明结论、原因、影响与建议</w:t>
            </w:r>
          </w:p>
        </w:tc>
      </w:tr>
      <w:tr>
        <w:trPr>
          <w:trHeight w:val="432" w:hRule="atLeast"/>
        </w:trPr>
        <w:tc>
          <w:tcPr>
            <w:tcW w:w="1442" w:type="dxa"/>
            <w:vAlign w:val="top"/>
            <w:tcBorders>
              <w:bottom w:val="single" w:color="000000" w:sz="6" w:space="0"/>
            </w:tcBorders>
          </w:tcPr>
          <w:p>
            <w:pPr>
              <w:pStyle w:val="TableText"/>
              <w:ind w:left="134"/>
              <w:spacing w:before="74" w:line="227" w:lineRule="auto"/>
              <w:rPr/>
            </w:pPr>
            <w:r>
              <w:rPr>
                <w:spacing w:val="5"/>
              </w:rPr>
              <w:t>结果检验</w:t>
            </w:r>
          </w:p>
        </w:tc>
        <w:tc>
          <w:tcPr>
            <w:tcW w:w="7381" w:type="dxa"/>
            <w:vAlign w:val="top"/>
            <w:tcBorders>
              <w:bottom w:val="single" w:color="000000" w:sz="6" w:space="0"/>
            </w:tcBorders>
          </w:tcPr>
          <w:p>
            <w:pPr>
              <w:pStyle w:val="TableText"/>
              <w:ind w:left="376"/>
              <w:spacing w:before="74" w:line="227" w:lineRule="auto"/>
              <w:rPr/>
            </w:pPr>
            <w:r>
              <w:rPr>
                <w:spacing w:val="8"/>
              </w:rPr>
              <w:t>对结论稳健性进行检验，必要时开展回测与敏感性分析</w:t>
            </w:r>
          </w:p>
        </w:tc>
      </w:tr>
    </w:tbl>
    <w:p>
      <w:pPr>
        <w:pStyle w:val="BodyText"/>
        <w:spacing w:line="263" w:lineRule="auto"/>
        <w:rPr/>
      </w:pPr>
      <w:r/>
    </w:p>
    <w:p>
      <w:pPr>
        <w:pStyle w:val="BodyText"/>
        <w:spacing w:line="264" w:lineRule="auto"/>
        <w:rPr/>
      </w:pPr>
      <w:r/>
    </w:p>
    <w:p>
      <w:pPr>
        <w:ind w:left="11"/>
        <w:spacing w:before="74" w:line="229" w:lineRule="auto"/>
        <w:outlineLvl w:val="3"/>
        <w:rPr>
          <w:rFonts w:ascii="SimHei" w:hAnsi="SimHei" w:eastAsia="SimHei" w:cs="SimHei"/>
          <w:sz w:val="23"/>
          <w:szCs w:val="23"/>
        </w:rPr>
      </w:pPr>
      <w:bookmarkStart w:name="bookmark37" w:id="67"/>
      <w:bookmarkEnd w:id="67"/>
      <w:r>
        <w:rPr>
          <w:rFonts w:ascii="Times New Roman" w:hAnsi="Times New Roman" w:eastAsia="Times New Roman" w:cs="Times New Roman"/>
          <w:sz w:val="23"/>
          <w:szCs w:val="23"/>
          <w:b/>
          <w:bCs/>
          <w:spacing w:val="10"/>
        </w:rPr>
        <w:t>1.4.4.4    </w:t>
      </w:r>
      <w:r>
        <w:rPr>
          <w:rFonts w:ascii="SimHei" w:hAnsi="SimHei" w:eastAsia="SimHei" w:cs="SimHei"/>
          <w:sz w:val="23"/>
          <w:szCs w:val="23"/>
          <w:spacing w:val="10"/>
        </w:rPr>
        <w:t>经验分析在风险管理</w:t>
      </w:r>
      <w:r>
        <w:rPr>
          <w:rFonts w:ascii="SimHei" w:hAnsi="SimHei" w:eastAsia="SimHei" w:cs="SimHei"/>
          <w:sz w:val="23"/>
          <w:szCs w:val="23"/>
          <w:spacing w:val="9"/>
        </w:rPr>
        <w:t>中的应用</w:t>
      </w:r>
    </w:p>
    <w:p>
      <w:pPr>
        <w:ind w:firstLine="480"/>
        <w:spacing w:before="268" w:line="288" w:lineRule="auto"/>
        <w:jc w:val="both"/>
        <w:rPr>
          <w:rFonts w:ascii="SimSun" w:hAnsi="SimSun" w:eastAsia="SimSun" w:cs="SimSun"/>
          <w:sz w:val="23"/>
          <w:szCs w:val="23"/>
        </w:rPr>
      </w:pPr>
      <w:r>
        <w:rPr>
          <w:rFonts w:ascii="SimSun" w:hAnsi="SimSun" w:eastAsia="SimSun" w:cs="SimSun"/>
          <w:sz w:val="23"/>
          <w:szCs w:val="23"/>
          <w:spacing w:val="5"/>
        </w:rPr>
        <w:t>经验分析不仅用于假设更新， 也通过对关键风险的监控与解释支持风险治理与价值</w:t>
      </w:r>
      <w:r>
        <w:rPr>
          <w:rFonts w:ascii="SimSun" w:hAnsi="SimSun" w:eastAsia="SimSun" w:cs="SimSun"/>
          <w:sz w:val="23"/>
          <w:szCs w:val="23"/>
          <w:spacing w:val="4"/>
        </w:rPr>
        <w:t>创造。发生率风险方面，</w:t>
      </w:r>
      <w:r>
        <w:rPr>
          <w:rFonts w:ascii="SimSun" w:hAnsi="SimSun" w:eastAsia="SimSun" w:cs="SimSun"/>
          <w:sz w:val="23"/>
          <w:szCs w:val="23"/>
          <w:spacing w:val="65"/>
        </w:rPr>
        <w:t xml:space="preserve"> </w:t>
      </w:r>
      <w:r>
        <w:rPr>
          <w:rFonts w:ascii="SimSun" w:hAnsi="SimSun" w:eastAsia="SimSun" w:cs="SimSun"/>
          <w:sz w:val="23"/>
          <w:szCs w:val="23"/>
          <w:spacing w:val="4"/>
        </w:rPr>
        <w:t>经验分析可用于监控死亡率、发病</w:t>
      </w:r>
      <w:r>
        <w:rPr>
          <w:rFonts w:ascii="SimSun" w:hAnsi="SimSun" w:eastAsia="SimSun" w:cs="SimSun"/>
          <w:sz w:val="23"/>
          <w:szCs w:val="23"/>
          <w:spacing w:val="3"/>
        </w:rPr>
        <w:t>率、赔付率等指标的变化趋</w:t>
      </w:r>
      <w:r>
        <w:rPr>
          <w:rFonts w:ascii="SimSun" w:hAnsi="SimSun" w:eastAsia="SimSun" w:cs="SimSun"/>
          <w:sz w:val="23"/>
          <w:szCs w:val="23"/>
          <w:spacing w:val="8"/>
        </w:rPr>
        <w:t>势，并在偏离出现时支持核保核赔规则优化、再保险安排与产品条款及费率调整等管理</w:t>
      </w:r>
      <w:r>
        <w:rPr>
          <w:rFonts w:ascii="SimSun" w:hAnsi="SimSun" w:eastAsia="SimSun" w:cs="SimSun"/>
          <w:sz w:val="23"/>
          <w:szCs w:val="23"/>
          <w:spacing w:val="11"/>
        </w:rPr>
        <w:t>动作。利率风险方面，经验分析可用于监控市场利率变动对投资收益与准备金的影响，</w:t>
      </w:r>
      <w:r>
        <w:rPr>
          <w:rFonts w:ascii="SimSun" w:hAnsi="SimSun" w:eastAsia="SimSun" w:cs="SimSun"/>
          <w:sz w:val="23"/>
          <w:szCs w:val="23"/>
          <w:spacing w:val="6"/>
        </w:rPr>
        <w:t>并与资产负债管理联动，</w:t>
      </w:r>
      <w:r>
        <w:rPr>
          <w:rFonts w:ascii="SimSun" w:hAnsi="SimSun" w:eastAsia="SimSun" w:cs="SimSun"/>
          <w:sz w:val="23"/>
          <w:szCs w:val="23"/>
          <w:spacing w:val="-23"/>
        </w:rPr>
        <w:t xml:space="preserve"> </w:t>
      </w:r>
      <w:r>
        <w:rPr>
          <w:rFonts w:ascii="SimSun" w:hAnsi="SimSun" w:eastAsia="SimSun" w:cs="SimSun"/>
          <w:sz w:val="23"/>
          <w:szCs w:val="23"/>
          <w:spacing w:val="6"/>
        </w:rPr>
        <w:t>通过期限匹配与现金流匹配等措施控制风险暴露。费用风险方</w:t>
      </w:r>
      <w:r>
        <w:rPr>
          <w:rFonts w:ascii="SimSun" w:hAnsi="SimSun" w:eastAsia="SimSun" w:cs="SimSun"/>
          <w:sz w:val="23"/>
          <w:szCs w:val="23"/>
          <w:spacing w:val="4"/>
        </w:rPr>
        <w:t>面，经验分析可用于监控销售费用与运营费用偏离，</w:t>
      </w:r>
      <w:r>
        <w:rPr>
          <w:rFonts w:ascii="SimSun" w:hAnsi="SimSun" w:eastAsia="SimSun" w:cs="SimSun"/>
          <w:sz w:val="23"/>
          <w:szCs w:val="23"/>
          <w:spacing w:val="63"/>
        </w:rPr>
        <w:t xml:space="preserve"> </w:t>
      </w:r>
      <w:r>
        <w:rPr>
          <w:rFonts w:ascii="SimSun" w:hAnsi="SimSun" w:eastAsia="SimSun" w:cs="SimSun"/>
          <w:sz w:val="23"/>
          <w:szCs w:val="23"/>
          <w:spacing w:val="4"/>
        </w:rPr>
        <w:t>支持费用预</w:t>
      </w:r>
      <w:r>
        <w:rPr>
          <w:rFonts w:ascii="SimSun" w:hAnsi="SimSun" w:eastAsia="SimSun" w:cs="SimSun"/>
          <w:sz w:val="23"/>
          <w:szCs w:val="23"/>
          <w:spacing w:val="3"/>
        </w:rPr>
        <w:t>算管理、业务流程优化</w:t>
      </w:r>
      <w:r>
        <w:rPr>
          <w:rFonts w:ascii="SimSun" w:hAnsi="SimSun" w:eastAsia="SimSun" w:cs="SimSun"/>
          <w:sz w:val="23"/>
          <w:szCs w:val="23"/>
          <w:spacing w:val="7"/>
        </w:rPr>
        <w:t>与渠道结构调整等措施，从而在合规约束下提升经营效率。</w:t>
      </w:r>
    </w:p>
    <w:p>
      <w:pPr>
        <w:ind w:left="1" w:right="115" w:firstLine="479"/>
        <w:spacing w:before="15" w:line="290" w:lineRule="auto"/>
        <w:rPr>
          <w:rFonts w:ascii="SimSun" w:hAnsi="SimSun" w:eastAsia="SimSun" w:cs="SimSun"/>
          <w:sz w:val="23"/>
          <w:szCs w:val="23"/>
        </w:rPr>
      </w:pPr>
      <w:r>
        <w:rPr>
          <w:rFonts w:ascii="SimSun" w:hAnsi="SimSun" w:eastAsia="SimSun" w:cs="SimSun"/>
          <w:sz w:val="23"/>
          <w:szCs w:val="23"/>
          <w:spacing w:val="9"/>
        </w:rPr>
        <w:t>为便于形成结构化理解，表</w:t>
      </w:r>
      <w:hyperlink w:history="true" w:anchor="bookmark77">
        <w:r>
          <w:rPr>
            <w:rFonts w:ascii="Times New Roman" w:hAnsi="Times New Roman" w:eastAsia="Times New Roman" w:cs="Times New Roman"/>
            <w:sz w:val="23"/>
            <w:szCs w:val="23"/>
            <w:spacing w:val="9"/>
          </w:rPr>
          <w:t>1.14</w:t>
        </w:r>
      </w:hyperlink>
      <w:r>
        <w:rPr>
          <w:rFonts w:ascii="SimSun" w:hAnsi="SimSun" w:eastAsia="SimSun" w:cs="SimSun"/>
          <w:sz w:val="23"/>
          <w:szCs w:val="23"/>
          <w:spacing w:val="9"/>
        </w:rPr>
        <w:t>对经验分析在不同风险类型下的典型治理抓手作归</w:t>
      </w:r>
      <w:bookmarkStart w:name="bookmark77" w:id="68"/>
      <w:bookmarkEnd w:id="68"/>
      <w:r>
        <w:rPr>
          <w:rFonts w:ascii="SimSun" w:hAnsi="SimSun" w:eastAsia="SimSun" w:cs="SimSun"/>
          <w:sz w:val="23"/>
          <w:szCs w:val="23"/>
          <w:spacing w:val="-9"/>
        </w:rPr>
        <w:t>纳。</w:t>
      </w:r>
    </w:p>
    <w:p>
      <w:pPr>
        <w:ind w:left="1772"/>
        <w:spacing w:before="224" w:line="227" w:lineRule="auto"/>
        <w:rPr>
          <w:rFonts w:ascii="SimSun" w:hAnsi="SimSun" w:eastAsia="SimSun" w:cs="SimSun"/>
          <w:sz w:val="23"/>
          <w:szCs w:val="23"/>
        </w:rPr>
      </w:pPr>
      <w:r>
        <w:rPr>
          <w:rFonts w:ascii="SimSun" w:hAnsi="SimSun" w:eastAsia="SimSun" w:cs="SimSun"/>
          <w:sz w:val="23"/>
          <w:szCs w:val="23"/>
          <w:spacing w:val="5"/>
        </w:rPr>
        <w:t>表 </w:t>
      </w:r>
      <w:r>
        <w:rPr>
          <w:rFonts w:ascii="Times New Roman" w:hAnsi="Times New Roman" w:eastAsia="Times New Roman" w:cs="Times New Roman"/>
          <w:sz w:val="23"/>
          <w:szCs w:val="23"/>
          <w:spacing w:val="5"/>
        </w:rPr>
        <w:t>1.14:</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5"/>
        </w:rPr>
        <w:t>经验分析在主要风险类型下的典型治理抓手</w:t>
      </w:r>
    </w:p>
    <w:p>
      <w:pPr>
        <w:spacing w:line="209" w:lineRule="exact"/>
        <w:rPr/>
      </w:pPr>
      <w:r/>
    </w:p>
    <w:tbl>
      <w:tblPr>
        <w:tblStyle w:val="TableNormal"/>
        <w:tblW w:w="8823" w:type="dxa"/>
        <w:tblInd w:w="1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53"/>
        <w:gridCol w:w="7170"/>
      </w:tblGrid>
      <w:tr>
        <w:trPr>
          <w:trHeight w:val="474" w:hRule="atLeast"/>
        </w:trPr>
        <w:tc>
          <w:tcPr>
            <w:tcW w:w="1653" w:type="dxa"/>
            <w:vAlign w:val="top"/>
            <w:tcBorders>
              <w:bottom w:val="single" w:color="000000" w:sz="4" w:space="0"/>
              <w:top w:val="single" w:color="000000" w:sz="6" w:space="0"/>
            </w:tcBorders>
          </w:tcPr>
          <w:p>
            <w:pPr>
              <w:pStyle w:val="TableText"/>
              <w:ind w:left="129"/>
              <w:spacing w:before="116" w:line="227" w:lineRule="auto"/>
              <w:rPr/>
            </w:pPr>
            <w:r>
              <w:rPr>
                <w:spacing w:val="6"/>
              </w:rPr>
              <w:t>风险类型</w:t>
            </w:r>
          </w:p>
        </w:tc>
        <w:tc>
          <w:tcPr>
            <w:tcW w:w="7170" w:type="dxa"/>
            <w:vAlign w:val="top"/>
            <w:tcBorders>
              <w:bottom w:val="single" w:color="000000" w:sz="4" w:space="0"/>
              <w:top w:val="single" w:color="000000" w:sz="6" w:space="0"/>
            </w:tcBorders>
          </w:tcPr>
          <w:p>
            <w:pPr>
              <w:pStyle w:val="TableText"/>
              <w:ind w:left="349"/>
              <w:spacing w:before="116" w:line="227" w:lineRule="auto"/>
              <w:rPr/>
            </w:pPr>
            <w:r>
              <w:rPr>
                <w:spacing w:val="8"/>
              </w:rPr>
              <w:t>经验分析支持的典型治理抓手</w:t>
            </w:r>
          </w:p>
        </w:tc>
      </w:tr>
      <w:tr>
        <w:trPr>
          <w:trHeight w:val="760" w:hRule="atLeast"/>
        </w:trPr>
        <w:tc>
          <w:tcPr>
            <w:tcW w:w="1653" w:type="dxa"/>
            <w:vAlign w:val="top"/>
            <w:tcBorders>
              <w:top w:val="single" w:color="000000" w:sz="4" w:space="0"/>
            </w:tcBorders>
          </w:tcPr>
          <w:p>
            <w:pPr>
              <w:pStyle w:val="TableText"/>
              <w:ind w:left="132"/>
              <w:spacing w:before="111" w:line="227" w:lineRule="auto"/>
              <w:rPr/>
            </w:pPr>
            <w:r>
              <w:rPr>
                <w:spacing w:val="6"/>
              </w:rPr>
              <w:t>发生率风险</w:t>
            </w:r>
          </w:p>
        </w:tc>
        <w:tc>
          <w:tcPr>
            <w:tcW w:w="7170" w:type="dxa"/>
            <w:vAlign w:val="top"/>
            <w:tcBorders>
              <w:top w:val="single" w:color="000000" w:sz="4" w:space="0"/>
            </w:tcBorders>
          </w:tcPr>
          <w:p>
            <w:pPr>
              <w:pStyle w:val="TableText"/>
              <w:ind w:left="360" w:right="119" w:hanging="12"/>
              <w:spacing w:before="112" w:line="256" w:lineRule="auto"/>
              <w:rPr/>
            </w:pPr>
            <w:r>
              <w:rPr>
                <w:spacing w:val="9"/>
              </w:rPr>
              <w:t>监控发生率趋势与分层差异，支持核保核赔规则优化、再保险风</w:t>
            </w:r>
            <w:r>
              <w:rPr>
                <w:spacing w:val="5"/>
              </w:rPr>
              <w:t>险分出、产品条款与费率结构调整。</w:t>
            </w:r>
          </w:p>
        </w:tc>
      </w:tr>
      <w:tr>
        <w:trPr>
          <w:trHeight w:val="713" w:hRule="atLeast"/>
        </w:trPr>
        <w:tc>
          <w:tcPr>
            <w:tcW w:w="1653" w:type="dxa"/>
            <w:vAlign w:val="top"/>
          </w:tcPr>
          <w:p>
            <w:pPr>
              <w:pStyle w:val="TableText"/>
              <w:ind w:left="129"/>
              <w:spacing w:before="68" w:line="227" w:lineRule="auto"/>
              <w:rPr/>
            </w:pPr>
            <w:r>
              <w:rPr>
                <w:spacing w:val="6"/>
              </w:rPr>
              <w:t>利率风险</w:t>
            </w:r>
          </w:p>
        </w:tc>
        <w:tc>
          <w:tcPr>
            <w:tcW w:w="7170" w:type="dxa"/>
            <w:vAlign w:val="top"/>
          </w:tcPr>
          <w:p>
            <w:pPr>
              <w:pStyle w:val="TableText"/>
              <w:ind w:left="347" w:right="4"/>
              <w:spacing w:before="67" w:line="255" w:lineRule="auto"/>
              <w:rPr/>
            </w:pPr>
            <w:r>
              <w:rPr>
                <w:spacing w:val="1"/>
              </w:rPr>
              <w:t>监控利率变动对投资收益与负债现值的影响， 支持资产负债匹配、</w:t>
            </w:r>
            <w:r>
              <w:rPr>
                <w:spacing w:val="6"/>
              </w:rPr>
              <w:t>产品结构优化与必要的风险对冲安排。</w:t>
            </w:r>
          </w:p>
        </w:tc>
      </w:tr>
      <w:tr>
        <w:trPr>
          <w:trHeight w:val="789" w:hRule="atLeast"/>
        </w:trPr>
        <w:tc>
          <w:tcPr>
            <w:tcW w:w="1653" w:type="dxa"/>
            <w:vAlign w:val="top"/>
            <w:tcBorders>
              <w:bottom w:val="single" w:color="000000" w:sz="6" w:space="0"/>
            </w:tcBorders>
          </w:tcPr>
          <w:p>
            <w:pPr>
              <w:pStyle w:val="TableText"/>
              <w:ind w:left="142"/>
              <w:spacing w:before="72" w:line="228" w:lineRule="auto"/>
              <w:rPr/>
            </w:pPr>
            <w:r>
              <w:rPr>
                <w:spacing w:val="3"/>
              </w:rPr>
              <w:t>费用风险</w:t>
            </w:r>
          </w:p>
        </w:tc>
        <w:tc>
          <w:tcPr>
            <w:tcW w:w="7170" w:type="dxa"/>
            <w:vAlign w:val="top"/>
            <w:tcBorders>
              <w:bottom w:val="single" w:color="000000" w:sz="6" w:space="0"/>
            </w:tcBorders>
          </w:tcPr>
          <w:p>
            <w:pPr>
              <w:pStyle w:val="TableText"/>
              <w:ind w:left="352" w:right="119" w:hanging="4"/>
              <w:spacing w:before="71" w:line="284" w:lineRule="auto"/>
              <w:rPr/>
            </w:pPr>
            <w:r>
              <w:rPr>
                <w:spacing w:val="9"/>
              </w:rPr>
              <w:t>监控渠道与运营费用偏离，支持费用预算管理、流程优化与渠道</w:t>
            </w:r>
            <w:r>
              <w:rPr>
                <w:spacing w:val="7"/>
              </w:rPr>
              <w:t>结构调整，以提升经营效率并满足费率执行一致性</w:t>
            </w:r>
            <w:r>
              <w:rPr>
                <w:spacing w:val="6"/>
              </w:rPr>
              <w:t>要求。</w:t>
            </w:r>
          </w:p>
        </w:tc>
      </w:tr>
    </w:tbl>
    <w:p>
      <w:pPr>
        <w:pStyle w:val="BodyText"/>
        <w:spacing w:line="278" w:lineRule="auto"/>
        <w:rPr/>
      </w:pPr>
      <w:r/>
    </w:p>
    <w:p>
      <w:pPr>
        <w:pStyle w:val="BodyText"/>
        <w:spacing w:line="278" w:lineRule="auto"/>
        <w:rPr/>
      </w:pPr>
      <w:r/>
    </w:p>
    <w:p>
      <w:pPr>
        <w:ind w:left="15"/>
        <w:spacing w:before="92" w:line="226" w:lineRule="auto"/>
        <w:outlineLvl w:val="2"/>
        <w:rPr>
          <w:rFonts w:ascii="SimHei" w:hAnsi="SimHei" w:eastAsia="SimHei" w:cs="SimHei"/>
          <w:sz w:val="28"/>
          <w:szCs w:val="28"/>
        </w:rPr>
      </w:pPr>
      <w:bookmarkStart w:name="bookmark38" w:id="69"/>
      <w:bookmarkEnd w:id="69"/>
      <w:bookmarkStart w:name="bookmark39" w:id="70"/>
      <w:bookmarkEnd w:id="70"/>
      <w:r>
        <w:rPr>
          <w:rFonts w:ascii="Times New Roman" w:hAnsi="Times New Roman" w:eastAsia="Times New Roman" w:cs="Times New Roman"/>
          <w:sz w:val="28"/>
          <w:szCs w:val="28"/>
          <w:b/>
          <w:bCs/>
          <w:spacing w:val="10"/>
        </w:rPr>
        <w:t>1.4.5</w:t>
      </w:r>
      <w:r>
        <w:rPr>
          <w:rFonts w:ascii="Times New Roman" w:hAnsi="Times New Roman" w:eastAsia="Times New Roman" w:cs="Times New Roman"/>
          <w:sz w:val="28"/>
          <w:szCs w:val="28"/>
          <w:b/>
          <w:bCs/>
          <w:spacing w:val="5"/>
        </w:rPr>
        <w:t xml:space="preserve">    </w:t>
      </w:r>
      <w:r>
        <w:rPr>
          <w:rFonts w:ascii="SimHei" w:hAnsi="SimHei" w:eastAsia="SimHei" w:cs="SimHei"/>
          <w:sz w:val="28"/>
          <w:szCs w:val="28"/>
          <w:spacing w:val="10"/>
        </w:rPr>
        <w:t>精算建模</w:t>
      </w:r>
    </w:p>
    <w:p>
      <w:pPr>
        <w:ind w:left="11"/>
        <w:spacing w:before="296" w:line="228" w:lineRule="auto"/>
        <w:outlineLvl w:val="3"/>
        <w:rPr>
          <w:rFonts w:ascii="SimHei" w:hAnsi="SimHei" w:eastAsia="SimHei" w:cs="SimHei"/>
          <w:sz w:val="23"/>
          <w:szCs w:val="23"/>
        </w:rPr>
      </w:pPr>
      <w:bookmarkStart w:name="bookmark78" w:id="71"/>
      <w:bookmarkEnd w:id="71"/>
      <w:r>
        <w:rPr>
          <w:rFonts w:ascii="Times New Roman" w:hAnsi="Times New Roman" w:eastAsia="Times New Roman" w:cs="Times New Roman"/>
          <w:sz w:val="23"/>
          <w:szCs w:val="23"/>
          <w:b/>
          <w:bCs/>
          <w:spacing w:val="10"/>
        </w:rPr>
        <w:t>1.4.5.1    </w:t>
      </w:r>
      <w:r>
        <w:rPr>
          <w:rFonts w:ascii="SimHei" w:hAnsi="SimHei" w:eastAsia="SimHei" w:cs="SimHei"/>
          <w:sz w:val="23"/>
          <w:szCs w:val="23"/>
          <w:spacing w:val="10"/>
        </w:rPr>
        <w:t>精算建模的内涵与演进</w:t>
      </w:r>
    </w:p>
    <w:p>
      <w:pPr>
        <w:ind w:left="4" w:firstLine="473"/>
        <w:spacing w:before="266" w:line="289" w:lineRule="auto"/>
        <w:rPr>
          <w:rFonts w:ascii="SimSun" w:hAnsi="SimSun" w:eastAsia="SimSun" w:cs="SimSun"/>
          <w:sz w:val="23"/>
          <w:szCs w:val="23"/>
        </w:rPr>
      </w:pPr>
      <w:r>
        <w:rPr>
          <w:rFonts w:ascii="SimSun" w:hAnsi="SimSun" w:eastAsia="SimSun" w:cs="SimSun"/>
          <w:sz w:val="23"/>
          <w:szCs w:val="23"/>
          <w:spacing w:val="4"/>
        </w:rPr>
        <w:t>精算建模是将精算理论、业务规则与数据结构</w:t>
      </w:r>
      <w:r>
        <w:rPr>
          <w:rFonts w:ascii="SimSun" w:hAnsi="SimSun" w:eastAsia="SimSun" w:cs="SimSun"/>
          <w:sz w:val="23"/>
          <w:szCs w:val="23"/>
          <w:spacing w:val="3"/>
        </w:rPr>
        <w:t>结合，</w:t>
      </w:r>
      <w:r>
        <w:rPr>
          <w:rFonts w:ascii="SimSun" w:hAnsi="SimSun" w:eastAsia="SimSun" w:cs="SimSun"/>
          <w:sz w:val="23"/>
          <w:szCs w:val="23"/>
          <w:spacing w:val="59"/>
        </w:rPr>
        <w:t xml:space="preserve"> </w:t>
      </w:r>
      <w:r>
        <w:rPr>
          <w:rFonts w:ascii="SimSun" w:hAnsi="SimSun" w:eastAsia="SimSun" w:cs="SimSun"/>
          <w:sz w:val="23"/>
          <w:szCs w:val="23"/>
          <w:spacing w:val="3"/>
        </w:rPr>
        <w:t>通过计算构建可运行的模型体</w:t>
      </w:r>
      <w:r>
        <w:rPr>
          <w:rFonts w:ascii="SimSun" w:hAnsi="SimSun" w:eastAsia="SimSun" w:cs="SimSun"/>
          <w:sz w:val="23"/>
          <w:szCs w:val="23"/>
          <w:spacing w:val="1"/>
        </w:rPr>
        <w:t>系的过程。精算建模既服务于定价与评估，</w:t>
      </w:r>
      <w:r>
        <w:rPr>
          <w:rFonts w:ascii="SimSun" w:hAnsi="SimSun" w:eastAsia="SimSun" w:cs="SimSun"/>
          <w:sz w:val="23"/>
          <w:szCs w:val="23"/>
          <w:spacing w:val="46"/>
        </w:rPr>
        <w:t xml:space="preserve"> </w:t>
      </w:r>
      <w:r>
        <w:rPr>
          <w:rFonts w:ascii="SimSun" w:hAnsi="SimSun" w:eastAsia="SimSun" w:cs="SimSun"/>
          <w:sz w:val="23"/>
          <w:szCs w:val="23"/>
          <w:spacing w:val="1"/>
        </w:rPr>
        <w:t>也服务于经验分析、偿付能力与经营规划等。</w:t>
      </w:r>
    </w:p>
    <w:p>
      <w:pPr>
        <w:spacing w:line="289" w:lineRule="auto"/>
        <w:sectPr>
          <w:footerReference w:type="default" r:id="rId21"/>
          <w:pgSz w:w="11906" w:h="16838"/>
          <w:pgMar w:top="400" w:right="1302" w:bottom="983" w:left="1426" w:header="0" w:footer="768" w:gutter="0"/>
        </w:sectPr>
        <w:rPr>
          <w:rFonts w:ascii="SimSun" w:hAnsi="SimSun" w:eastAsia="SimSun" w:cs="SimSun"/>
          <w:sz w:val="23"/>
          <w:szCs w:val="23"/>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firstLine="14"/>
        <w:spacing w:before="75" w:line="288" w:lineRule="auto"/>
        <w:rPr>
          <w:rFonts w:ascii="SimSun" w:hAnsi="SimSun" w:eastAsia="SimSun" w:cs="SimSun"/>
          <w:sz w:val="23"/>
          <w:szCs w:val="23"/>
        </w:rPr>
      </w:pPr>
      <w:r>
        <w:rPr>
          <w:rFonts w:ascii="SimSun" w:hAnsi="SimSun" w:eastAsia="SimSun" w:cs="SimSun"/>
          <w:sz w:val="23"/>
          <w:szCs w:val="23"/>
          <w:spacing w:val="4"/>
        </w:rPr>
        <w:t>随着计量体系由较为规则化的框架向更强调现金流预测与风</w:t>
      </w:r>
      <w:r>
        <w:rPr>
          <w:rFonts w:ascii="SimSun" w:hAnsi="SimSun" w:eastAsia="SimSun" w:cs="SimSun"/>
          <w:sz w:val="23"/>
          <w:szCs w:val="23"/>
          <w:spacing w:val="3"/>
        </w:rPr>
        <w:t>险调整的框架演进，</w:t>
      </w:r>
      <w:r>
        <w:rPr>
          <w:rFonts w:ascii="SimSun" w:hAnsi="SimSun" w:eastAsia="SimSun" w:cs="SimSun"/>
          <w:sz w:val="23"/>
          <w:szCs w:val="23"/>
          <w:spacing w:val="52"/>
        </w:rPr>
        <w:t xml:space="preserve"> </w:t>
      </w:r>
      <w:r>
        <w:rPr>
          <w:rFonts w:ascii="SimSun" w:hAnsi="SimSun" w:eastAsia="SimSun" w:cs="SimSun"/>
          <w:sz w:val="23"/>
          <w:szCs w:val="23"/>
          <w:spacing w:val="3"/>
        </w:rPr>
        <w:t>精算建</w:t>
      </w:r>
      <w:r>
        <w:rPr>
          <w:rFonts w:ascii="SimSun" w:hAnsi="SimSun" w:eastAsia="SimSun" w:cs="SimSun"/>
          <w:sz w:val="23"/>
          <w:szCs w:val="23"/>
          <w:spacing w:val="3"/>
        </w:rPr>
        <w:t>模在保险公司中的地位持续上升，</w:t>
      </w:r>
      <w:r>
        <w:rPr>
          <w:rFonts w:ascii="SimSun" w:hAnsi="SimSun" w:eastAsia="SimSun" w:cs="SimSun"/>
          <w:sz w:val="23"/>
          <w:szCs w:val="23"/>
          <w:spacing w:val="-26"/>
        </w:rPr>
        <w:t xml:space="preserve"> </w:t>
      </w:r>
      <w:r>
        <w:rPr>
          <w:rFonts w:ascii="SimSun" w:hAnsi="SimSun" w:eastAsia="SimSun" w:cs="SimSun"/>
          <w:sz w:val="23"/>
          <w:szCs w:val="23"/>
          <w:spacing w:val="3"/>
        </w:rPr>
        <w:t>模型的计算效率、可维护性与可审计性成为关键要求。</w:t>
      </w:r>
    </w:p>
    <w:p>
      <w:pPr>
        <w:ind w:right="114" w:firstLine="477"/>
        <w:spacing w:before="1" w:line="288" w:lineRule="auto"/>
        <w:jc w:val="both"/>
        <w:rPr>
          <w:rFonts w:ascii="SimSun" w:hAnsi="SimSun" w:eastAsia="SimSun" w:cs="SimSun"/>
          <w:sz w:val="23"/>
          <w:szCs w:val="23"/>
        </w:rPr>
      </w:pPr>
      <w:r>
        <w:rPr>
          <w:rFonts w:ascii="SimSun" w:hAnsi="SimSun" w:eastAsia="SimSun" w:cs="SimSun"/>
          <w:sz w:val="23"/>
          <w:szCs w:val="23"/>
          <w:spacing w:val="6"/>
        </w:rPr>
        <w:t>在较早的规则化计量阶段，</w:t>
      </w:r>
      <w:r>
        <w:rPr>
          <w:rFonts w:ascii="SimSun" w:hAnsi="SimSun" w:eastAsia="SimSun" w:cs="SimSun"/>
          <w:sz w:val="23"/>
          <w:szCs w:val="23"/>
          <w:spacing w:val="-18"/>
        </w:rPr>
        <w:t xml:space="preserve"> </w:t>
      </w:r>
      <w:r>
        <w:rPr>
          <w:rFonts w:ascii="SimSun" w:hAnsi="SimSun" w:eastAsia="SimSun" w:cs="SimSun"/>
          <w:sz w:val="23"/>
          <w:szCs w:val="23"/>
          <w:spacing w:val="6"/>
        </w:rPr>
        <w:t>准备金与相关指标可能较多依赖</w:t>
      </w:r>
      <w:r>
        <w:rPr>
          <w:rFonts w:ascii="SimSun" w:hAnsi="SimSun" w:eastAsia="SimSun" w:cs="SimSun"/>
          <w:sz w:val="23"/>
          <w:szCs w:val="23"/>
          <w:spacing w:val="5"/>
        </w:rPr>
        <w:t>预先生成的因子表与映</w:t>
      </w:r>
      <w:r>
        <w:rPr>
          <w:rFonts w:ascii="SimSun" w:hAnsi="SimSun" w:eastAsia="SimSun" w:cs="SimSun"/>
          <w:sz w:val="23"/>
          <w:szCs w:val="23"/>
          <w:spacing w:val="2"/>
        </w:rPr>
        <w:t>射表，计算可由电子表格与简单程序实现； 在更强调现金流预测的阶段， 评估需要对有</w:t>
      </w:r>
      <w:r>
        <w:rPr>
          <w:rFonts w:ascii="SimSun" w:hAnsi="SimSun" w:eastAsia="SimSun" w:cs="SimSun"/>
          <w:sz w:val="23"/>
          <w:szCs w:val="23"/>
          <w:spacing w:val="4"/>
        </w:rPr>
        <w:t>效业务数据逐笔或逐模型点进行现金流投影与贴现，</w:t>
      </w:r>
      <w:r>
        <w:rPr>
          <w:rFonts w:ascii="SimSun" w:hAnsi="SimSun" w:eastAsia="SimSun" w:cs="SimSun"/>
          <w:sz w:val="23"/>
          <w:szCs w:val="23"/>
          <w:spacing w:val="53"/>
        </w:rPr>
        <w:t xml:space="preserve"> </w:t>
      </w:r>
      <w:r>
        <w:rPr>
          <w:rFonts w:ascii="SimSun" w:hAnsi="SimSun" w:eastAsia="SimSun" w:cs="SimSun"/>
          <w:sz w:val="23"/>
          <w:szCs w:val="23"/>
          <w:spacing w:val="4"/>
        </w:rPr>
        <w:t>模型通常依赖专业精算软件与更完</w:t>
      </w:r>
      <w:r>
        <w:rPr>
          <w:rFonts w:ascii="SimSun" w:hAnsi="SimSun" w:eastAsia="SimSun" w:cs="SimSun"/>
          <w:sz w:val="23"/>
          <w:szCs w:val="23"/>
          <w:spacing w:val="8"/>
        </w:rPr>
        <w:t>备的数据与计算平台支持。模型体系的演进与信息技术能力、监管要求与风险管理认知</w:t>
      </w:r>
      <w:bookmarkStart w:name="bookmark40" w:id="72"/>
      <w:bookmarkEnd w:id="72"/>
      <w:r>
        <w:rPr>
          <w:rFonts w:ascii="SimSun" w:hAnsi="SimSun" w:eastAsia="SimSun" w:cs="SimSun"/>
          <w:sz w:val="23"/>
          <w:szCs w:val="23"/>
          <w:spacing w:val="2"/>
        </w:rPr>
        <w:t>深化相互促进。</w:t>
      </w:r>
    </w:p>
    <w:p>
      <w:pPr>
        <w:pStyle w:val="BodyText"/>
        <w:spacing w:line="255" w:lineRule="auto"/>
        <w:rPr/>
      </w:pPr>
      <w:r/>
    </w:p>
    <w:p>
      <w:pPr>
        <w:ind w:left="12"/>
        <w:spacing w:before="75" w:line="229" w:lineRule="auto"/>
        <w:outlineLvl w:val="3"/>
        <w:rPr>
          <w:rFonts w:ascii="SimHei" w:hAnsi="SimHei" w:eastAsia="SimHei" w:cs="SimHei"/>
          <w:sz w:val="23"/>
          <w:szCs w:val="23"/>
        </w:rPr>
      </w:pPr>
      <w:bookmarkStart w:name="bookmark79" w:id="73"/>
      <w:bookmarkEnd w:id="73"/>
      <w:r>
        <w:rPr>
          <w:rFonts w:ascii="Times New Roman" w:hAnsi="Times New Roman" w:eastAsia="Times New Roman" w:cs="Times New Roman"/>
          <w:sz w:val="23"/>
          <w:szCs w:val="23"/>
          <w:b/>
          <w:bCs/>
          <w:spacing w:val="11"/>
        </w:rPr>
        <w:t>1.4.5.2</w:t>
      </w:r>
      <w:r>
        <w:rPr>
          <w:rFonts w:ascii="Times New Roman" w:hAnsi="Times New Roman" w:eastAsia="Times New Roman" w:cs="Times New Roman"/>
          <w:sz w:val="23"/>
          <w:szCs w:val="23"/>
          <w:b/>
          <w:bCs/>
          <w:spacing w:val="6"/>
        </w:rPr>
        <w:t xml:space="preserve">    </w:t>
      </w:r>
      <w:r>
        <w:rPr>
          <w:rFonts w:ascii="SimHei" w:hAnsi="SimHei" w:eastAsia="SimHei" w:cs="SimHei"/>
          <w:sz w:val="23"/>
          <w:szCs w:val="23"/>
          <w:spacing w:val="11"/>
        </w:rPr>
        <w:t>精算模型的构成</w:t>
      </w:r>
    </w:p>
    <w:p>
      <w:pPr>
        <w:ind w:left="1" w:right="115" w:firstLine="477"/>
        <w:spacing w:before="227" w:line="290" w:lineRule="auto"/>
        <w:rPr>
          <w:rFonts w:ascii="SimSun" w:hAnsi="SimSun" w:eastAsia="SimSun" w:cs="SimSun"/>
          <w:sz w:val="23"/>
          <w:szCs w:val="23"/>
        </w:rPr>
      </w:pPr>
      <w:r>
        <w:rPr>
          <w:rFonts w:ascii="SimSun" w:hAnsi="SimSun" w:eastAsia="SimSun" w:cs="SimSun"/>
          <w:sz w:val="23"/>
          <w:szCs w:val="23"/>
          <w:spacing w:val="9"/>
        </w:rPr>
        <w:t>精算模型通常由数据输入、参数、假设、算法与数据输出五部分构成，如表</w:t>
      </w:r>
      <w:hyperlink w:history="true" w:anchor="bookmark80">
        <w:r>
          <w:rPr>
            <w:rFonts w:ascii="Times New Roman" w:hAnsi="Times New Roman" w:eastAsia="Times New Roman" w:cs="Times New Roman"/>
            <w:sz w:val="23"/>
            <w:szCs w:val="23"/>
            <w:spacing w:val="9"/>
          </w:rPr>
          <w:t>1.15</w:t>
        </w:r>
      </w:hyperlink>
      <w:r>
        <w:rPr>
          <w:rFonts w:ascii="SimSun" w:hAnsi="SimSun" w:eastAsia="SimSun" w:cs="SimSun"/>
          <w:sz w:val="23"/>
          <w:szCs w:val="23"/>
          <w:spacing w:val="9"/>
        </w:rPr>
        <w:t>所</w:t>
      </w:r>
      <w:bookmarkStart w:name="bookmark80" w:id="74"/>
      <w:bookmarkEnd w:id="74"/>
      <w:r>
        <w:rPr>
          <w:rFonts w:ascii="SimSun" w:hAnsi="SimSun" w:eastAsia="SimSun" w:cs="SimSun"/>
          <w:sz w:val="23"/>
          <w:szCs w:val="23"/>
          <w:spacing w:val="-8"/>
        </w:rPr>
        <w:t>示。</w:t>
      </w:r>
    </w:p>
    <w:p>
      <w:pPr>
        <w:ind w:left="2969"/>
        <w:spacing w:before="149" w:line="226" w:lineRule="auto"/>
        <w:rPr>
          <w:rFonts w:ascii="SimSun" w:hAnsi="SimSun" w:eastAsia="SimSun" w:cs="SimSun"/>
          <w:sz w:val="23"/>
          <w:szCs w:val="23"/>
        </w:rPr>
      </w:pPr>
      <w:r>
        <w:rPr>
          <w:rFonts w:ascii="SimSun" w:hAnsi="SimSun" w:eastAsia="SimSun" w:cs="SimSun"/>
          <w:sz w:val="23"/>
          <w:szCs w:val="23"/>
          <w:spacing w:val="3"/>
        </w:rPr>
        <w:t>表 </w:t>
      </w:r>
      <w:r>
        <w:rPr>
          <w:rFonts w:ascii="Times New Roman" w:hAnsi="Times New Roman" w:eastAsia="Times New Roman" w:cs="Times New Roman"/>
          <w:sz w:val="23"/>
          <w:szCs w:val="23"/>
          <w:spacing w:val="3"/>
        </w:rPr>
        <w:t>1.15:</w:t>
      </w:r>
      <w:r>
        <w:rPr>
          <w:rFonts w:ascii="Times New Roman" w:hAnsi="Times New Roman" w:eastAsia="Times New Roman" w:cs="Times New Roman"/>
          <w:sz w:val="23"/>
          <w:szCs w:val="23"/>
          <w:spacing w:val="58"/>
        </w:rPr>
        <w:t xml:space="preserve"> </w:t>
      </w:r>
      <w:r>
        <w:rPr>
          <w:rFonts w:ascii="SimSun" w:hAnsi="SimSun" w:eastAsia="SimSun" w:cs="SimSun"/>
          <w:sz w:val="23"/>
          <w:szCs w:val="23"/>
          <w:spacing w:val="3"/>
        </w:rPr>
        <w:t>精算模型的主要构成</w:t>
      </w:r>
    </w:p>
    <w:p>
      <w:pPr>
        <w:spacing w:line="209" w:lineRule="exact"/>
        <w:rPr/>
      </w:pPr>
      <w:r/>
    </w:p>
    <w:tbl>
      <w:tblPr>
        <w:tblStyle w:val="TableNormal"/>
        <w:tblW w:w="8823" w:type="dxa"/>
        <w:tblInd w:w="11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42"/>
        <w:gridCol w:w="7381"/>
      </w:tblGrid>
      <w:tr>
        <w:trPr>
          <w:trHeight w:val="475" w:hRule="atLeast"/>
        </w:trPr>
        <w:tc>
          <w:tcPr>
            <w:tcW w:w="1442" w:type="dxa"/>
            <w:vAlign w:val="top"/>
            <w:tcBorders>
              <w:bottom w:val="single" w:color="000000" w:sz="4" w:space="0"/>
              <w:top w:val="single" w:color="000000" w:sz="6" w:space="0"/>
            </w:tcBorders>
          </w:tcPr>
          <w:p>
            <w:pPr>
              <w:pStyle w:val="TableText"/>
              <w:ind w:left="131"/>
              <w:spacing w:before="116" w:line="227" w:lineRule="auto"/>
              <w:rPr/>
            </w:pPr>
            <w:r>
              <w:rPr>
                <w:spacing w:val="6"/>
              </w:rPr>
              <w:t>构成部分</w:t>
            </w:r>
          </w:p>
        </w:tc>
        <w:tc>
          <w:tcPr>
            <w:tcW w:w="7381" w:type="dxa"/>
            <w:vAlign w:val="top"/>
            <w:tcBorders>
              <w:bottom w:val="single" w:color="000000" w:sz="4" w:space="0"/>
              <w:top w:val="single" w:color="000000" w:sz="6" w:space="0"/>
            </w:tcBorders>
          </w:tcPr>
          <w:p>
            <w:pPr>
              <w:pStyle w:val="TableText"/>
              <w:ind w:left="382"/>
              <w:spacing w:before="116" w:line="227" w:lineRule="auto"/>
              <w:rPr/>
            </w:pPr>
            <w:r>
              <w:rPr>
                <w:spacing w:val="5"/>
              </w:rPr>
              <w:t>具体内容</w:t>
            </w:r>
          </w:p>
        </w:tc>
      </w:tr>
      <w:tr>
        <w:trPr>
          <w:trHeight w:val="761" w:hRule="atLeast"/>
        </w:trPr>
        <w:tc>
          <w:tcPr>
            <w:tcW w:w="1442" w:type="dxa"/>
            <w:vAlign w:val="top"/>
            <w:tcBorders>
              <w:top w:val="single" w:color="000000" w:sz="4" w:space="0"/>
            </w:tcBorders>
          </w:tcPr>
          <w:p>
            <w:pPr>
              <w:pStyle w:val="TableText"/>
              <w:ind w:left="130"/>
              <w:spacing w:before="110" w:line="227" w:lineRule="auto"/>
              <w:rPr/>
            </w:pPr>
            <w:r>
              <w:rPr>
                <w:spacing w:val="6"/>
              </w:rPr>
              <w:t>数据输入</w:t>
            </w:r>
          </w:p>
        </w:tc>
        <w:tc>
          <w:tcPr>
            <w:tcW w:w="7381" w:type="dxa"/>
            <w:vAlign w:val="top"/>
            <w:tcBorders>
              <w:top w:val="single" w:color="000000" w:sz="4" w:space="0"/>
            </w:tcBorders>
          </w:tcPr>
          <w:p>
            <w:pPr>
              <w:pStyle w:val="TableText"/>
              <w:ind w:left="384" w:right="119" w:hanging="8"/>
              <w:spacing w:before="110" w:line="257" w:lineRule="auto"/>
              <w:rPr/>
            </w:pPr>
            <w:r>
              <w:rPr>
                <w:spacing w:val="1"/>
              </w:rPr>
              <w:t>业务数据、理赔数据、退保数据、费用数据、投资数据等，</w:t>
            </w:r>
            <w:r>
              <w:rPr>
                <w:spacing w:val="70"/>
              </w:rPr>
              <w:t xml:space="preserve"> </w:t>
            </w:r>
            <w:r>
              <w:rPr>
                <w:spacing w:val="1"/>
              </w:rPr>
              <w:t>并在模</w:t>
            </w:r>
            <w:r>
              <w:rPr>
                <w:spacing w:val="4"/>
              </w:rPr>
              <w:t>型点层面形成可计算结构。</w:t>
            </w:r>
          </w:p>
        </w:tc>
      </w:tr>
      <w:tr>
        <w:trPr>
          <w:trHeight w:val="716" w:hRule="atLeast"/>
        </w:trPr>
        <w:tc>
          <w:tcPr>
            <w:tcW w:w="1442" w:type="dxa"/>
            <w:vAlign w:val="top"/>
          </w:tcPr>
          <w:p>
            <w:pPr>
              <w:pStyle w:val="TableText"/>
              <w:ind w:left="130"/>
              <w:spacing w:before="66" w:line="227" w:lineRule="auto"/>
              <w:rPr/>
            </w:pPr>
            <w:r>
              <w:rPr>
                <w:spacing w:val="3"/>
              </w:rPr>
              <w:t>参数</w:t>
            </w:r>
          </w:p>
        </w:tc>
        <w:tc>
          <w:tcPr>
            <w:tcW w:w="7381" w:type="dxa"/>
            <w:vAlign w:val="top"/>
          </w:tcPr>
          <w:p>
            <w:pPr>
              <w:pStyle w:val="TableText"/>
              <w:ind w:left="380" w:right="119"/>
              <w:spacing w:before="65" w:line="257" w:lineRule="auto"/>
              <w:rPr/>
            </w:pPr>
            <w:r>
              <w:rPr>
                <w:spacing w:val="7"/>
              </w:rPr>
              <w:t>建模过程中的常量，通常在产品设计或制度口径确定后在预测期内</w:t>
            </w:r>
            <w:r>
              <w:rPr>
                <w:spacing w:val="7"/>
              </w:rPr>
              <w:t>不发生显著变化，例如保险责任、费率、佣金率、现金价值等。</w:t>
            </w:r>
          </w:p>
        </w:tc>
      </w:tr>
      <w:tr>
        <w:trPr>
          <w:trHeight w:val="714" w:hRule="atLeast"/>
        </w:trPr>
        <w:tc>
          <w:tcPr>
            <w:tcW w:w="1442" w:type="dxa"/>
            <w:vAlign w:val="top"/>
          </w:tcPr>
          <w:p>
            <w:pPr>
              <w:pStyle w:val="TableText"/>
              <w:ind w:left="128"/>
              <w:spacing w:before="67" w:line="226" w:lineRule="auto"/>
              <w:rPr/>
            </w:pPr>
            <w:r>
              <w:rPr>
                <w:spacing w:val="4"/>
              </w:rPr>
              <w:t>假设</w:t>
            </w:r>
          </w:p>
        </w:tc>
        <w:tc>
          <w:tcPr>
            <w:tcW w:w="7381" w:type="dxa"/>
            <w:vAlign w:val="top"/>
          </w:tcPr>
          <w:p>
            <w:pPr>
              <w:pStyle w:val="TableText"/>
              <w:ind w:left="378" w:right="4" w:hanging="2"/>
              <w:spacing w:before="68" w:line="255" w:lineRule="auto"/>
              <w:rPr/>
            </w:pPr>
            <w:r>
              <w:rPr>
                <w:spacing w:val="3"/>
              </w:rPr>
              <w:t>对未来不确定性因素的设定， 例如死亡率、发病率、理赔率、退保</w:t>
            </w:r>
            <w:r>
              <w:rPr>
                <w:spacing w:val="11"/>
              </w:rPr>
              <w:t>率、投资收益率与费用率等。假设可分为确定性假设与随机假设，</w:t>
            </w:r>
          </w:p>
        </w:tc>
      </w:tr>
      <w:tr>
        <w:trPr>
          <w:trHeight w:val="1072" w:hRule="atLeast"/>
        </w:trPr>
        <w:tc>
          <w:tcPr>
            <w:tcW w:w="1442" w:type="dxa"/>
            <w:vAlign w:val="top"/>
          </w:tcPr>
          <w:p>
            <w:pPr>
              <w:spacing w:line="352" w:lineRule="auto"/>
              <w:rPr>
                <w:rFonts w:ascii="Arial"/>
                <w:sz w:val="21"/>
              </w:rPr>
            </w:pPr>
            <w:r/>
          </w:p>
          <w:p>
            <w:pPr>
              <w:pStyle w:val="TableText"/>
              <w:ind w:left="130"/>
              <w:spacing w:before="74" w:line="227" w:lineRule="auto"/>
              <w:rPr/>
            </w:pPr>
            <w:r>
              <w:rPr>
                <w:spacing w:val="3"/>
              </w:rPr>
              <w:t>算法</w:t>
            </w:r>
          </w:p>
        </w:tc>
        <w:tc>
          <w:tcPr>
            <w:tcW w:w="7381" w:type="dxa"/>
            <w:vAlign w:val="top"/>
          </w:tcPr>
          <w:p>
            <w:pPr>
              <w:pStyle w:val="TableText"/>
              <w:ind w:left="390"/>
              <w:spacing w:before="70" w:line="226" w:lineRule="auto"/>
              <w:rPr/>
            </w:pPr>
            <w:r>
              <w:rPr>
                <w:spacing w:val="6"/>
              </w:rPr>
              <w:t>随机假设可通过情景生成机制刻画随机波动与分布特征。</w:t>
            </w:r>
          </w:p>
          <w:p>
            <w:pPr>
              <w:pStyle w:val="TableText"/>
              <w:ind w:left="379" w:right="119"/>
              <w:spacing w:before="76" w:line="254" w:lineRule="auto"/>
              <w:rPr/>
            </w:pPr>
            <w:r>
              <w:rPr>
                <w:spacing w:val="1"/>
              </w:rPr>
              <w:t>核心计算逻辑，将精算规则转化为数学表达与计算机实现，</w:t>
            </w:r>
            <w:r>
              <w:rPr>
                <w:spacing w:val="66"/>
              </w:rPr>
              <w:t xml:space="preserve"> </w:t>
            </w:r>
            <w:r>
              <w:rPr>
                <w:spacing w:val="1"/>
              </w:rPr>
              <w:t>实现对</w:t>
            </w:r>
            <w:r>
              <w:rPr>
                <w:spacing w:val="6"/>
              </w:rPr>
              <w:t>数据、参数与假设的调用、运算与结果汇总。</w:t>
            </w:r>
          </w:p>
        </w:tc>
      </w:tr>
      <w:tr>
        <w:trPr>
          <w:trHeight w:val="791" w:hRule="atLeast"/>
        </w:trPr>
        <w:tc>
          <w:tcPr>
            <w:tcW w:w="1442" w:type="dxa"/>
            <w:vAlign w:val="top"/>
            <w:tcBorders>
              <w:bottom w:val="single" w:color="000000" w:sz="6" w:space="0"/>
            </w:tcBorders>
          </w:tcPr>
          <w:p>
            <w:pPr>
              <w:pStyle w:val="TableText"/>
              <w:ind w:left="130"/>
              <w:spacing w:before="74" w:line="227" w:lineRule="auto"/>
              <w:rPr/>
            </w:pPr>
            <w:r>
              <w:rPr>
                <w:spacing w:val="6"/>
              </w:rPr>
              <w:t>数据输出</w:t>
            </w:r>
          </w:p>
        </w:tc>
        <w:tc>
          <w:tcPr>
            <w:tcW w:w="7381" w:type="dxa"/>
            <w:vAlign w:val="top"/>
            <w:tcBorders>
              <w:bottom w:val="single" w:color="000000" w:sz="6" w:space="0"/>
            </w:tcBorders>
          </w:tcPr>
          <w:p>
            <w:pPr>
              <w:pStyle w:val="TableText"/>
              <w:ind w:left="400" w:right="4" w:hanging="22"/>
              <w:spacing w:before="73" w:line="284" w:lineRule="auto"/>
              <w:rPr/>
            </w:pPr>
            <w:r>
              <w:rPr>
                <w:spacing w:val="-2"/>
              </w:rPr>
              <w:t>保费、准备金、价值指标、偿付能力相关指标等结果，</w:t>
            </w:r>
            <w:r>
              <w:rPr>
                <w:spacing w:val="42"/>
              </w:rPr>
              <w:t xml:space="preserve"> </w:t>
            </w:r>
            <w:r>
              <w:rPr>
                <w:spacing w:val="-2"/>
              </w:rPr>
              <w:t>通常以报表、</w:t>
            </w:r>
            <w:r>
              <w:rPr>
                <w:spacing w:val="3"/>
              </w:rPr>
              <w:t>图表与分析报告形式呈现。</w:t>
            </w:r>
          </w:p>
        </w:tc>
      </w:tr>
    </w:tbl>
    <w:p>
      <w:pPr>
        <w:pStyle w:val="BodyText"/>
        <w:spacing w:line="411" w:lineRule="auto"/>
        <w:rPr/>
      </w:pPr>
      <w:r/>
    </w:p>
    <w:p>
      <w:pPr>
        <w:ind w:left="12"/>
        <w:spacing w:before="75" w:line="228" w:lineRule="auto"/>
        <w:outlineLvl w:val="3"/>
        <w:rPr>
          <w:rFonts w:ascii="SimHei" w:hAnsi="SimHei" w:eastAsia="SimHei" w:cs="SimHei"/>
          <w:sz w:val="23"/>
          <w:szCs w:val="23"/>
        </w:rPr>
      </w:pPr>
      <w:bookmarkStart w:name="bookmark41" w:id="75"/>
      <w:bookmarkEnd w:id="75"/>
      <w:r>
        <w:rPr>
          <w:rFonts w:ascii="Times New Roman" w:hAnsi="Times New Roman" w:eastAsia="Times New Roman" w:cs="Times New Roman"/>
          <w:sz w:val="23"/>
          <w:szCs w:val="23"/>
          <w:b/>
          <w:bCs/>
          <w:spacing w:val="10"/>
        </w:rPr>
        <w:t>1.4.5.3    </w:t>
      </w:r>
      <w:r>
        <w:rPr>
          <w:rFonts w:ascii="SimHei" w:hAnsi="SimHei" w:eastAsia="SimHei" w:cs="SimHei"/>
          <w:sz w:val="23"/>
          <w:szCs w:val="23"/>
          <w:spacing w:val="10"/>
        </w:rPr>
        <w:t>精算算法的基本步骤</w:t>
      </w:r>
    </w:p>
    <w:p>
      <w:pPr>
        <w:ind w:right="114" w:firstLine="479"/>
        <w:spacing w:before="228" w:line="289" w:lineRule="auto"/>
        <w:jc w:val="both"/>
        <w:rPr>
          <w:rFonts w:ascii="SimSun" w:hAnsi="SimSun" w:eastAsia="SimSun" w:cs="SimSun"/>
          <w:sz w:val="23"/>
          <w:szCs w:val="23"/>
        </w:rPr>
      </w:pPr>
      <w:r>
        <w:rPr>
          <w:rFonts w:ascii="SimSun" w:hAnsi="SimSun" w:eastAsia="SimSun" w:cs="SimSun"/>
          <w:sz w:val="23"/>
          <w:szCs w:val="23"/>
          <w:spacing w:val="7"/>
        </w:rPr>
        <w:t>精算实务中，</w:t>
      </w:r>
      <w:r>
        <w:rPr>
          <w:rFonts w:ascii="SimSun" w:hAnsi="SimSun" w:eastAsia="SimSun" w:cs="SimSun"/>
          <w:sz w:val="23"/>
          <w:szCs w:val="23"/>
          <w:spacing w:val="-65"/>
        </w:rPr>
        <w:t xml:space="preserve"> </w:t>
      </w:r>
      <w:r>
        <w:rPr>
          <w:rFonts w:ascii="SimSun" w:hAnsi="SimSun" w:eastAsia="SimSun" w:cs="SimSun"/>
          <w:sz w:val="23"/>
          <w:szCs w:val="23"/>
          <w:spacing w:val="7"/>
        </w:rPr>
        <w:t>算法结构可抽象为“分析对象—未来现金流—发生概率—折现”四步</w:t>
      </w:r>
      <w:r>
        <w:rPr>
          <w:rFonts w:ascii="SimSun" w:hAnsi="SimSun" w:eastAsia="SimSun" w:cs="SimSun"/>
          <w:sz w:val="23"/>
          <w:szCs w:val="23"/>
          <w:spacing w:val="9"/>
        </w:rPr>
        <w:t>结构，并在不同场景下嵌入相应的制度约束与假设口径。表</w:t>
      </w:r>
      <w:hyperlink w:history="true" w:anchor="bookmark81">
        <w:r>
          <w:rPr>
            <w:rFonts w:ascii="Times New Roman" w:hAnsi="Times New Roman" w:eastAsia="Times New Roman" w:cs="Times New Roman"/>
            <w:sz w:val="23"/>
            <w:szCs w:val="23"/>
            <w:spacing w:val="9"/>
          </w:rPr>
          <w:t>1.16</w:t>
        </w:r>
      </w:hyperlink>
      <w:r>
        <w:rPr>
          <w:rFonts w:ascii="SimSun" w:hAnsi="SimSun" w:eastAsia="SimSun" w:cs="SimSun"/>
          <w:sz w:val="23"/>
          <w:szCs w:val="23"/>
          <w:spacing w:val="9"/>
        </w:rPr>
        <w:t>对这一结构作文本化表</w:t>
      </w:r>
      <w:r>
        <w:rPr>
          <w:rFonts w:ascii="SimSun" w:hAnsi="SimSun" w:eastAsia="SimSun" w:cs="SimSun"/>
          <w:sz w:val="23"/>
          <w:szCs w:val="23"/>
          <w:spacing w:val="7"/>
        </w:rPr>
        <w:t>达，用于对应典型业务场景并帮助理解不同职能之间的共性框架。</w:t>
      </w:r>
    </w:p>
    <w:p>
      <w:pPr>
        <w:spacing w:line="289" w:lineRule="auto"/>
        <w:sectPr>
          <w:footerReference w:type="default" r:id="rId22"/>
          <w:pgSz w:w="11906" w:h="16838"/>
          <w:pgMar w:top="400" w:right="1302" w:bottom="980" w:left="1425" w:header="0" w:footer="767" w:gutter="0"/>
        </w:sectPr>
        <w:rPr>
          <w:rFonts w:ascii="SimSun" w:hAnsi="SimSun" w:eastAsia="SimSun" w:cs="SimSun"/>
          <w:sz w:val="23"/>
          <w:szCs w:val="23"/>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3092"/>
        <w:spacing w:before="74" w:line="226" w:lineRule="auto"/>
        <w:rPr>
          <w:rFonts w:ascii="SimSun" w:hAnsi="SimSun" w:eastAsia="SimSun" w:cs="SimSun"/>
          <w:sz w:val="23"/>
          <w:szCs w:val="23"/>
        </w:rPr>
      </w:pPr>
      <w:bookmarkStart w:name="bookmark81" w:id="76"/>
      <w:bookmarkEnd w:id="76"/>
      <w:r>
        <w:rPr>
          <w:rFonts w:ascii="SimSun" w:hAnsi="SimSun" w:eastAsia="SimSun" w:cs="SimSun"/>
          <w:sz w:val="23"/>
          <w:szCs w:val="23"/>
          <w:spacing w:val="2"/>
        </w:rPr>
        <w:t>表 </w:t>
      </w:r>
      <w:r>
        <w:rPr>
          <w:rFonts w:ascii="Times New Roman" w:hAnsi="Times New Roman" w:eastAsia="Times New Roman" w:cs="Times New Roman"/>
          <w:sz w:val="23"/>
          <w:szCs w:val="23"/>
          <w:spacing w:val="2"/>
        </w:rPr>
        <w:t>1.16:</w:t>
      </w:r>
      <w:r>
        <w:rPr>
          <w:rFonts w:ascii="Times New Roman" w:hAnsi="Times New Roman" w:eastAsia="Times New Roman" w:cs="Times New Roman"/>
          <w:sz w:val="23"/>
          <w:szCs w:val="23"/>
          <w:spacing w:val="67"/>
        </w:rPr>
        <w:t xml:space="preserve"> </w:t>
      </w:r>
      <w:r>
        <w:rPr>
          <w:rFonts w:ascii="SimSun" w:hAnsi="SimSun" w:eastAsia="SimSun" w:cs="SimSun"/>
          <w:sz w:val="23"/>
          <w:szCs w:val="23"/>
          <w:spacing w:val="2"/>
        </w:rPr>
        <w:t>精算算法基本步骤</w:t>
      </w:r>
    </w:p>
    <w:p>
      <w:pPr>
        <w:spacing w:line="209" w:lineRule="exact"/>
        <w:rPr/>
      </w:pPr>
      <w:r/>
    </w:p>
    <w:tbl>
      <w:tblPr>
        <w:tblStyle w:val="TableNormal"/>
        <w:tblW w:w="906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72"/>
        <w:gridCol w:w="2216"/>
        <w:gridCol w:w="4774"/>
      </w:tblGrid>
      <w:tr>
        <w:trPr>
          <w:trHeight w:val="475" w:hRule="atLeast"/>
        </w:trPr>
        <w:tc>
          <w:tcPr>
            <w:tcW w:w="2072" w:type="dxa"/>
            <w:vAlign w:val="top"/>
            <w:tcBorders>
              <w:bottom w:val="single" w:color="000000" w:sz="4" w:space="0"/>
              <w:top w:val="single" w:color="000000" w:sz="6" w:space="0"/>
            </w:tcBorders>
          </w:tcPr>
          <w:p>
            <w:pPr>
              <w:pStyle w:val="TableText"/>
              <w:ind w:left="131"/>
              <w:spacing w:before="116" w:line="227" w:lineRule="auto"/>
              <w:rPr/>
            </w:pPr>
            <w:r>
              <w:rPr>
                <w:spacing w:val="3"/>
              </w:rPr>
              <w:t>步骤</w:t>
            </w:r>
          </w:p>
        </w:tc>
        <w:tc>
          <w:tcPr>
            <w:tcW w:w="2216" w:type="dxa"/>
            <w:vAlign w:val="top"/>
            <w:tcBorders>
              <w:bottom w:val="single" w:color="000000" w:sz="4" w:space="0"/>
              <w:top w:val="single" w:color="000000" w:sz="6" w:space="0"/>
            </w:tcBorders>
          </w:tcPr>
          <w:p>
            <w:pPr>
              <w:pStyle w:val="TableText"/>
              <w:ind w:left="294"/>
              <w:spacing w:before="116" w:line="227" w:lineRule="auto"/>
              <w:rPr/>
            </w:pPr>
            <w:r>
              <w:rPr>
                <w:spacing w:val="6"/>
              </w:rPr>
              <w:t>核心内容</w:t>
            </w:r>
          </w:p>
        </w:tc>
        <w:tc>
          <w:tcPr>
            <w:tcW w:w="4774" w:type="dxa"/>
            <w:vAlign w:val="top"/>
            <w:tcBorders>
              <w:bottom w:val="single" w:color="000000" w:sz="4" w:space="0"/>
              <w:top w:val="single" w:color="000000" w:sz="6" w:space="0"/>
            </w:tcBorders>
          </w:tcPr>
          <w:p>
            <w:pPr>
              <w:pStyle w:val="TableText"/>
              <w:ind w:left="127"/>
              <w:spacing w:before="116" w:line="227" w:lineRule="auto"/>
              <w:rPr/>
            </w:pPr>
            <w:r>
              <w:rPr>
                <w:spacing w:val="7"/>
              </w:rPr>
              <w:t>场景说明</w:t>
            </w:r>
          </w:p>
        </w:tc>
      </w:tr>
      <w:tr>
        <w:trPr>
          <w:trHeight w:val="1835" w:hRule="atLeast"/>
        </w:trPr>
        <w:tc>
          <w:tcPr>
            <w:tcW w:w="2072" w:type="dxa"/>
            <w:vAlign w:val="top"/>
            <w:tcBorders>
              <w:top w:val="single" w:color="000000" w:sz="4" w:space="0"/>
            </w:tcBorders>
          </w:tcPr>
          <w:p>
            <w:pPr>
              <w:pStyle w:val="TableText"/>
              <w:ind w:left="131"/>
              <w:spacing w:before="110" w:line="227" w:lineRule="auto"/>
              <w:rPr/>
            </w:pPr>
            <w:r>
              <w:rPr>
                <w:spacing w:val="6"/>
              </w:rPr>
              <w:t>分析对象</w:t>
            </w:r>
          </w:p>
        </w:tc>
        <w:tc>
          <w:tcPr>
            <w:tcW w:w="2216" w:type="dxa"/>
            <w:vAlign w:val="top"/>
            <w:tcBorders>
              <w:top w:val="single" w:color="000000" w:sz="4" w:space="0"/>
            </w:tcBorders>
          </w:tcPr>
          <w:p>
            <w:pPr>
              <w:pStyle w:val="TableText"/>
              <w:ind w:left="297" w:right="119" w:firstLine="16"/>
              <w:spacing w:before="111" w:line="289" w:lineRule="auto"/>
              <w:rPr/>
            </w:pPr>
            <w:r>
              <w:rPr>
                <w:spacing w:val="-8"/>
              </w:rPr>
              <w:t>明确模型点、数据</w:t>
            </w:r>
            <w:r>
              <w:rPr>
                <w:spacing w:val="6"/>
              </w:rPr>
              <w:t>范围与口径边界</w:t>
            </w:r>
          </w:p>
        </w:tc>
        <w:tc>
          <w:tcPr>
            <w:tcW w:w="4774" w:type="dxa"/>
            <w:vAlign w:val="top"/>
            <w:tcBorders>
              <w:top w:val="single" w:color="000000" w:sz="4" w:space="0"/>
            </w:tcBorders>
          </w:tcPr>
          <w:p>
            <w:pPr>
              <w:pStyle w:val="TableText"/>
              <w:ind w:left="127" w:right="3"/>
              <w:spacing w:before="111" w:line="275" w:lineRule="auto"/>
              <w:jc w:val="both"/>
              <w:rPr/>
            </w:pPr>
            <w:r>
              <w:rPr>
                <w:spacing w:val="5"/>
              </w:rPr>
              <w:t>在定价场景中，</w:t>
            </w:r>
            <w:r>
              <w:rPr>
                <w:spacing w:val="-54"/>
              </w:rPr>
              <w:t xml:space="preserve"> </w:t>
            </w:r>
            <w:r>
              <w:rPr>
                <w:spacing w:val="5"/>
              </w:rPr>
              <w:t>分析对象为新产品目标保单</w:t>
            </w:r>
            <w:r>
              <w:rPr>
                <w:spacing w:val="1"/>
              </w:rPr>
              <w:t>或模型点组合；</w:t>
            </w:r>
            <w:r>
              <w:rPr>
                <w:spacing w:val="-42"/>
              </w:rPr>
              <w:t xml:space="preserve"> </w:t>
            </w:r>
            <w:r>
              <w:rPr>
                <w:spacing w:val="1"/>
              </w:rPr>
              <w:t>在评估场景中，</w:t>
            </w:r>
            <w:r>
              <w:rPr>
                <w:spacing w:val="-51"/>
              </w:rPr>
              <w:t xml:space="preserve"> </w:t>
            </w:r>
            <w:r>
              <w:rPr>
                <w:spacing w:val="1"/>
              </w:rPr>
              <w:t>分析对象为</w:t>
            </w:r>
            <w:r>
              <w:rPr>
                <w:spacing w:val="2"/>
              </w:rPr>
              <w:t>评估时点所有有效保单；在价值评估场景中，</w:t>
            </w:r>
            <w:r>
              <w:rPr>
                <w:spacing w:val="21"/>
              </w:rPr>
              <w:t>分析对象为评估期间签发的新保单或有效</w:t>
            </w:r>
            <w:r>
              <w:rPr>
                <w:spacing w:val="-5"/>
              </w:rPr>
              <w:t>业务。</w:t>
            </w:r>
          </w:p>
        </w:tc>
      </w:tr>
      <w:tr>
        <w:trPr>
          <w:trHeight w:val="1431" w:hRule="atLeast"/>
        </w:trPr>
        <w:tc>
          <w:tcPr>
            <w:tcW w:w="2072" w:type="dxa"/>
            <w:vAlign w:val="top"/>
          </w:tcPr>
          <w:p>
            <w:pPr>
              <w:pStyle w:val="TableText"/>
              <w:ind w:left="132"/>
              <w:spacing w:before="67" w:line="227" w:lineRule="auto"/>
              <w:rPr/>
            </w:pPr>
            <w:r>
              <w:rPr>
                <w:spacing w:val="6"/>
              </w:rPr>
              <w:t>未来现金流</w:t>
            </w:r>
          </w:p>
        </w:tc>
        <w:tc>
          <w:tcPr>
            <w:tcW w:w="2216" w:type="dxa"/>
            <w:vAlign w:val="top"/>
          </w:tcPr>
          <w:p>
            <w:pPr>
              <w:pStyle w:val="TableText"/>
              <w:ind w:left="292" w:right="119" w:firstLine="3"/>
              <w:spacing w:before="70" w:line="271" w:lineRule="auto"/>
              <w:jc w:val="both"/>
              <w:rPr/>
            </w:pPr>
            <w:r>
              <w:rPr>
                <w:spacing w:val="-5"/>
              </w:rPr>
              <w:t>列示保证利益、非</w:t>
            </w:r>
            <w:r>
              <w:rPr>
                <w:spacing w:val="-5"/>
              </w:rPr>
              <w:t>保证利益、相关费</w:t>
            </w:r>
            <w:r>
              <w:rPr>
                <w:spacing w:val="-5"/>
              </w:rPr>
              <w:t>用、退保与保费等</w:t>
            </w:r>
            <w:r>
              <w:rPr>
                <w:spacing w:val="5"/>
              </w:rPr>
              <w:t>现金流</w:t>
            </w:r>
          </w:p>
        </w:tc>
        <w:tc>
          <w:tcPr>
            <w:tcW w:w="4774" w:type="dxa"/>
            <w:vAlign w:val="top"/>
          </w:tcPr>
          <w:p>
            <w:pPr>
              <w:pStyle w:val="TableText"/>
              <w:ind w:left="133" w:right="4" w:hanging="3"/>
              <w:spacing w:before="68" w:line="289" w:lineRule="auto"/>
              <w:rPr/>
            </w:pPr>
            <w:r>
              <w:rPr>
                <w:spacing w:val="14"/>
              </w:rPr>
              <w:t>现金流结构需与条款责任与运营规则一致，</w:t>
            </w:r>
            <w:r>
              <w:rPr>
                <w:spacing w:val="5"/>
              </w:rPr>
              <w:t>并在模型内实现可追溯的映射关系。</w:t>
            </w:r>
          </w:p>
        </w:tc>
      </w:tr>
      <w:tr>
        <w:trPr>
          <w:trHeight w:val="1432" w:hRule="atLeast"/>
        </w:trPr>
        <w:tc>
          <w:tcPr>
            <w:tcW w:w="2072" w:type="dxa"/>
            <w:vAlign w:val="top"/>
          </w:tcPr>
          <w:p>
            <w:pPr>
              <w:pStyle w:val="TableText"/>
              <w:ind w:left="132"/>
              <w:spacing w:before="71" w:line="227" w:lineRule="auto"/>
              <w:rPr/>
            </w:pPr>
            <w:r>
              <w:rPr>
                <w:spacing w:val="5"/>
              </w:rPr>
              <w:t>发生概率</w:t>
            </w:r>
          </w:p>
        </w:tc>
        <w:tc>
          <w:tcPr>
            <w:tcW w:w="2216" w:type="dxa"/>
            <w:vAlign w:val="top"/>
          </w:tcPr>
          <w:p>
            <w:pPr>
              <w:pStyle w:val="TableText"/>
              <w:ind w:left="290" w:right="119"/>
              <w:spacing w:before="71" w:line="271" w:lineRule="auto"/>
              <w:jc w:val="both"/>
              <w:rPr/>
            </w:pPr>
            <w:r>
              <w:rPr>
                <w:spacing w:val="-5"/>
              </w:rPr>
              <w:t>采用发生率、退保</w:t>
            </w:r>
            <w:r>
              <w:rPr>
                <w:spacing w:val="-5"/>
              </w:rPr>
              <w:t>率、费用率等假设</w:t>
            </w:r>
            <w:r>
              <w:rPr>
                <w:spacing w:val="27"/>
              </w:rPr>
              <w:t>刻画现金流发生</w:t>
            </w:r>
            <w:r>
              <w:rPr>
                <w:spacing w:val="4"/>
              </w:rPr>
              <w:t>机制</w:t>
            </w:r>
          </w:p>
        </w:tc>
        <w:tc>
          <w:tcPr>
            <w:tcW w:w="4774" w:type="dxa"/>
            <w:vAlign w:val="top"/>
          </w:tcPr>
          <w:p>
            <w:pPr>
              <w:pStyle w:val="TableText"/>
              <w:ind w:left="128" w:right="118" w:firstLine="5"/>
              <w:spacing w:before="70" w:line="289" w:lineRule="auto"/>
              <w:jc w:val="both"/>
              <w:rPr/>
            </w:pPr>
            <w:r>
              <w:rPr>
                <w:spacing w:val="21"/>
              </w:rPr>
              <w:t>定价与法定评估可能采用规定口径与行业</w:t>
            </w:r>
            <w:r>
              <w:rPr>
                <w:spacing w:val="8"/>
              </w:rPr>
              <w:t>基准；价值评估通常以公司最优估计假设为</w:t>
            </w:r>
            <w:r>
              <w:rPr>
                <w:spacing w:val="5"/>
              </w:rPr>
              <w:t>基础，并在需要时引入风险边际。</w:t>
            </w:r>
          </w:p>
        </w:tc>
      </w:tr>
      <w:tr>
        <w:trPr>
          <w:trHeight w:val="1507" w:hRule="atLeast"/>
        </w:trPr>
        <w:tc>
          <w:tcPr>
            <w:tcW w:w="2072" w:type="dxa"/>
            <w:vAlign w:val="top"/>
            <w:tcBorders>
              <w:bottom w:val="single" w:color="000000" w:sz="6" w:space="0"/>
            </w:tcBorders>
          </w:tcPr>
          <w:p>
            <w:pPr>
              <w:pStyle w:val="TableText"/>
              <w:ind w:left="130"/>
              <w:spacing w:before="72" w:line="228" w:lineRule="auto"/>
              <w:rPr/>
            </w:pPr>
            <w:r>
              <w:rPr>
                <w:spacing w:val="7"/>
              </w:rPr>
              <w:t>折现与风险调整</w:t>
            </w:r>
          </w:p>
        </w:tc>
        <w:tc>
          <w:tcPr>
            <w:tcW w:w="2216" w:type="dxa"/>
            <w:vAlign w:val="top"/>
            <w:tcBorders>
              <w:bottom w:val="single" w:color="000000" w:sz="6" w:space="0"/>
            </w:tcBorders>
          </w:tcPr>
          <w:p>
            <w:pPr>
              <w:pStyle w:val="TableText"/>
              <w:ind w:left="291" w:right="119" w:firstLine="3"/>
              <w:spacing w:before="73" w:line="289" w:lineRule="auto"/>
              <w:jc w:val="both"/>
              <w:rPr/>
            </w:pPr>
            <w:r>
              <w:rPr>
                <w:spacing w:val="27"/>
              </w:rPr>
              <w:t>设定折现率与评</w:t>
            </w:r>
            <w:r>
              <w:rPr>
                <w:spacing w:val="-5"/>
              </w:rPr>
              <w:t>估时点，完成现值</w:t>
            </w:r>
            <w:r>
              <w:rPr>
                <w:spacing w:val="7"/>
              </w:rPr>
              <w:t>与风险调整计量</w:t>
            </w:r>
          </w:p>
        </w:tc>
        <w:tc>
          <w:tcPr>
            <w:tcW w:w="4774" w:type="dxa"/>
            <w:vAlign w:val="top"/>
            <w:tcBorders>
              <w:bottom w:val="single" w:color="000000" w:sz="6" w:space="0"/>
            </w:tcBorders>
          </w:tcPr>
          <w:p>
            <w:pPr>
              <w:pStyle w:val="TableText"/>
              <w:ind w:left="128" w:right="118" w:firstLine="1"/>
              <w:spacing w:before="71" w:line="286" w:lineRule="auto"/>
              <w:jc w:val="both"/>
              <w:rPr/>
            </w:pPr>
            <w:r>
              <w:rPr>
                <w:spacing w:val="8"/>
              </w:rPr>
              <w:t>折现率与期限结构需与制度口径一致，并与</w:t>
            </w:r>
            <w:r>
              <w:rPr>
                <w:spacing w:val="3"/>
              </w:rPr>
              <w:t>资产负债管理相衔接；</w:t>
            </w:r>
            <w:r>
              <w:rPr>
                <w:spacing w:val="-17"/>
              </w:rPr>
              <w:t xml:space="preserve"> </w:t>
            </w:r>
            <w:r>
              <w:rPr>
                <w:spacing w:val="3"/>
              </w:rPr>
              <w:t>原则导向框架下通常</w:t>
            </w:r>
            <w:r>
              <w:rPr>
                <w:spacing w:val="21"/>
              </w:rPr>
              <w:t>需要体现风险边际并形成可解释的利润释</w:t>
            </w:r>
            <w:r>
              <w:rPr>
                <w:spacing w:val="-3"/>
              </w:rPr>
              <w:t>放机制。</w:t>
            </w:r>
          </w:p>
        </w:tc>
      </w:tr>
    </w:tbl>
    <w:p>
      <w:pPr>
        <w:pStyle w:val="BodyText"/>
        <w:spacing w:line="269" w:lineRule="auto"/>
        <w:rPr/>
      </w:pPr>
      <w:r/>
    </w:p>
    <w:p>
      <w:pPr>
        <w:pStyle w:val="BodyText"/>
        <w:spacing w:line="269" w:lineRule="auto"/>
        <w:rPr/>
      </w:pPr>
      <w:r/>
    </w:p>
    <w:p>
      <w:pPr>
        <w:ind w:left="16"/>
        <w:spacing w:before="74" w:line="228" w:lineRule="auto"/>
        <w:outlineLvl w:val="3"/>
        <w:rPr>
          <w:rFonts w:ascii="SimHei" w:hAnsi="SimHei" w:eastAsia="SimHei" w:cs="SimHei"/>
          <w:sz w:val="23"/>
          <w:szCs w:val="23"/>
        </w:rPr>
      </w:pPr>
      <w:bookmarkStart w:name="bookmark42" w:id="77"/>
      <w:bookmarkEnd w:id="77"/>
      <w:r>
        <w:rPr>
          <w:rFonts w:ascii="Times New Roman" w:hAnsi="Times New Roman" w:eastAsia="Times New Roman" w:cs="Times New Roman"/>
          <w:sz w:val="23"/>
          <w:szCs w:val="23"/>
          <w:b/>
          <w:bCs/>
          <w:spacing w:val="10"/>
        </w:rPr>
        <w:t>1.4.5.4    </w:t>
      </w:r>
      <w:r>
        <w:rPr>
          <w:rFonts w:ascii="SimHei" w:hAnsi="SimHei" w:eastAsia="SimHei" w:cs="SimHei"/>
          <w:sz w:val="23"/>
          <w:szCs w:val="23"/>
          <w:spacing w:val="10"/>
        </w:rPr>
        <w:t>精算建模的核心步骤</w:t>
      </w:r>
    </w:p>
    <w:p>
      <w:pPr>
        <w:ind w:left="5" w:firstLine="478"/>
        <w:spacing w:before="273" w:line="288" w:lineRule="auto"/>
        <w:jc w:val="both"/>
        <w:rPr>
          <w:rFonts w:ascii="SimSun" w:hAnsi="SimSun" w:eastAsia="SimSun" w:cs="SimSun"/>
          <w:sz w:val="23"/>
          <w:szCs w:val="23"/>
        </w:rPr>
      </w:pPr>
      <w:r>
        <w:rPr>
          <w:rFonts w:ascii="SimSun" w:hAnsi="SimSun" w:eastAsia="SimSun" w:cs="SimSun"/>
          <w:sz w:val="23"/>
          <w:szCs w:val="23"/>
          <w:spacing w:val="5"/>
        </w:rPr>
        <w:t>精算建模是系统化过程， 需要从需求到运行维护形成闭环。需求分析阶段应明确模</w:t>
      </w:r>
      <w:r>
        <w:rPr>
          <w:rFonts w:ascii="SimSun" w:hAnsi="SimSun" w:eastAsia="SimSun" w:cs="SimSun"/>
          <w:sz w:val="23"/>
          <w:szCs w:val="23"/>
          <w:spacing w:val="6"/>
        </w:rPr>
        <w:t>型用途并与相关方沟通；</w:t>
      </w:r>
      <w:r>
        <w:rPr>
          <w:rFonts w:ascii="SimSun" w:hAnsi="SimSun" w:eastAsia="SimSun" w:cs="SimSun"/>
          <w:sz w:val="23"/>
          <w:szCs w:val="23"/>
          <w:spacing w:val="-18"/>
        </w:rPr>
        <w:t xml:space="preserve"> </w:t>
      </w:r>
      <w:r>
        <w:rPr>
          <w:rFonts w:ascii="SimSun" w:hAnsi="SimSun" w:eastAsia="SimSun" w:cs="SimSun"/>
          <w:sz w:val="23"/>
          <w:szCs w:val="23"/>
          <w:spacing w:val="6"/>
        </w:rPr>
        <w:t>数据准备阶段应完成数据收集、整理与清洗并保证</w:t>
      </w:r>
      <w:r>
        <w:rPr>
          <w:rFonts w:ascii="SimSun" w:hAnsi="SimSun" w:eastAsia="SimSun" w:cs="SimSun"/>
          <w:sz w:val="23"/>
          <w:szCs w:val="23"/>
          <w:spacing w:val="5"/>
        </w:rPr>
        <w:t>一致性；模</w:t>
      </w:r>
      <w:r>
        <w:rPr>
          <w:rFonts w:ascii="SimSun" w:hAnsi="SimSun" w:eastAsia="SimSun" w:cs="SimSun"/>
          <w:sz w:val="23"/>
          <w:szCs w:val="23"/>
          <w:spacing w:val="4"/>
        </w:rPr>
        <w:t>型设计与实现阶段应将规则、参数与假设转化为可运行算法并开展校</w:t>
      </w:r>
      <w:r>
        <w:rPr>
          <w:rFonts w:ascii="SimSun" w:hAnsi="SimSun" w:eastAsia="SimSun" w:cs="SimSun"/>
          <w:sz w:val="23"/>
          <w:szCs w:val="23"/>
          <w:spacing w:val="3"/>
        </w:rPr>
        <w:t>验；</w:t>
      </w:r>
      <w:r>
        <w:rPr>
          <w:rFonts w:ascii="SimSun" w:hAnsi="SimSun" w:eastAsia="SimSun" w:cs="SimSun"/>
          <w:sz w:val="23"/>
          <w:szCs w:val="23"/>
          <w:spacing w:val="61"/>
        </w:rPr>
        <w:t xml:space="preserve"> </w:t>
      </w:r>
      <w:r>
        <w:rPr>
          <w:rFonts w:ascii="SimSun" w:hAnsi="SimSun" w:eastAsia="SimSun" w:cs="SimSun"/>
          <w:sz w:val="23"/>
          <w:szCs w:val="23"/>
          <w:spacing w:val="3"/>
        </w:rPr>
        <w:t>模型测试阶段</w:t>
      </w:r>
      <w:r>
        <w:rPr>
          <w:rFonts w:ascii="SimSun" w:hAnsi="SimSun" w:eastAsia="SimSun" w:cs="SimSun"/>
          <w:sz w:val="23"/>
          <w:szCs w:val="23"/>
          <w:spacing w:val="4"/>
        </w:rPr>
        <w:t>应通过对账、敏感性与情景测试验证结果合理性；</w:t>
      </w:r>
      <w:r>
        <w:rPr>
          <w:rFonts w:ascii="SimSun" w:hAnsi="SimSun" w:eastAsia="SimSun" w:cs="SimSun"/>
          <w:sz w:val="23"/>
          <w:szCs w:val="23"/>
          <w:spacing w:val="64"/>
        </w:rPr>
        <w:t xml:space="preserve"> </w:t>
      </w:r>
      <w:r>
        <w:rPr>
          <w:rFonts w:ascii="SimSun" w:hAnsi="SimSun" w:eastAsia="SimSun" w:cs="SimSun"/>
          <w:sz w:val="23"/>
          <w:szCs w:val="23"/>
          <w:spacing w:val="4"/>
        </w:rPr>
        <w:t>上线运行阶</w:t>
      </w:r>
      <w:r>
        <w:rPr>
          <w:rFonts w:ascii="SimSun" w:hAnsi="SimSun" w:eastAsia="SimSun" w:cs="SimSun"/>
          <w:sz w:val="23"/>
          <w:szCs w:val="23"/>
          <w:spacing w:val="3"/>
        </w:rPr>
        <w:t>段应将模型嵌入业务流程</w:t>
      </w:r>
      <w:r>
        <w:rPr>
          <w:rFonts w:ascii="SimSun" w:hAnsi="SimSun" w:eastAsia="SimSun" w:cs="SimSun"/>
          <w:sz w:val="23"/>
          <w:szCs w:val="23"/>
          <w:spacing w:val="4"/>
        </w:rPr>
        <w:t>并建立权限、版本与审计轨迹；</w:t>
      </w:r>
      <w:r>
        <w:rPr>
          <w:rFonts w:ascii="SimSun" w:hAnsi="SimSun" w:eastAsia="SimSun" w:cs="SimSun"/>
          <w:sz w:val="23"/>
          <w:szCs w:val="23"/>
          <w:spacing w:val="65"/>
        </w:rPr>
        <w:t xml:space="preserve"> </w:t>
      </w:r>
      <w:r>
        <w:rPr>
          <w:rFonts w:ascii="SimSun" w:hAnsi="SimSun" w:eastAsia="SimSun" w:cs="SimSun"/>
          <w:sz w:val="23"/>
          <w:szCs w:val="23"/>
          <w:spacing w:val="4"/>
        </w:rPr>
        <w:t>持续维护阶段应结合经验分</w:t>
      </w:r>
      <w:r>
        <w:rPr>
          <w:rFonts w:ascii="SimSun" w:hAnsi="SimSun" w:eastAsia="SimSun" w:cs="SimSun"/>
          <w:sz w:val="23"/>
          <w:szCs w:val="23"/>
          <w:spacing w:val="3"/>
        </w:rPr>
        <w:t>析与制度变化更新假设与算</w:t>
      </w:r>
      <w:bookmarkStart w:name="bookmark43" w:id="78"/>
      <w:bookmarkEnd w:id="78"/>
      <w:r>
        <w:rPr>
          <w:rFonts w:ascii="SimSun" w:hAnsi="SimSun" w:eastAsia="SimSun" w:cs="SimSun"/>
          <w:sz w:val="23"/>
          <w:szCs w:val="23"/>
          <w:spacing w:val="6"/>
        </w:rPr>
        <w:t>法，并通过回归测试保证变更可控。</w:t>
      </w:r>
    </w:p>
    <w:p>
      <w:pPr>
        <w:pStyle w:val="BodyText"/>
        <w:spacing w:line="381" w:lineRule="auto"/>
        <w:rPr/>
      </w:pPr>
      <w:r/>
    </w:p>
    <w:p>
      <w:pPr>
        <w:ind w:left="16"/>
        <w:spacing w:before="75" w:line="229" w:lineRule="auto"/>
        <w:outlineLvl w:val="3"/>
        <w:rPr>
          <w:rFonts w:ascii="SimHei" w:hAnsi="SimHei" w:eastAsia="SimHei" w:cs="SimHei"/>
          <w:sz w:val="23"/>
          <w:szCs w:val="23"/>
        </w:rPr>
      </w:pPr>
      <w:bookmarkStart w:name="bookmark82" w:id="79"/>
      <w:bookmarkEnd w:id="79"/>
      <w:r>
        <w:rPr>
          <w:rFonts w:ascii="Times New Roman" w:hAnsi="Times New Roman" w:eastAsia="Times New Roman" w:cs="Times New Roman"/>
          <w:sz w:val="23"/>
          <w:szCs w:val="23"/>
          <w:b/>
          <w:bCs/>
          <w:spacing w:val="10"/>
        </w:rPr>
        <w:t>1.4.5.5    </w:t>
      </w:r>
      <w:r>
        <w:rPr>
          <w:rFonts w:ascii="SimHei" w:hAnsi="SimHei" w:eastAsia="SimHei" w:cs="SimHei"/>
          <w:sz w:val="23"/>
          <w:szCs w:val="23"/>
          <w:spacing w:val="10"/>
        </w:rPr>
        <w:t>精算建模的常用工具</w:t>
      </w:r>
    </w:p>
    <w:p>
      <w:pPr>
        <w:ind w:left="5" w:firstLine="478"/>
        <w:spacing w:before="266" w:line="286" w:lineRule="auto"/>
        <w:jc w:val="both"/>
        <w:rPr>
          <w:rFonts w:ascii="SimSun" w:hAnsi="SimSun" w:eastAsia="SimSun" w:cs="SimSun"/>
          <w:sz w:val="23"/>
          <w:szCs w:val="23"/>
        </w:rPr>
      </w:pPr>
      <w:r>
        <w:rPr>
          <w:rFonts w:ascii="SimSun" w:hAnsi="SimSun" w:eastAsia="SimSun" w:cs="SimSun"/>
          <w:sz w:val="23"/>
          <w:szCs w:val="23"/>
          <w:spacing w:val="8"/>
        </w:rPr>
        <w:t>精算建模工具主要包括专业精算软件、编程语言与数据库工具。专业精算软件常用</w:t>
      </w:r>
      <w:r>
        <w:rPr>
          <w:rFonts w:ascii="SimSun" w:hAnsi="SimSun" w:eastAsia="SimSun" w:cs="SimSun"/>
          <w:sz w:val="23"/>
          <w:szCs w:val="23"/>
          <w:spacing w:val="15"/>
        </w:rPr>
        <w:t>于定价、评估、经验分析与偿付能力相关计算，例如 </w:t>
      </w:r>
      <w:r>
        <w:rPr>
          <w:rFonts w:ascii="Times New Roman" w:hAnsi="Times New Roman" w:eastAsia="Times New Roman" w:cs="Times New Roman"/>
          <w:sz w:val="23"/>
          <w:szCs w:val="23"/>
        </w:rPr>
        <w:t>Prophet</w:t>
      </w:r>
      <w:r>
        <w:rPr>
          <w:rFonts w:ascii="Times New Roman" w:hAnsi="Times New Roman" w:eastAsia="Times New Roman" w:cs="Times New Roman"/>
          <w:sz w:val="23"/>
          <w:szCs w:val="23"/>
          <w:spacing w:val="-29"/>
        </w:rPr>
        <w:t xml:space="preserve"> </w:t>
      </w:r>
      <w:r>
        <w:rPr>
          <w:rFonts w:ascii="SimSun" w:hAnsi="SimSun" w:eastAsia="SimSun" w:cs="SimSun"/>
          <w:sz w:val="23"/>
          <w:szCs w:val="23"/>
          <w:spacing w:val="15"/>
        </w:rPr>
        <w:t>、</w:t>
      </w:r>
      <w:r>
        <w:rPr>
          <w:rFonts w:ascii="Times New Roman" w:hAnsi="Times New Roman" w:eastAsia="Times New Roman" w:cs="Times New Roman"/>
          <w:sz w:val="23"/>
          <w:szCs w:val="23"/>
        </w:rPr>
        <w:t>AXIS</w:t>
      </w:r>
      <w:r>
        <w:rPr>
          <w:rFonts w:ascii="Times New Roman" w:hAnsi="Times New Roman" w:eastAsia="Times New Roman" w:cs="Times New Roman"/>
          <w:sz w:val="23"/>
          <w:szCs w:val="23"/>
          <w:spacing w:val="-31"/>
        </w:rPr>
        <w:t xml:space="preserve"> </w:t>
      </w:r>
      <w:r>
        <w:rPr>
          <w:rFonts w:ascii="SimSun" w:hAnsi="SimSun" w:eastAsia="SimSun" w:cs="SimSun"/>
          <w:sz w:val="23"/>
          <w:szCs w:val="23"/>
          <w:spacing w:val="15"/>
        </w:rPr>
        <w:t>、</w:t>
      </w:r>
      <w:r>
        <w:rPr>
          <w:rFonts w:ascii="Times New Roman" w:hAnsi="Times New Roman" w:eastAsia="Times New Roman" w:cs="Times New Roman"/>
          <w:sz w:val="23"/>
          <w:szCs w:val="23"/>
        </w:rPr>
        <w:t>MoSes</w:t>
      </w:r>
      <w:r>
        <w:rPr>
          <w:rFonts w:ascii="Times New Roman" w:hAnsi="Times New Roman" w:eastAsia="Times New Roman" w:cs="Times New Roman"/>
          <w:sz w:val="23"/>
          <w:szCs w:val="23"/>
          <w:spacing w:val="-31"/>
        </w:rPr>
        <w:t xml:space="preserve"> </w:t>
      </w:r>
      <w:r>
        <w:rPr>
          <w:rFonts w:ascii="SimSun" w:hAnsi="SimSun" w:eastAsia="SimSun" w:cs="SimSun"/>
          <w:sz w:val="23"/>
          <w:szCs w:val="23"/>
          <w:spacing w:val="15"/>
        </w:rPr>
        <w:t>、</w:t>
      </w:r>
      <w:r>
        <w:rPr>
          <w:rFonts w:ascii="Times New Roman" w:hAnsi="Times New Roman" w:eastAsia="Times New Roman" w:cs="Times New Roman"/>
          <w:sz w:val="23"/>
          <w:szCs w:val="23"/>
        </w:rPr>
        <w:t>Sigma</w:t>
      </w:r>
      <w:r>
        <w:rPr>
          <w:rFonts w:ascii="SimSun" w:hAnsi="SimSun" w:eastAsia="SimSun" w:cs="SimSun"/>
          <w:sz w:val="23"/>
          <w:szCs w:val="23"/>
          <w:spacing w:val="2"/>
        </w:rPr>
        <w:t>等。编程语言常用于数据处理、统计分析、模型拟合与自动化流程，</w:t>
      </w:r>
      <w:r>
        <w:rPr>
          <w:rFonts w:ascii="SimSun" w:hAnsi="SimSun" w:eastAsia="SimSun" w:cs="SimSun"/>
          <w:sz w:val="23"/>
          <w:szCs w:val="23"/>
          <w:spacing w:val="54"/>
        </w:rPr>
        <w:t xml:space="preserve"> </w:t>
      </w:r>
      <w:r>
        <w:rPr>
          <w:rFonts w:ascii="SimSun" w:hAnsi="SimSun" w:eastAsia="SimSun" w:cs="SimSun"/>
          <w:sz w:val="23"/>
          <w:szCs w:val="23"/>
          <w:spacing w:val="2"/>
        </w:rPr>
        <w:t>例如</w:t>
      </w:r>
      <w:r>
        <w:rPr>
          <w:rFonts w:ascii="SimSun" w:hAnsi="SimSun" w:eastAsia="SimSun" w:cs="SimSun"/>
          <w:sz w:val="23"/>
          <w:szCs w:val="23"/>
          <w:spacing w:val="-32"/>
        </w:rPr>
        <w:t xml:space="preserve"> </w:t>
      </w:r>
      <w:r>
        <w:rPr>
          <w:rFonts w:ascii="Times New Roman" w:hAnsi="Times New Roman" w:eastAsia="Times New Roman" w:cs="Times New Roman"/>
          <w:sz w:val="23"/>
          <w:szCs w:val="23"/>
        </w:rPr>
        <w:t>Python</w:t>
      </w:r>
      <w:r>
        <w:rPr>
          <w:rFonts w:ascii="Times New Roman" w:hAnsi="Times New Roman" w:eastAsia="Times New Roman" w:cs="Times New Roman"/>
          <w:sz w:val="23"/>
          <w:szCs w:val="23"/>
          <w:spacing w:val="-32"/>
        </w:rPr>
        <w:t xml:space="preserve"> </w:t>
      </w:r>
      <w:r>
        <w:rPr>
          <w:rFonts w:ascii="SimSun" w:hAnsi="SimSun" w:eastAsia="SimSun" w:cs="SimSun"/>
          <w:sz w:val="23"/>
          <w:szCs w:val="23"/>
          <w:spacing w:val="2"/>
        </w:rPr>
        <w:t>、</w:t>
      </w:r>
      <w:r>
        <w:rPr>
          <w:rFonts w:ascii="Times New Roman" w:hAnsi="Times New Roman" w:eastAsia="Times New Roman" w:cs="Times New Roman"/>
          <w:sz w:val="23"/>
          <w:szCs w:val="23"/>
          <w:spacing w:val="2"/>
        </w:rPr>
        <w:t>R</w:t>
      </w:r>
      <w:r>
        <w:rPr>
          <w:rFonts w:ascii="Times New Roman" w:hAnsi="Times New Roman" w:eastAsia="Times New Roman" w:cs="Times New Roman"/>
          <w:sz w:val="23"/>
          <w:szCs w:val="23"/>
          <w:spacing w:val="30"/>
        </w:rPr>
        <w:t xml:space="preserve"> </w:t>
      </w:r>
      <w:r>
        <w:rPr>
          <w:rFonts w:ascii="SimSun" w:hAnsi="SimSun" w:eastAsia="SimSun" w:cs="SimSun"/>
          <w:sz w:val="23"/>
          <w:szCs w:val="23"/>
          <w:spacing w:val="2"/>
        </w:rPr>
        <w:t>与</w:t>
      </w:r>
      <w:r>
        <w:rPr>
          <w:rFonts w:ascii="Times New Roman" w:hAnsi="Times New Roman" w:eastAsia="Times New Roman" w:cs="Times New Roman"/>
          <w:sz w:val="23"/>
          <w:szCs w:val="23"/>
        </w:rPr>
        <w:t>SAS</w:t>
      </w:r>
      <w:r>
        <w:rPr>
          <w:rFonts w:ascii="Times New Roman" w:hAnsi="Times New Roman" w:eastAsia="Times New Roman" w:cs="Times New Roman"/>
          <w:sz w:val="23"/>
          <w:szCs w:val="23"/>
          <w:spacing w:val="30"/>
        </w:rPr>
        <w:t xml:space="preserve"> </w:t>
      </w:r>
      <w:r>
        <w:rPr>
          <w:rFonts w:ascii="SimSun" w:hAnsi="SimSun" w:eastAsia="SimSun" w:cs="SimSun"/>
          <w:sz w:val="23"/>
          <w:szCs w:val="23"/>
          <w:spacing w:val="18"/>
        </w:rPr>
        <w:t>等，其中</w:t>
      </w:r>
      <w:r>
        <w:rPr>
          <w:rFonts w:ascii="SimSun" w:hAnsi="SimSun" w:eastAsia="SimSun" w:cs="SimSun"/>
          <w:sz w:val="23"/>
          <w:szCs w:val="23"/>
          <w:spacing w:val="-29"/>
        </w:rPr>
        <w:t xml:space="preserve"> </w:t>
      </w:r>
      <w:r>
        <w:rPr>
          <w:rFonts w:ascii="Times New Roman" w:hAnsi="Times New Roman" w:eastAsia="Times New Roman" w:cs="Times New Roman"/>
          <w:sz w:val="23"/>
          <w:szCs w:val="23"/>
        </w:rPr>
        <w:t>Python</w:t>
      </w:r>
      <w:r>
        <w:rPr>
          <w:rFonts w:ascii="Times New Roman" w:hAnsi="Times New Roman" w:eastAsia="Times New Roman" w:cs="Times New Roman"/>
          <w:sz w:val="23"/>
          <w:szCs w:val="23"/>
          <w:spacing w:val="30"/>
        </w:rPr>
        <w:t xml:space="preserve"> </w:t>
      </w:r>
      <w:r>
        <w:rPr>
          <w:rFonts w:ascii="SimSun" w:hAnsi="SimSun" w:eastAsia="SimSun" w:cs="SimSun"/>
          <w:sz w:val="23"/>
          <w:szCs w:val="23"/>
          <w:spacing w:val="18"/>
        </w:rPr>
        <w:t>可借助</w:t>
      </w:r>
      <w:r>
        <w:rPr>
          <w:rFonts w:ascii="SimSun" w:hAnsi="SimSun" w:eastAsia="SimSun" w:cs="SimSun"/>
          <w:sz w:val="23"/>
          <w:szCs w:val="23"/>
          <w:spacing w:val="-29"/>
        </w:rPr>
        <w:t xml:space="preserve"> </w:t>
      </w:r>
      <w:r>
        <w:rPr>
          <w:rFonts w:ascii="Times New Roman" w:hAnsi="Times New Roman" w:eastAsia="Times New Roman" w:cs="Times New Roman"/>
          <w:sz w:val="23"/>
          <w:szCs w:val="23"/>
        </w:rPr>
        <w:t>Pandas</w:t>
      </w:r>
      <w:r>
        <w:rPr>
          <w:rFonts w:ascii="Times New Roman" w:hAnsi="Times New Roman" w:eastAsia="Times New Roman" w:cs="Times New Roman"/>
          <w:sz w:val="23"/>
          <w:szCs w:val="23"/>
          <w:spacing w:val="-31"/>
        </w:rPr>
        <w:t xml:space="preserve"> </w:t>
      </w:r>
      <w:r>
        <w:rPr>
          <w:rFonts w:ascii="SimSun" w:hAnsi="SimSun" w:eastAsia="SimSun" w:cs="SimSun"/>
          <w:sz w:val="23"/>
          <w:szCs w:val="23"/>
          <w:spacing w:val="18"/>
        </w:rPr>
        <w:t>、</w:t>
      </w:r>
      <w:r>
        <w:rPr>
          <w:rFonts w:ascii="Times New Roman" w:hAnsi="Times New Roman" w:eastAsia="Times New Roman" w:cs="Times New Roman"/>
          <w:sz w:val="23"/>
          <w:szCs w:val="23"/>
        </w:rPr>
        <w:t>NumPy</w:t>
      </w:r>
      <w:r>
        <w:rPr>
          <w:rFonts w:ascii="Times New Roman" w:hAnsi="Times New Roman" w:eastAsia="Times New Roman" w:cs="Times New Roman"/>
          <w:sz w:val="23"/>
          <w:szCs w:val="23"/>
          <w:spacing w:val="33"/>
        </w:rPr>
        <w:t xml:space="preserve"> </w:t>
      </w:r>
      <w:r>
        <w:rPr>
          <w:rFonts w:ascii="SimSun" w:hAnsi="SimSun" w:eastAsia="SimSun" w:cs="SimSun"/>
          <w:sz w:val="23"/>
          <w:szCs w:val="23"/>
          <w:spacing w:val="18"/>
        </w:rPr>
        <w:t>与</w:t>
      </w:r>
      <w:r>
        <w:rPr>
          <w:rFonts w:ascii="SimSun" w:hAnsi="SimSun" w:eastAsia="SimSun" w:cs="SimSun"/>
          <w:sz w:val="23"/>
          <w:szCs w:val="23"/>
          <w:spacing w:val="-26"/>
        </w:rPr>
        <w:t xml:space="preserve"> </w:t>
      </w:r>
      <w:r>
        <w:rPr>
          <w:rFonts w:ascii="Times New Roman" w:hAnsi="Times New Roman" w:eastAsia="Times New Roman" w:cs="Times New Roman"/>
          <w:sz w:val="23"/>
          <w:szCs w:val="23"/>
        </w:rPr>
        <w:t>SciPy</w:t>
      </w:r>
      <w:r>
        <w:rPr>
          <w:rFonts w:ascii="Times New Roman" w:hAnsi="Times New Roman" w:eastAsia="Times New Roman" w:cs="Times New Roman"/>
          <w:sz w:val="23"/>
          <w:szCs w:val="23"/>
          <w:spacing w:val="30"/>
          <w:w w:val="101"/>
        </w:rPr>
        <w:t xml:space="preserve"> </w:t>
      </w:r>
      <w:r>
        <w:rPr>
          <w:rFonts w:ascii="SimSun" w:hAnsi="SimSun" w:eastAsia="SimSun" w:cs="SimSun"/>
          <w:sz w:val="23"/>
          <w:szCs w:val="23"/>
          <w:spacing w:val="18"/>
        </w:rPr>
        <w:t>等工具进行数据分析并借</w:t>
      </w:r>
      <w:r>
        <w:rPr>
          <w:rFonts w:ascii="SimSun" w:hAnsi="SimSun" w:eastAsia="SimSun" w:cs="SimSun"/>
          <w:sz w:val="23"/>
          <w:szCs w:val="23"/>
          <w:spacing w:val="17"/>
        </w:rPr>
        <w:t>助机</w:t>
      </w:r>
      <w:r>
        <w:rPr>
          <w:rFonts w:ascii="SimSun" w:hAnsi="SimSun" w:eastAsia="SimSun" w:cs="SimSun"/>
          <w:sz w:val="23"/>
          <w:szCs w:val="23"/>
          <w:spacing w:val="6"/>
        </w:rPr>
        <w:t>器学习工具开展建模工作，</w:t>
      </w:r>
      <w:r>
        <w:rPr>
          <w:rFonts w:ascii="SimSun" w:hAnsi="SimSun" w:eastAsia="SimSun" w:cs="SimSun"/>
          <w:sz w:val="23"/>
          <w:szCs w:val="23"/>
          <w:spacing w:val="-18"/>
        </w:rPr>
        <w:t xml:space="preserve"> </w:t>
      </w:r>
      <w:r>
        <w:rPr>
          <w:rFonts w:ascii="Times New Roman" w:hAnsi="Times New Roman" w:eastAsia="Times New Roman" w:cs="Times New Roman"/>
          <w:sz w:val="23"/>
          <w:szCs w:val="23"/>
          <w:spacing w:val="6"/>
        </w:rPr>
        <w:t>R</w:t>
      </w:r>
      <w:r>
        <w:rPr>
          <w:rFonts w:ascii="Times New Roman" w:hAnsi="Times New Roman" w:eastAsia="Times New Roman" w:cs="Times New Roman"/>
          <w:sz w:val="23"/>
          <w:szCs w:val="23"/>
          <w:spacing w:val="26"/>
          <w:w w:val="101"/>
        </w:rPr>
        <w:t xml:space="preserve"> </w:t>
      </w:r>
      <w:r>
        <w:rPr>
          <w:rFonts w:ascii="SimSun" w:hAnsi="SimSun" w:eastAsia="SimSun" w:cs="SimSun"/>
          <w:sz w:val="23"/>
          <w:szCs w:val="23"/>
          <w:spacing w:val="6"/>
        </w:rPr>
        <w:t>在统计分析与可视化方面应用</w:t>
      </w:r>
      <w:r>
        <w:rPr>
          <w:rFonts w:ascii="SimSun" w:hAnsi="SimSun" w:eastAsia="SimSun" w:cs="SimSun"/>
          <w:sz w:val="23"/>
          <w:szCs w:val="23"/>
          <w:spacing w:val="5"/>
        </w:rPr>
        <w:t>广泛。数据库工具用于存储</w:t>
      </w:r>
      <w:r>
        <w:rPr>
          <w:rFonts w:ascii="SimSun" w:hAnsi="SimSun" w:eastAsia="SimSun" w:cs="SimSun"/>
          <w:sz w:val="23"/>
          <w:szCs w:val="23"/>
          <w:spacing w:val="12"/>
        </w:rPr>
        <w:t>与管理业务、理赔、财务与投资等数据，常见关系型数据库包括</w:t>
      </w:r>
      <w:r>
        <w:rPr>
          <w:rFonts w:ascii="SimSun" w:hAnsi="SimSun" w:eastAsia="SimSun" w:cs="SimSun"/>
          <w:sz w:val="23"/>
          <w:szCs w:val="23"/>
          <w:spacing w:val="-10"/>
        </w:rPr>
        <w:t xml:space="preserve"> </w:t>
      </w:r>
      <w:r>
        <w:rPr>
          <w:rFonts w:ascii="Times New Roman" w:hAnsi="Times New Roman" w:eastAsia="Times New Roman" w:cs="Times New Roman"/>
          <w:sz w:val="23"/>
          <w:szCs w:val="23"/>
        </w:rPr>
        <w:t>SQL</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rPr>
        <w:t>Server</w:t>
      </w:r>
      <w:r>
        <w:rPr>
          <w:rFonts w:ascii="Times New Roman" w:hAnsi="Times New Roman" w:eastAsia="Times New Roman" w:cs="Times New Roman"/>
          <w:sz w:val="23"/>
          <w:szCs w:val="23"/>
          <w:spacing w:val="40"/>
        </w:rPr>
        <w:t xml:space="preserve"> </w:t>
      </w:r>
      <w:r>
        <w:rPr>
          <w:rFonts w:ascii="SimSun" w:hAnsi="SimSun" w:eastAsia="SimSun" w:cs="SimSun"/>
          <w:sz w:val="23"/>
          <w:szCs w:val="23"/>
          <w:spacing w:val="12"/>
        </w:rPr>
        <w:t>与</w:t>
      </w:r>
      <w:r>
        <w:rPr>
          <w:rFonts w:ascii="SimSun" w:hAnsi="SimSun" w:eastAsia="SimSun" w:cs="SimSun"/>
          <w:sz w:val="23"/>
          <w:szCs w:val="23"/>
          <w:spacing w:val="-19"/>
        </w:rPr>
        <w:t xml:space="preserve"> </w:t>
      </w:r>
      <w:r>
        <w:rPr>
          <w:rFonts w:ascii="Times New Roman" w:hAnsi="Times New Roman" w:eastAsia="Times New Roman" w:cs="Times New Roman"/>
          <w:sz w:val="23"/>
          <w:szCs w:val="23"/>
        </w:rPr>
        <w:t>Oracle</w:t>
      </w:r>
      <w:r>
        <w:rPr>
          <w:rFonts w:ascii="SimSun" w:hAnsi="SimSun" w:eastAsia="SimSun" w:cs="SimSun"/>
          <w:sz w:val="23"/>
          <w:szCs w:val="23"/>
          <w:spacing w:val="13"/>
        </w:rPr>
        <w:t>等，也可使用</w:t>
      </w:r>
      <w:r>
        <w:rPr>
          <w:rFonts w:ascii="SimSun" w:hAnsi="SimSun" w:eastAsia="SimSun" w:cs="SimSun"/>
          <w:sz w:val="23"/>
          <w:szCs w:val="23"/>
          <w:spacing w:val="-18"/>
        </w:rPr>
        <w:t xml:space="preserve"> </w:t>
      </w:r>
      <w:r>
        <w:rPr>
          <w:rFonts w:ascii="Times New Roman" w:hAnsi="Times New Roman" w:eastAsia="Times New Roman" w:cs="Times New Roman"/>
          <w:sz w:val="23"/>
          <w:szCs w:val="23"/>
        </w:rPr>
        <w:t>MySQL</w:t>
      </w:r>
      <w:r>
        <w:rPr>
          <w:rFonts w:ascii="Times New Roman" w:hAnsi="Times New Roman" w:eastAsia="Times New Roman" w:cs="Times New Roman"/>
          <w:sz w:val="23"/>
          <w:szCs w:val="23"/>
          <w:spacing w:val="38"/>
          <w:w w:val="101"/>
        </w:rPr>
        <w:t xml:space="preserve"> </w:t>
      </w:r>
      <w:r>
        <w:rPr>
          <w:rFonts w:ascii="SimSun" w:hAnsi="SimSun" w:eastAsia="SimSun" w:cs="SimSun"/>
          <w:sz w:val="23"/>
          <w:szCs w:val="23"/>
          <w:spacing w:val="13"/>
        </w:rPr>
        <w:t>与</w:t>
      </w:r>
      <w:r>
        <w:rPr>
          <w:rFonts w:ascii="SimSun" w:hAnsi="SimSun" w:eastAsia="SimSun" w:cs="SimSun"/>
          <w:sz w:val="23"/>
          <w:szCs w:val="23"/>
          <w:spacing w:val="-23"/>
        </w:rPr>
        <w:t xml:space="preserve"> </w:t>
      </w:r>
      <w:r>
        <w:rPr>
          <w:rFonts w:ascii="Times New Roman" w:hAnsi="Times New Roman" w:eastAsia="Times New Roman" w:cs="Times New Roman"/>
          <w:sz w:val="23"/>
          <w:szCs w:val="23"/>
        </w:rPr>
        <w:t>PostgreSQL</w:t>
      </w:r>
      <w:r>
        <w:rPr>
          <w:rFonts w:ascii="Times New Roman" w:hAnsi="Times New Roman" w:eastAsia="Times New Roman" w:cs="Times New Roman"/>
          <w:sz w:val="23"/>
          <w:szCs w:val="23"/>
          <w:spacing w:val="35"/>
        </w:rPr>
        <w:t xml:space="preserve"> </w:t>
      </w:r>
      <w:r>
        <w:rPr>
          <w:rFonts w:ascii="SimSun" w:hAnsi="SimSun" w:eastAsia="SimSun" w:cs="SimSun"/>
          <w:sz w:val="23"/>
          <w:szCs w:val="23"/>
          <w:spacing w:val="13"/>
        </w:rPr>
        <w:t>等开源数据库；在大规模数据处理场景下，可采</w:t>
      </w:r>
    </w:p>
    <w:p>
      <w:pPr>
        <w:spacing w:line="286" w:lineRule="auto"/>
        <w:sectPr>
          <w:footerReference w:type="default" r:id="rId23"/>
          <w:pgSz w:w="11906" w:h="16838"/>
          <w:pgMar w:top="400" w:right="1417" w:bottom="980" w:left="1421" w:header="0" w:footer="768" w:gutter="0"/>
        </w:sectPr>
        <w:rPr>
          <w:rFonts w:ascii="SimSun" w:hAnsi="SimSun" w:eastAsia="SimSun" w:cs="SimSun"/>
          <w:sz w:val="23"/>
          <w:szCs w:val="23"/>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left="1" w:right="114" w:firstLine="1"/>
        <w:spacing w:before="75" w:line="284" w:lineRule="auto"/>
        <w:rPr>
          <w:rFonts w:ascii="SimSun" w:hAnsi="SimSun" w:eastAsia="SimSun" w:cs="SimSun"/>
          <w:sz w:val="23"/>
          <w:szCs w:val="23"/>
        </w:rPr>
      </w:pPr>
      <w:r>
        <w:rPr>
          <w:rFonts w:ascii="SimSun" w:hAnsi="SimSun" w:eastAsia="SimSun" w:cs="SimSun"/>
          <w:sz w:val="23"/>
          <w:szCs w:val="23"/>
          <w:spacing w:val="14"/>
        </w:rPr>
        <w:t>用 </w:t>
      </w:r>
      <w:r>
        <w:rPr>
          <w:rFonts w:ascii="Times New Roman" w:hAnsi="Times New Roman" w:eastAsia="Times New Roman" w:cs="Times New Roman"/>
          <w:sz w:val="23"/>
          <w:szCs w:val="23"/>
        </w:rPr>
        <w:t>Hadoop</w:t>
      </w:r>
      <w:r>
        <w:rPr>
          <w:rFonts w:ascii="Times New Roman" w:hAnsi="Times New Roman" w:eastAsia="Times New Roman" w:cs="Times New Roman"/>
          <w:sz w:val="23"/>
          <w:szCs w:val="23"/>
          <w:spacing w:val="53"/>
        </w:rPr>
        <w:t xml:space="preserve"> </w:t>
      </w:r>
      <w:r>
        <w:rPr>
          <w:rFonts w:ascii="SimSun" w:hAnsi="SimSun" w:eastAsia="SimSun" w:cs="SimSun"/>
          <w:sz w:val="23"/>
          <w:szCs w:val="23"/>
          <w:spacing w:val="14"/>
        </w:rPr>
        <w:t>与 </w:t>
      </w:r>
      <w:r>
        <w:rPr>
          <w:rFonts w:ascii="Times New Roman" w:hAnsi="Times New Roman" w:eastAsia="Times New Roman" w:cs="Times New Roman"/>
          <w:sz w:val="23"/>
          <w:szCs w:val="23"/>
        </w:rPr>
        <w:t>Spark</w:t>
      </w:r>
      <w:r>
        <w:rPr>
          <w:rFonts w:ascii="Times New Roman" w:hAnsi="Times New Roman" w:eastAsia="Times New Roman" w:cs="Times New Roman"/>
          <w:sz w:val="23"/>
          <w:szCs w:val="23"/>
          <w:spacing w:val="47"/>
          <w:w w:val="101"/>
        </w:rPr>
        <w:t xml:space="preserve"> </w:t>
      </w:r>
      <w:r>
        <w:rPr>
          <w:rFonts w:ascii="SimSun" w:hAnsi="SimSun" w:eastAsia="SimSun" w:cs="SimSun"/>
          <w:sz w:val="23"/>
          <w:szCs w:val="23"/>
          <w:spacing w:val="14"/>
        </w:rPr>
        <w:t>等框架支持非结构化与半结构化数据处理。工具选择应以需求匹</w:t>
      </w:r>
      <w:r>
        <w:rPr>
          <w:rFonts w:ascii="SimSun" w:hAnsi="SimSun" w:eastAsia="SimSun" w:cs="SimSun"/>
          <w:sz w:val="23"/>
          <w:szCs w:val="23"/>
          <w:spacing w:val="8"/>
        </w:rPr>
        <w:t>配、可维护性与合规审计要求为主要标准，并与公司数据治理体</w:t>
      </w:r>
      <w:r>
        <w:rPr>
          <w:rFonts w:ascii="SimSun" w:hAnsi="SimSun" w:eastAsia="SimSun" w:cs="SimSun"/>
          <w:sz w:val="23"/>
          <w:szCs w:val="23"/>
          <w:spacing w:val="7"/>
        </w:rPr>
        <w:t>系一致。</w:t>
      </w:r>
    </w:p>
    <w:p>
      <w:pPr>
        <w:pStyle w:val="BodyText"/>
        <w:spacing w:line="314" w:lineRule="auto"/>
        <w:rPr/>
      </w:pPr>
      <w:r/>
    </w:p>
    <w:p>
      <w:pPr>
        <w:pStyle w:val="BodyText"/>
        <w:spacing w:line="315" w:lineRule="auto"/>
        <w:rPr/>
      </w:pPr>
      <w:r/>
    </w:p>
    <w:p>
      <w:pPr>
        <w:ind w:left="5" w:right="114" w:firstLine="3"/>
        <w:spacing w:before="74" w:line="288" w:lineRule="auto"/>
        <w:jc w:val="both"/>
        <w:rPr>
          <w:rFonts w:ascii="SimSun" w:hAnsi="SimSun" w:eastAsia="SimSun" w:cs="SimSun"/>
          <w:sz w:val="23"/>
          <w:szCs w:val="23"/>
        </w:rPr>
      </w:pPr>
      <w:r>
        <w:rPr>
          <w:rFonts w:ascii="SimHei" w:hAnsi="SimHei" w:eastAsia="SimHei" w:cs="SimHei"/>
          <w:sz w:val="23"/>
          <w:szCs w:val="23"/>
          <w:spacing w:val="8"/>
        </w:rPr>
        <w:t>学习提示</w:t>
      </w:r>
      <w:r>
        <w:rPr>
          <w:rFonts w:ascii="SimHei" w:hAnsi="SimHei" w:eastAsia="SimHei" w:cs="SimHei"/>
          <w:sz w:val="23"/>
          <w:szCs w:val="23"/>
          <w:spacing w:val="8"/>
        </w:rPr>
        <w:t xml:space="preserve">  </w:t>
      </w:r>
      <w:r>
        <w:rPr>
          <w:rFonts w:ascii="SimSun" w:hAnsi="SimSun" w:eastAsia="SimSun" w:cs="SimSun"/>
          <w:sz w:val="23"/>
          <w:szCs w:val="23"/>
          <w:spacing w:val="8"/>
        </w:rPr>
        <w:t>精算四大核心职能构成“定价—评估—经验分析—建模”的闭环体系。定价</w:t>
      </w:r>
      <w:r>
        <w:rPr>
          <w:rFonts w:ascii="SimSun" w:hAnsi="SimSun" w:eastAsia="SimSun" w:cs="SimSun"/>
          <w:sz w:val="23"/>
          <w:szCs w:val="23"/>
          <w:spacing w:val="5"/>
        </w:rPr>
        <w:t>是基础，评估是保障，</w:t>
      </w:r>
      <w:r>
        <w:rPr>
          <w:rFonts w:ascii="SimSun" w:hAnsi="SimSun" w:eastAsia="SimSun" w:cs="SimSun"/>
          <w:sz w:val="23"/>
          <w:szCs w:val="23"/>
          <w:spacing w:val="-61"/>
        </w:rPr>
        <w:t xml:space="preserve"> </w:t>
      </w:r>
      <w:r>
        <w:rPr>
          <w:rFonts w:ascii="SimSun" w:hAnsi="SimSun" w:eastAsia="SimSun" w:cs="SimSun"/>
          <w:sz w:val="23"/>
          <w:szCs w:val="23"/>
          <w:spacing w:val="5"/>
        </w:rPr>
        <w:t>经验分析是优化依据，</w:t>
      </w:r>
      <w:r>
        <w:rPr>
          <w:rFonts w:ascii="SimSun" w:hAnsi="SimSun" w:eastAsia="SimSun" w:cs="SimSun"/>
          <w:sz w:val="23"/>
          <w:szCs w:val="23"/>
          <w:spacing w:val="-28"/>
        </w:rPr>
        <w:t xml:space="preserve"> </w:t>
      </w:r>
      <w:r>
        <w:rPr>
          <w:rFonts w:ascii="SimSun" w:hAnsi="SimSun" w:eastAsia="SimSun" w:cs="SimSun"/>
          <w:sz w:val="23"/>
          <w:szCs w:val="23"/>
          <w:spacing w:val="5"/>
        </w:rPr>
        <w:t>建模是</w:t>
      </w:r>
      <w:r>
        <w:rPr>
          <w:rFonts w:ascii="SimSun" w:hAnsi="SimSun" w:eastAsia="SimSun" w:cs="SimSun"/>
          <w:sz w:val="23"/>
          <w:szCs w:val="23"/>
          <w:spacing w:val="4"/>
        </w:rPr>
        <w:t>技术支撑。学习时宜理解各职能之</w:t>
      </w:r>
      <w:r>
        <w:rPr>
          <w:rFonts w:ascii="SimSun" w:hAnsi="SimSun" w:eastAsia="SimSun" w:cs="SimSun"/>
          <w:sz w:val="23"/>
          <w:szCs w:val="23"/>
          <w:spacing w:val="8"/>
        </w:rPr>
        <w:t>间的内在联系，并以“数据—假设—模型—结</w:t>
      </w:r>
      <w:r>
        <w:rPr>
          <w:rFonts w:ascii="SimSun" w:hAnsi="SimSun" w:eastAsia="SimSun" w:cs="SimSun"/>
          <w:sz w:val="23"/>
          <w:szCs w:val="23"/>
          <w:spacing w:val="7"/>
        </w:rPr>
        <w:t>果—反馈”的逻辑组织知识结构。</w:t>
      </w:r>
    </w:p>
    <w:p>
      <w:pPr>
        <w:pStyle w:val="BodyText"/>
        <w:spacing w:line="351" w:lineRule="auto"/>
        <w:rPr/>
      </w:pPr>
      <w:r/>
    </w:p>
    <w:p>
      <w:pPr>
        <w:pStyle w:val="BodyText"/>
        <w:spacing w:line="351" w:lineRule="auto"/>
        <w:rPr/>
      </w:pPr>
      <w:r/>
    </w:p>
    <w:p>
      <w:pPr>
        <w:ind w:left="22"/>
        <w:spacing w:before="111" w:line="223" w:lineRule="auto"/>
        <w:outlineLvl w:val="1"/>
        <w:rPr>
          <w:rFonts w:ascii="SimHei" w:hAnsi="SimHei" w:eastAsia="SimHei" w:cs="SimHei"/>
          <w:sz w:val="34"/>
          <w:szCs w:val="34"/>
        </w:rPr>
      </w:pPr>
      <w:bookmarkStart w:name="bookmark44" w:id="80"/>
      <w:bookmarkEnd w:id="80"/>
      <w:bookmarkStart w:name="bookmark45" w:id="81"/>
      <w:bookmarkEnd w:id="81"/>
      <w:r>
        <w:rPr>
          <w:rFonts w:ascii="Times New Roman" w:hAnsi="Times New Roman" w:eastAsia="Times New Roman" w:cs="Times New Roman"/>
          <w:sz w:val="34"/>
          <w:szCs w:val="34"/>
          <w:b/>
          <w:bCs/>
          <w:spacing w:val="5"/>
        </w:rPr>
        <w:t>1.5    </w:t>
      </w:r>
      <w:r>
        <w:rPr>
          <w:rFonts w:ascii="SimHei" w:hAnsi="SimHei" w:eastAsia="SimHei" w:cs="SimHei"/>
          <w:sz w:val="34"/>
          <w:szCs w:val="34"/>
          <w:spacing w:val="5"/>
        </w:rPr>
        <w:t>精算控制循环与方法论</w:t>
      </w:r>
    </w:p>
    <w:p>
      <w:pPr>
        <w:pStyle w:val="BodyText"/>
        <w:spacing w:line="396" w:lineRule="auto"/>
        <w:rPr/>
      </w:pPr>
      <w:r/>
    </w:p>
    <w:p>
      <w:pPr>
        <w:ind w:left="17"/>
        <w:spacing w:before="91" w:line="226" w:lineRule="auto"/>
        <w:outlineLvl w:val="2"/>
        <w:rPr>
          <w:rFonts w:ascii="SimHei" w:hAnsi="SimHei" w:eastAsia="SimHei" w:cs="SimHei"/>
          <w:sz w:val="28"/>
          <w:szCs w:val="28"/>
        </w:rPr>
      </w:pPr>
      <w:bookmarkStart w:name="bookmark83" w:id="82"/>
      <w:bookmarkEnd w:id="82"/>
      <w:r>
        <w:rPr>
          <w:rFonts w:ascii="Times New Roman" w:hAnsi="Times New Roman" w:eastAsia="Times New Roman" w:cs="Times New Roman"/>
          <w:sz w:val="28"/>
          <w:szCs w:val="28"/>
          <w:b/>
          <w:bCs/>
          <w:spacing w:val="8"/>
        </w:rPr>
        <w:t>1.5.1    </w:t>
      </w:r>
      <w:r>
        <w:rPr>
          <w:rFonts w:ascii="SimHei" w:hAnsi="SimHei" w:eastAsia="SimHei" w:cs="SimHei"/>
          <w:sz w:val="28"/>
          <w:szCs w:val="28"/>
          <w:spacing w:val="8"/>
        </w:rPr>
        <w:t>精算控制循环的定义与核心</w:t>
      </w:r>
      <w:r>
        <w:rPr>
          <w:rFonts w:ascii="SimHei" w:hAnsi="SimHei" w:eastAsia="SimHei" w:cs="SimHei"/>
          <w:sz w:val="28"/>
          <w:szCs w:val="28"/>
          <w:spacing w:val="7"/>
        </w:rPr>
        <w:t>逻辑</w:t>
      </w:r>
    </w:p>
    <w:p>
      <w:pPr>
        <w:pStyle w:val="BodyText"/>
        <w:spacing w:line="254" w:lineRule="auto"/>
        <w:rPr/>
      </w:pPr>
      <w:r/>
    </w:p>
    <w:p>
      <w:pPr>
        <w:ind w:left="1" w:right="114" w:firstLine="478"/>
        <w:spacing w:before="75" w:line="288" w:lineRule="auto"/>
        <w:jc w:val="both"/>
        <w:rPr>
          <w:rFonts w:ascii="SimSun" w:hAnsi="SimSun" w:eastAsia="SimSun" w:cs="SimSun"/>
          <w:sz w:val="23"/>
          <w:szCs w:val="23"/>
        </w:rPr>
      </w:pPr>
      <w:r>
        <w:rPr>
          <w:rFonts w:ascii="SimSun" w:hAnsi="SimSun" w:eastAsia="SimSun" w:cs="SimSun"/>
          <w:sz w:val="23"/>
          <w:szCs w:val="23"/>
          <w:spacing w:val="8"/>
        </w:rPr>
        <w:t>精算控制循环是精算工作的核心方法论之一，其基本思想是将精算工作视为“发现</w:t>
      </w:r>
      <w:r>
        <w:rPr>
          <w:rFonts w:ascii="SimSun" w:hAnsi="SimSun" w:eastAsia="SimSun" w:cs="SimSun"/>
          <w:sz w:val="23"/>
          <w:szCs w:val="23"/>
          <w:spacing w:val="7"/>
        </w:rPr>
        <w:t>问题、解决问题、监控结果、反馈优化”的闭环过程，</w:t>
      </w:r>
      <w:r>
        <w:rPr>
          <w:rFonts w:ascii="SimSun" w:hAnsi="SimSun" w:eastAsia="SimSun" w:cs="SimSun"/>
          <w:sz w:val="23"/>
          <w:szCs w:val="23"/>
          <w:spacing w:val="-57"/>
        </w:rPr>
        <w:t xml:space="preserve"> </w:t>
      </w:r>
      <w:r>
        <w:rPr>
          <w:rFonts w:ascii="SimSun" w:hAnsi="SimSun" w:eastAsia="SimSun" w:cs="SimSun"/>
          <w:sz w:val="23"/>
          <w:szCs w:val="23"/>
          <w:spacing w:val="7"/>
        </w:rPr>
        <w:t>通过持续迭代实现风险</w:t>
      </w:r>
      <w:r>
        <w:rPr>
          <w:rFonts w:ascii="SimSun" w:hAnsi="SimSun" w:eastAsia="SimSun" w:cs="SimSun"/>
          <w:sz w:val="23"/>
          <w:szCs w:val="23"/>
          <w:spacing w:val="6"/>
        </w:rPr>
        <w:t>管理与价</w:t>
      </w:r>
      <w:r>
        <w:rPr>
          <w:rFonts w:ascii="SimSun" w:hAnsi="SimSun" w:eastAsia="SimSun" w:cs="SimSun"/>
          <w:sz w:val="23"/>
          <w:szCs w:val="23"/>
          <w:spacing w:val="3"/>
        </w:rPr>
        <w:t>值创造，如图</w:t>
      </w:r>
      <w:hyperlink w:history="true" w:anchor="bookmark84">
        <w:r>
          <w:rPr>
            <w:rFonts w:ascii="Times New Roman" w:hAnsi="Times New Roman" w:eastAsia="Times New Roman" w:cs="Times New Roman"/>
            <w:sz w:val="23"/>
            <w:szCs w:val="23"/>
            <w:spacing w:val="3"/>
          </w:rPr>
          <w:t>1.3</w:t>
        </w:r>
      </w:hyperlink>
      <w:r>
        <w:rPr>
          <w:rFonts w:ascii="SimSun" w:hAnsi="SimSun" w:eastAsia="SimSun" w:cs="SimSun"/>
          <w:sz w:val="23"/>
          <w:szCs w:val="23"/>
          <w:spacing w:val="3"/>
        </w:rPr>
        <w:t>所示。该方法论的必要性来自保险</w:t>
      </w:r>
      <w:r>
        <w:rPr>
          <w:rFonts w:ascii="SimSun" w:hAnsi="SimSun" w:eastAsia="SimSun" w:cs="SimSun"/>
          <w:sz w:val="23"/>
          <w:szCs w:val="23"/>
          <w:spacing w:val="2"/>
        </w:rPr>
        <w:t>经营的跨期特征与不确定性特征：</w:t>
      </w:r>
      <w:r>
        <w:rPr>
          <w:rFonts w:ascii="SimSun" w:hAnsi="SimSun" w:eastAsia="SimSun" w:cs="SimSun"/>
          <w:sz w:val="23"/>
          <w:szCs w:val="23"/>
          <w:spacing w:val="44"/>
        </w:rPr>
        <w:t xml:space="preserve"> </w:t>
      </w:r>
      <w:r>
        <w:rPr>
          <w:rFonts w:ascii="SimSun" w:hAnsi="SimSun" w:eastAsia="SimSun" w:cs="SimSun"/>
          <w:sz w:val="23"/>
          <w:szCs w:val="23"/>
          <w:spacing w:val="2"/>
        </w:rPr>
        <w:t>保</w:t>
      </w:r>
      <w:r>
        <w:rPr>
          <w:rFonts w:ascii="SimSun" w:hAnsi="SimSun" w:eastAsia="SimSun" w:cs="SimSun"/>
          <w:sz w:val="23"/>
          <w:szCs w:val="23"/>
          <w:spacing w:val="1"/>
        </w:rPr>
        <w:t>险公司在前期收取保费并承担未来责任，</w:t>
      </w:r>
      <w:r>
        <w:rPr>
          <w:rFonts w:ascii="SimSun" w:hAnsi="SimSun" w:eastAsia="SimSun" w:cs="SimSun"/>
          <w:sz w:val="23"/>
          <w:szCs w:val="23"/>
          <w:spacing w:val="60"/>
        </w:rPr>
        <w:t xml:space="preserve"> </w:t>
      </w:r>
      <w:r>
        <w:rPr>
          <w:rFonts w:ascii="SimSun" w:hAnsi="SimSun" w:eastAsia="SimSun" w:cs="SimSun"/>
          <w:sz w:val="23"/>
          <w:szCs w:val="23"/>
          <w:spacing w:val="1"/>
        </w:rPr>
        <w:t>而未来现金流具有随机性，</w:t>
      </w:r>
      <w:r>
        <w:rPr>
          <w:rFonts w:ascii="SimSun" w:hAnsi="SimSun" w:eastAsia="SimSun" w:cs="SimSun"/>
          <w:sz w:val="23"/>
          <w:szCs w:val="23"/>
        </w:rPr>
        <w:t xml:space="preserve"> 因而任何一次性的</w:t>
      </w:r>
      <w:r>
        <w:rPr>
          <w:rFonts w:ascii="SimSun" w:hAnsi="SimSun" w:eastAsia="SimSun" w:cs="SimSun"/>
          <w:sz w:val="23"/>
          <w:szCs w:val="23"/>
          <w:spacing w:val="6"/>
        </w:rPr>
        <w:t>定价或评估都无法替代持续的监控与修正。</w:t>
      </w:r>
    </w:p>
    <w:p>
      <w:pPr>
        <w:ind w:firstLine="479"/>
        <w:spacing w:before="59" w:line="288" w:lineRule="auto"/>
        <w:jc w:val="both"/>
        <w:rPr>
          <w:rFonts w:ascii="SimSun" w:hAnsi="SimSun" w:eastAsia="SimSun" w:cs="SimSun"/>
          <w:sz w:val="23"/>
          <w:szCs w:val="23"/>
        </w:rPr>
      </w:pPr>
      <w:r>
        <w:rPr>
          <w:rFonts w:ascii="SimSun" w:hAnsi="SimSun" w:eastAsia="SimSun" w:cs="SimSun"/>
          <w:sz w:val="23"/>
          <w:szCs w:val="23"/>
          <w:spacing w:val="1"/>
        </w:rPr>
        <w:t>在发现问题阶段，</w:t>
      </w:r>
      <w:r>
        <w:rPr>
          <w:rFonts w:ascii="SimSun" w:hAnsi="SimSun" w:eastAsia="SimSun" w:cs="SimSun"/>
          <w:sz w:val="23"/>
          <w:szCs w:val="23"/>
          <w:spacing w:val="-31"/>
        </w:rPr>
        <w:t xml:space="preserve"> </w:t>
      </w:r>
      <w:r>
        <w:rPr>
          <w:rFonts w:ascii="SimSun" w:hAnsi="SimSun" w:eastAsia="SimSun" w:cs="SimSun"/>
          <w:sz w:val="23"/>
          <w:szCs w:val="23"/>
          <w:spacing w:val="1"/>
        </w:rPr>
        <w:t>需要识别经营中的风险、需求与约束条件，</w:t>
      </w:r>
      <w:r>
        <w:rPr>
          <w:rFonts w:ascii="SimSun" w:hAnsi="SimSun" w:eastAsia="SimSun" w:cs="SimSun"/>
          <w:sz w:val="23"/>
          <w:szCs w:val="23"/>
          <w:spacing w:val="68"/>
        </w:rPr>
        <w:t xml:space="preserve"> </w:t>
      </w:r>
      <w:r>
        <w:rPr>
          <w:rFonts w:ascii="SimSun" w:hAnsi="SimSun" w:eastAsia="SimSun" w:cs="SimSun"/>
          <w:sz w:val="23"/>
          <w:szCs w:val="23"/>
          <w:spacing w:val="1"/>
        </w:rPr>
        <w:t>并明确目标指标与治</w:t>
      </w:r>
      <w:r>
        <w:rPr>
          <w:rFonts w:ascii="SimSun" w:hAnsi="SimSun" w:eastAsia="SimSun" w:cs="SimSun"/>
          <w:sz w:val="23"/>
          <w:szCs w:val="23"/>
          <w:spacing w:val="4"/>
        </w:rPr>
        <w:t>理边界。解决问题阶段需要在约束条件下运用精算技术寻找可执行的方案，</w:t>
      </w:r>
      <w:r>
        <w:rPr>
          <w:rFonts w:ascii="SimSun" w:hAnsi="SimSun" w:eastAsia="SimSun" w:cs="SimSun"/>
          <w:sz w:val="23"/>
          <w:szCs w:val="23"/>
          <w:spacing w:val="59"/>
        </w:rPr>
        <w:t xml:space="preserve"> </w:t>
      </w:r>
      <w:r>
        <w:rPr>
          <w:rFonts w:ascii="SimSun" w:hAnsi="SimSun" w:eastAsia="SimSun" w:cs="SimSun"/>
          <w:sz w:val="23"/>
          <w:szCs w:val="23"/>
          <w:spacing w:val="4"/>
        </w:rPr>
        <w:t>例</w:t>
      </w:r>
      <w:r>
        <w:rPr>
          <w:rFonts w:ascii="SimSun" w:hAnsi="SimSun" w:eastAsia="SimSun" w:cs="SimSun"/>
          <w:sz w:val="23"/>
          <w:szCs w:val="23"/>
          <w:spacing w:val="3"/>
        </w:rPr>
        <w:t>如制定定</w:t>
      </w:r>
      <w:r>
        <w:rPr>
          <w:rFonts w:ascii="SimSun" w:hAnsi="SimSun" w:eastAsia="SimSun" w:cs="SimSun"/>
          <w:sz w:val="23"/>
          <w:szCs w:val="23"/>
          <w:spacing w:val="8"/>
        </w:rPr>
        <w:t>价策略、准备金评估方法或资产负债管理策略。监控结果阶段通过经验分析比较实际与</w:t>
      </w:r>
      <w:r>
        <w:rPr>
          <w:rFonts w:ascii="SimSun" w:hAnsi="SimSun" w:eastAsia="SimSun" w:cs="SimSun"/>
          <w:sz w:val="23"/>
          <w:szCs w:val="23"/>
          <w:spacing w:val="12"/>
        </w:rPr>
        <w:t>预期差异，并解释偏离原因。反馈优化阶段</w:t>
      </w:r>
      <w:r>
        <w:rPr>
          <w:rFonts w:ascii="SimSun" w:hAnsi="SimSun" w:eastAsia="SimSun" w:cs="SimSun"/>
          <w:sz w:val="23"/>
          <w:szCs w:val="23"/>
          <w:spacing w:val="11"/>
        </w:rPr>
        <w:t>根据差异原因调整假设、模型或管理措施，</w:t>
      </w:r>
      <w:bookmarkStart w:name="bookmark84" w:id="83"/>
      <w:bookmarkEnd w:id="83"/>
      <w:r>
        <w:rPr>
          <w:rFonts w:ascii="SimSun" w:hAnsi="SimSun" w:eastAsia="SimSun" w:cs="SimSun"/>
          <w:sz w:val="23"/>
          <w:szCs w:val="23"/>
          <w:spacing w:val="5"/>
        </w:rPr>
        <w:t>进入下一轮循环，实现持续改进。</w:t>
      </w:r>
    </w:p>
    <w:p>
      <w:pPr>
        <w:pStyle w:val="BodyText"/>
        <w:spacing w:line="280" w:lineRule="auto"/>
        <w:rPr/>
      </w:pPr>
      <w:r/>
    </w:p>
    <w:p>
      <w:pPr>
        <w:pStyle w:val="BodyText"/>
        <w:spacing w:line="280" w:lineRule="auto"/>
        <w:rPr/>
      </w:pPr>
      <w:r/>
    </w:p>
    <w:p>
      <w:pPr>
        <w:pStyle w:val="BodyText"/>
        <w:spacing w:line="281" w:lineRule="auto"/>
        <w:rPr/>
      </w:pPr>
      <w:r/>
    </w:p>
    <w:p>
      <w:pPr>
        <w:ind w:left="6067"/>
        <w:spacing w:before="75" w:line="227" w:lineRule="auto"/>
        <w:rPr>
          <w:rFonts w:ascii="SimSun" w:hAnsi="SimSun" w:eastAsia="SimSun" w:cs="SimSun"/>
          <w:sz w:val="23"/>
          <w:szCs w:val="23"/>
        </w:rPr>
      </w:pPr>
      <w:r>
        <w:pict>
          <v:shape id="_x0000_s40" style="position:absolute;margin-left:125.083pt;margin-top:2.77301pt;mso-position-vertical-relative:text;mso-position-horizontal-relative:text;width:25.8pt;height:30.75pt;z-index:251698176;" filled="false" stroked="false" type="#_x0000_t202">
            <v:fill on="false"/>
            <v:stroke on="false"/>
            <v:path/>
            <v:imagedata o:title=""/>
            <o:lock v:ext="edit" aspectratio="false"/>
            <v:textbox inset="0mm,0mm,0mm,0mm">
              <w:txbxContent>
                <w:p>
                  <w:pPr>
                    <w:ind w:left="20"/>
                    <w:spacing w:before="19" w:line="228" w:lineRule="auto"/>
                    <w:rPr>
                      <w:rFonts w:ascii="SimSun" w:hAnsi="SimSun" w:eastAsia="SimSun" w:cs="SimSun"/>
                      <w:sz w:val="23"/>
                      <w:szCs w:val="23"/>
                    </w:rPr>
                  </w:pPr>
                  <w:r>
                    <w:rPr>
                      <w:rFonts w:ascii="SimSun" w:hAnsi="SimSun" w:eastAsia="SimSun" w:cs="SimSun"/>
                      <w:sz w:val="23"/>
                      <w:szCs w:val="23"/>
                      <w:spacing w:val="7"/>
                    </w:rPr>
                    <w:t>发现</w:t>
                  </w:r>
                </w:p>
                <w:p>
                  <w:pPr>
                    <w:ind w:left="43"/>
                    <w:spacing w:before="5" w:line="229" w:lineRule="auto"/>
                    <w:rPr>
                      <w:rFonts w:ascii="SimSun" w:hAnsi="SimSun" w:eastAsia="SimSun" w:cs="SimSun"/>
                      <w:sz w:val="23"/>
                      <w:szCs w:val="23"/>
                    </w:rPr>
                  </w:pPr>
                  <w:r>
                    <w:rPr>
                      <w:rFonts w:ascii="SimSun" w:hAnsi="SimSun" w:eastAsia="SimSun" w:cs="SimSun"/>
                      <w:sz w:val="23"/>
                      <w:szCs w:val="23"/>
                      <w:spacing w:val="-4"/>
                    </w:rPr>
                    <w:t>问题</w:t>
                  </w:r>
                </w:p>
              </w:txbxContent>
            </v:textbox>
          </v:shape>
        </w:pict>
      </w:r>
      <w:r>
        <w:pict>
          <v:group id="_x0000_s42" style="position:absolute;margin-left:98.4898pt;margin-top:-22.2541pt;mso-position-vertical-relative:text;mso-position-horizontal-relative:text;width:255.85pt;height:227.5pt;z-index:-251620352;" filled="false" stroked="false" coordsize="5117,4550" coordorigin="0,0">
            <v:shape id="_x0000_s44" style="position:absolute;left:0;top:0;width:5117;height:4550;" filled="false" strokecolor="#000000" strokeweight="0.70pt" coordsize="5117,4550" coordorigin="0,0" path="m1559,783c1559,354,1211,6,783,6c354,6,6,354,6,783c6,1211,354,1559,783,1559c1211,1559,1559,1211,1559,783m5109,783c5109,354,4762,6,4333,6c3904,6,3557,354,3557,783c3557,1211,3904,1559,4333,1559c4762,1559,5109,1211,5109,783m5109,3766c5109,3337,4762,2990,4333,2990c3904,2990,3557,3337,3557,3766c3557,4195,3904,4542,4333,4542c4762,4542,5109,4195,5109,3766m1559,3766c1559,3337,1211,2990,783,2990c354,2990,6,3337,6,3766c6,4195,354,4542,783,4542c1211,4542,1559,4195,1559,3766m1566,783l3537,783e">
              <v:stroke joinstyle="miter" miterlimit="10"/>
            </v:shape>
            <v:shape id="_x0000_s46" style="position:absolute;left:3502;top:738;width:48;height:90;" filled="false" strokecolor="#000000" strokeweight="0.56pt" coordsize="48,90" coordorigin="0,0" path="m5,5c8,20,34,42,42,44c34,47,8,69,5,83e">
              <v:stroke endcap="round" miterlimit="10"/>
            </v:shape>
            <v:shape id="_x0000_s48" style="position:absolute;left:4326;top:1566;width:14;height:1405;" filled="false" strokecolor="#000000" strokeweight="0.70pt" coordsize="14,1405" coordorigin="0,0" path="m6,0l6,1404e">
              <v:stroke joinstyle="miter" miterlimit="10"/>
            </v:shape>
            <v:shape id="_x0000_s50" style="position:absolute;left:4288;top:2935;width:90;height:48;" filled="false" strokecolor="#000000" strokeweight="0.56pt" coordsize="90,48" coordorigin="0,0" path="m83,5c69,8,47,34,44,42c42,34,20,8,5,5e">
              <v:stroke endcap="round" miterlimit="10"/>
            </v:shape>
            <v:shape id="_x0000_s52" style="position:absolute;left:1579;top:3759;width:1972;height:14;" filled="false" strokecolor="#000000" strokeweight="0.70pt" coordsize="1972,14" coordorigin="0,0" path="m1971,6l0,6e">
              <v:stroke joinstyle="miter" miterlimit="10"/>
            </v:shape>
            <v:shape id="_x0000_s54" style="position:absolute;left:1566;top:3721;width:48;height:90;" filled="false" strokecolor="#000000" strokeweight="0.56pt" coordsize="48,90" coordorigin="0,0" path="m42,83c39,69,12,47,5,44c12,42,39,20,42,5e">
              <v:stroke endcap="round" miterlimit="10"/>
            </v:shape>
            <v:shape id="_x0000_s56" style="position:absolute;left:776;top:1579;width:14;height:1405;" filled="false" strokecolor="#000000" strokeweight="0.70pt" coordsize="14,1405" coordorigin="0,0" path="m6,1404l6,0e">
              <v:stroke joinstyle="miter" miterlimit="10"/>
            </v:shape>
            <v:shape id="_x0000_s58" style="position:absolute;left:738;top:1566;width:90;height:48;" filled="false" strokecolor="#000000" strokeweight="0.56pt" coordsize="90,48" coordorigin="0,0" path="m5,42c20,39,42,12,44,5c47,12,69,39,83,42e">
              <v:stroke endcap="round" miterlimit="10"/>
            </v:shape>
          </v:group>
        </w:pict>
      </w:r>
      <w:r>
        <w:rPr>
          <w:rFonts w:ascii="SimSun" w:hAnsi="SimSun" w:eastAsia="SimSun" w:cs="SimSun"/>
          <w:sz w:val="23"/>
          <w:szCs w:val="23"/>
          <w:spacing w:val="10"/>
        </w:rPr>
        <w:t>解决</w:t>
      </w:r>
    </w:p>
    <w:p>
      <w:pPr>
        <w:ind w:left="6095"/>
        <w:spacing w:before="7" w:line="229" w:lineRule="auto"/>
        <w:rPr>
          <w:rFonts w:ascii="SimSun" w:hAnsi="SimSun" w:eastAsia="SimSun" w:cs="SimSun"/>
          <w:sz w:val="23"/>
          <w:szCs w:val="23"/>
        </w:rPr>
      </w:pPr>
      <w:r>
        <w:rPr>
          <w:rFonts w:ascii="SimSun" w:hAnsi="SimSun" w:eastAsia="SimSun" w:cs="SimSun"/>
          <w:sz w:val="23"/>
          <w:szCs w:val="23"/>
          <w:spacing w:val="-4"/>
        </w:rPr>
        <w:t>问题</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6069"/>
        <w:spacing w:before="75" w:line="228" w:lineRule="auto"/>
        <w:rPr>
          <w:rFonts w:ascii="SimSun" w:hAnsi="SimSun" w:eastAsia="SimSun" w:cs="SimSun"/>
          <w:sz w:val="23"/>
          <w:szCs w:val="23"/>
        </w:rPr>
      </w:pPr>
      <w:r>
        <w:pict>
          <v:shape id="_x0000_s60" style="position:absolute;margin-left:124.844pt;margin-top:2.77415pt;mso-position-vertical-relative:text;mso-position-horizontal-relative:text;width:26.05pt;height:30.6pt;z-index:251697152;" filled="false" stroked="false" type="#_x0000_t202">
            <v:fill on="false"/>
            <v:stroke on="false"/>
            <v:path/>
            <v:imagedata o:title=""/>
            <o:lock v:ext="edit" aspectratio="false"/>
            <v:textbox inset="0mm,0mm,0mm,0mm">
              <w:txbxContent>
                <w:p>
                  <w:pPr>
                    <w:ind w:left="21"/>
                    <w:spacing w:before="19" w:line="228" w:lineRule="auto"/>
                    <w:rPr>
                      <w:rFonts w:ascii="SimSun" w:hAnsi="SimSun" w:eastAsia="SimSun" w:cs="SimSun"/>
                      <w:sz w:val="23"/>
                      <w:szCs w:val="23"/>
                    </w:rPr>
                  </w:pPr>
                  <w:r>
                    <w:rPr>
                      <w:rFonts w:ascii="SimSun" w:hAnsi="SimSun" w:eastAsia="SimSun" w:cs="SimSun"/>
                      <w:sz w:val="23"/>
                      <w:szCs w:val="23"/>
                      <w:spacing w:val="9"/>
                    </w:rPr>
                    <w:t>反馈</w:t>
                  </w:r>
                </w:p>
                <w:p>
                  <w:pPr>
                    <w:ind w:left="20"/>
                    <w:spacing w:before="5" w:line="227" w:lineRule="auto"/>
                    <w:rPr>
                      <w:rFonts w:ascii="SimSun" w:hAnsi="SimSun" w:eastAsia="SimSun" w:cs="SimSun"/>
                      <w:sz w:val="23"/>
                      <w:szCs w:val="23"/>
                    </w:rPr>
                  </w:pPr>
                  <w:r>
                    <w:rPr>
                      <w:rFonts w:ascii="SimSun" w:hAnsi="SimSun" w:eastAsia="SimSun" w:cs="SimSun"/>
                      <w:sz w:val="23"/>
                      <w:szCs w:val="23"/>
                      <w:spacing w:val="10"/>
                    </w:rPr>
                    <w:t>优化</w:t>
                  </w:r>
                </w:p>
              </w:txbxContent>
            </v:textbox>
          </v:shape>
        </w:pict>
      </w:r>
      <w:r>
        <w:rPr>
          <w:rFonts w:ascii="SimSun" w:hAnsi="SimSun" w:eastAsia="SimSun" w:cs="SimSun"/>
          <w:sz w:val="23"/>
          <w:szCs w:val="23"/>
          <w:spacing w:val="9"/>
        </w:rPr>
        <w:t>监控</w:t>
      </w:r>
    </w:p>
    <w:p>
      <w:pPr>
        <w:ind w:left="6073"/>
        <w:spacing w:before="5" w:line="228" w:lineRule="auto"/>
        <w:rPr>
          <w:rFonts w:ascii="SimSun" w:hAnsi="SimSun" w:eastAsia="SimSun" w:cs="SimSun"/>
          <w:sz w:val="23"/>
          <w:szCs w:val="23"/>
        </w:rPr>
      </w:pPr>
      <w:r>
        <w:rPr>
          <w:rFonts w:ascii="SimSun" w:hAnsi="SimSun" w:eastAsia="SimSun" w:cs="SimSun"/>
          <w:sz w:val="23"/>
          <w:szCs w:val="23"/>
          <w:spacing w:val="6"/>
        </w:rPr>
        <w:t>结果</w:t>
      </w:r>
    </w:p>
    <w:p>
      <w:pPr>
        <w:pStyle w:val="BodyText"/>
        <w:spacing w:line="296" w:lineRule="auto"/>
        <w:rPr/>
      </w:pPr>
      <w:r/>
    </w:p>
    <w:p>
      <w:pPr>
        <w:pStyle w:val="BodyText"/>
        <w:spacing w:line="296" w:lineRule="auto"/>
        <w:rPr/>
      </w:pPr>
      <w:r/>
    </w:p>
    <w:p>
      <w:pPr>
        <w:ind w:left="3211"/>
        <w:spacing w:before="75" w:line="226" w:lineRule="auto"/>
        <w:outlineLvl w:val="2"/>
        <w:rPr>
          <w:rFonts w:ascii="SimSun" w:hAnsi="SimSun" w:eastAsia="SimSun" w:cs="SimSun"/>
          <w:sz w:val="23"/>
          <w:szCs w:val="23"/>
        </w:rPr>
      </w:pPr>
      <w:bookmarkStart w:name="bookmark46" w:id="84"/>
      <w:bookmarkEnd w:id="84"/>
      <w:r>
        <w:rPr>
          <w:rFonts w:ascii="SimSun" w:hAnsi="SimSun" w:eastAsia="SimSun" w:cs="SimSun"/>
          <w:sz w:val="23"/>
          <w:szCs w:val="23"/>
          <w:spacing w:val="1"/>
        </w:rPr>
        <w:t>图 </w:t>
      </w:r>
      <w:r>
        <w:rPr>
          <w:rFonts w:ascii="Times New Roman" w:hAnsi="Times New Roman" w:eastAsia="Times New Roman" w:cs="Times New Roman"/>
          <w:sz w:val="23"/>
          <w:szCs w:val="23"/>
          <w:spacing w:val="1"/>
        </w:rPr>
        <w:t>1.3:</w:t>
      </w:r>
      <w:r>
        <w:rPr>
          <w:rFonts w:ascii="Times New Roman" w:hAnsi="Times New Roman" w:eastAsia="Times New Roman" w:cs="Times New Roman"/>
          <w:sz w:val="23"/>
          <w:szCs w:val="23"/>
          <w:spacing w:val="56"/>
        </w:rPr>
        <w:t xml:space="preserve"> </w:t>
      </w:r>
      <w:r>
        <w:rPr>
          <w:rFonts w:ascii="SimSun" w:hAnsi="SimSun" w:eastAsia="SimSun" w:cs="SimSun"/>
          <w:sz w:val="23"/>
          <w:szCs w:val="23"/>
          <w:spacing w:val="1"/>
        </w:rPr>
        <w:t>精算控制循环示意</w:t>
      </w:r>
    </w:p>
    <w:p>
      <w:pPr>
        <w:spacing w:line="226" w:lineRule="auto"/>
        <w:sectPr>
          <w:footerReference w:type="default" r:id="rId24"/>
          <w:pgSz w:w="11906" w:h="16838"/>
          <w:pgMar w:top="400" w:right="1302" w:bottom="980" w:left="1424" w:header="0" w:footer="767" w:gutter="0"/>
        </w:sectPr>
        <w:rPr>
          <w:rFonts w:ascii="SimSun" w:hAnsi="SimSun" w:eastAsia="SimSun" w:cs="SimSun"/>
          <w:sz w:val="23"/>
          <w:szCs w:val="23"/>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16"/>
        <w:spacing w:before="91" w:line="225" w:lineRule="auto"/>
        <w:outlineLvl w:val="2"/>
        <w:rPr>
          <w:rFonts w:ascii="SimHei" w:hAnsi="SimHei" w:eastAsia="SimHei" w:cs="SimHei"/>
          <w:sz w:val="28"/>
          <w:szCs w:val="28"/>
        </w:rPr>
      </w:pPr>
      <w:bookmarkStart w:name="bookmark85" w:id="85"/>
      <w:bookmarkEnd w:id="85"/>
      <w:r>
        <w:rPr>
          <w:rFonts w:ascii="Times New Roman" w:hAnsi="Times New Roman" w:eastAsia="Times New Roman" w:cs="Times New Roman"/>
          <w:sz w:val="28"/>
          <w:szCs w:val="28"/>
          <w:b/>
          <w:bCs/>
          <w:spacing w:val="8"/>
        </w:rPr>
        <w:t>1.5.2    </w:t>
      </w:r>
      <w:r>
        <w:rPr>
          <w:rFonts w:ascii="SimHei" w:hAnsi="SimHei" w:eastAsia="SimHei" w:cs="SimHei"/>
          <w:sz w:val="28"/>
          <w:szCs w:val="28"/>
          <w:spacing w:val="8"/>
        </w:rPr>
        <w:t>应用场景与关键运行条件</w:t>
      </w:r>
    </w:p>
    <w:p>
      <w:pPr>
        <w:ind w:right="114" w:firstLine="479"/>
        <w:spacing w:before="209" w:line="288" w:lineRule="auto"/>
        <w:jc w:val="both"/>
        <w:rPr>
          <w:rFonts w:ascii="SimSun" w:hAnsi="SimSun" w:eastAsia="SimSun" w:cs="SimSun"/>
          <w:sz w:val="23"/>
          <w:szCs w:val="23"/>
        </w:rPr>
      </w:pPr>
      <w:r>
        <w:rPr>
          <w:rFonts w:ascii="SimSun" w:hAnsi="SimSun" w:eastAsia="SimSun" w:cs="SimSun"/>
          <w:sz w:val="23"/>
          <w:szCs w:val="23"/>
          <w:spacing w:val="8"/>
        </w:rPr>
        <w:t>精算控制循环适用于产品创新与迭代、产品定价与利润优化、准备金评估与风险管</w:t>
      </w:r>
      <w:r>
        <w:rPr>
          <w:rFonts w:ascii="SimSun" w:hAnsi="SimSun" w:eastAsia="SimSun" w:cs="SimSun"/>
          <w:sz w:val="23"/>
          <w:szCs w:val="23"/>
          <w:spacing w:val="3"/>
        </w:rPr>
        <w:t>控、公司战略规划等场景。在产品创新场景中，</w:t>
      </w:r>
      <w:r>
        <w:rPr>
          <w:rFonts w:ascii="SimSun" w:hAnsi="SimSun" w:eastAsia="SimSun" w:cs="SimSun"/>
          <w:sz w:val="23"/>
          <w:szCs w:val="23"/>
          <w:spacing w:val="92"/>
        </w:rPr>
        <w:t xml:space="preserve"> </w:t>
      </w:r>
      <w:r>
        <w:rPr>
          <w:rFonts w:ascii="SimSun" w:hAnsi="SimSun" w:eastAsia="SimSun" w:cs="SimSun"/>
          <w:sz w:val="23"/>
          <w:szCs w:val="23"/>
          <w:spacing w:val="3"/>
        </w:rPr>
        <w:t>当市场出现新的保障需求且经验数据不</w:t>
      </w:r>
      <w:r>
        <w:rPr>
          <w:rFonts w:ascii="SimSun" w:hAnsi="SimSun" w:eastAsia="SimSun" w:cs="SimSun"/>
          <w:sz w:val="23"/>
          <w:szCs w:val="23"/>
          <w:spacing w:val="4"/>
        </w:rPr>
        <w:t>足时，需要借助行业参考与专业判断设定初始假设并开发产品；</w:t>
      </w:r>
      <w:r>
        <w:rPr>
          <w:rFonts w:ascii="SimSun" w:hAnsi="SimSun" w:eastAsia="SimSun" w:cs="SimSun"/>
          <w:sz w:val="23"/>
          <w:szCs w:val="23"/>
          <w:spacing w:val="62"/>
        </w:rPr>
        <w:t xml:space="preserve"> </w:t>
      </w:r>
      <w:r>
        <w:rPr>
          <w:rFonts w:ascii="SimSun" w:hAnsi="SimSun" w:eastAsia="SimSun" w:cs="SimSun"/>
          <w:sz w:val="23"/>
          <w:szCs w:val="23"/>
          <w:spacing w:val="4"/>
        </w:rPr>
        <w:t>产品</w:t>
      </w:r>
      <w:r>
        <w:rPr>
          <w:rFonts w:ascii="SimSun" w:hAnsi="SimSun" w:eastAsia="SimSun" w:cs="SimSun"/>
          <w:sz w:val="23"/>
          <w:szCs w:val="23"/>
          <w:spacing w:val="3"/>
        </w:rPr>
        <w:t>上市后通过经验分</w:t>
      </w:r>
      <w:r>
        <w:rPr>
          <w:rFonts w:ascii="SimSun" w:hAnsi="SimSun" w:eastAsia="SimSun" w:cs="SimSun"/>
          <w:sz w:val="23"/>
          <w:szCs w:val="23"/>
          <w:spacing w:val="2"/>
        </w:rPr>
        <w:t>析检验偏离，</w:t>
      </w:r>
      <w:r>
        <w:rPr>
          <w:rFonts w:ascii="SimSun" w:hAnsi="SimSun" w:eastAsia="SimSun" w:cs="SimSun"/>
          <w:sz w:val="23"/>
          <w:szCs w:val="23"/>
          <w:spacing w:val="-54"/>
        </w:rPr>
        <w:t xml:space="preserve"> </w:t>
      </w:r>
      <w:r>
        <w:rPr>
          <w:rFonts w:ascii="SimSun" w:hAnsi="SimSun" w:eastAsia="SimSun" w:cs="SimSun"/>
          <w:sz w:val="23"/>
          <w:szCs w:val="23"/>
          <w:spacing w:val="2"/>
        </w:rPr>
        <w:t>并据此调整条款、费率或假设实现迭代。对产品定价与利润优化而言，</w:t>
      </w:r>
      <w:r>
        <w:rPr>
          <w:rFonts w:ascii="SimSun" w:hAnsi="SimSun" w:eastAsia="SimSun" w:cs="SimSun"/>
          <w:sz w:val="23"/>
          <w:szCs w:val="23"/>
          <w:spacing w:val="69"/>
        </w:rPr>
        <w:t xml:space="preserve"> </w:t>
      </w:r>
      <w:r>
        <w:rPr>
          <w:rFonts w:ascii="SimSun" w:hAnsi="SimSun" w:eastAsia="SimSun" w:cs="SimSun"/>
          <w:sz w:val="23"/>
          <w:szCs w:val="23"/>
          <w:spacing w:val="2"/>
        </w:rPr>
        <w:t>定</w:t>
      </w:r>
      <w:r>
        <w:rPr>
          <w:rFonts w:ascii="SimSun" w:hAnsi="SimSun" w:eastAsia="SimSun" w:cs="SimSun"/>
          <w:sz w:val="23"/>
          <w:szCs w:val="23"/>
          <w:spacing w:val="1"/>
        </w:rPr>
        <w:t>价与利润测试只是起点，</w:t>
      </w:r>
      <w:r>
        <w:rPr>
          <w:rFonts w:ascii="SimSun" w:hAnsi="SimSun" w:eastAsia="SimSun" w:cs="SimSun"/>
          <w:sz w:val="23"/>
          <w:szCs w:val="23"/>
          <w:spacing w:val="-20"/>
        </w:rPr>
        <w:t xml:space="preserve"> </w:t>
      </w:r>
      <w:r>
        <w:rPr>
          <w:rFonts w:ascii="SimSun" w:hAnsi="SimSun" w:eastAsia="SimSun" w:cs="SimSun"/>
          <w:sz w:val="23"/>
          <w:szCs w:val="23"/>
          <w:spacing w:val="1"/>
        </w:rPr>
        <w:t>上市后的真实经验将持续对假设与费用治理提出挑战，</w:t>
      </w:r>
      <w:r>
        <w:rPr>
          <w:rFonts w:ascii="SimSun" w:hAnsi="SimSun" w:eastAsia="SimSun" w:cs="SimSun"/>
          <w:sz w:val="23"/>
          <w:szCs w:val="23"/>
          <w:spacing w:val="73"/>
        </w:rPr>
        <w:t xml:space="preserve"> </w:t>
      </w:r>
      <w:r>
        <w:rPr>
          <w:rFonts w:ascii="SimSun" w:hAnsi="SimSun" w:eastAsia="SimSun" w:cs="SimSun"/>
          <w:sz w:val="23"/>
          <w:szCs w:val="23"/>
          <w:spacing w:val="1"/>
        </w:rPr>
        <w:t>需要通</w:t>
      </w:r>
      <w:r>
        <w:rPr>
          <w:rFonts w:ascii="SimSun" w:hAnsi="SimSun" w:eastAsia="SimSun" w:cs="SimSun"/>
          <w:sz w:val="23"/>
          <w:szCs w:val="23"/>
          <w:spacing w:val="4"/>
        </w:rPr>
        <w:t>过循环机制保持产品持续盈利并控制风险暴露。对准备金评估与风险管控而言</w:t>
      </w:r>
      <w:r>
        <w:rPr>
          <w:rFonts w:ascii="SimSun" w:hAnsi="SimSun" w:eastAsia="SimSun" w:cs="SimSun"/>
          <w:sz w:val="23"/>
          <w:szCs w:val="23"/>
          <w:spacing w:val="3"/>
        </w:rPr>
        <w:t>，</w:t>
      </w:r>
      <w:r>
        <w:rPr>
          <w:rFonts w:ascii="SimSun" w:hAnsi="SimSun" w:eastAsia="SimSun" w:cs="SimSun"/>
          <w:sz w:val="23"/>
          <w:szCs w:val="23"/>
          <w:spacing w:val="58"/>
        </w:rPr>
        <w:t xml:space="preserve"> </w:t>
      </w:r>
      <w:r>
        <w:rPr>
          <w:rFonts w:ascii="SimSun" w:hAnsi="SimSun" w:eastAsia="SimSun" w:cs="SimSun"/>
          <w:sz w:val="23"/>
          <w:szCs w:val="23"/>
          <w:spacing w:val="3"/>
        </w:rPr>
        <w:t>评估结</w:t>
      </w:r>
      <w:r>
        <w:rPr>
          <w:rFonts w:ascii="SimSun" w:hAnsi="SimSun" w:eastAsia="SimSun" w:cs="SimSun"/>
          <w:sz w:val="23"/>
          <w:szCs w:val="23"/>
          <w:spacing w:val="4"/>
        </w:rPr>
        <w:t>果与假设、模型与数据紧密相关，</w:t>
      </w:r>
      <w:r>
        <w:rPr>
          <w:rFonts w:ascii="SimSun" w:hAnsi="SimSun" w:eastAsia="SimSun" w:cs="SimSun"/>
          <w:sz w:val="23"/>
          <w:szCs w:val="23"/>
          <w:spacing w:val="58"/>
        </w:rPr>
        <w:t xml:space="preserve"> </w:t>
      </w:r>
      <w:r>
        <w:rPr>
          <w:rFonts w:ascii="SimSun" w:hAnsi="SimSun" w:eastAsia="SimSun" w:cs="SimSun"/>
          <w:sz w:val="23"/>
          <w:szCs w:val="23"/>
          <w:spacing w:val="4"/>
        </w:rPr>
        <w:t>模型或假设变更需要通过监控与反馈机制解</w:t>
      </w:r>
      <w:r>
        <w:rPr>
          <w:rFonts w:ascii="SimSun" w:hAnsi="SimSun" w:eastAsia="SimSun" w:cs="SimSun"/>
          <w:sz w:val="23"/>
          <w:szCs w:val="23"/>
          <w:spacing w:val="3"/>
        </w:rPr>
        <w:t>释并管理</w:t>
      </w:r>
      <w:r>
        <w:rPr>
          <w:rFonts w:ascii="SimSun" w:hAnsi="SimSun" w:eastAsia="SimSun" w:cs="SimSun"/>
          <w:sz w:val="23"/>
          <w:szCs w:val="23"/>
          <w:spacing w:val="4"/>
        </w:rPr>
        <w:t>其对利润与资本的影响。对公司战略规划而言，</w:t>
      </w:r>
      <w:r>
        <w:rPr>
          <w:rFonts w:ascii="SimSun" w:hAnsi="SimSun" w:eastAsia="SimSun" w:cs="SimSun"/>
          <w:sz w:val="23"/>
          <w:szCs w:val="23"/>
          <w:spacing w:val="61"/>
        </w:rPr>
        <w:t xml:space="preserve"> </w:t>
      </w:r>
      <w:r>
        <w:rPr>
          <w:rFonts w:ascii="SimSun" w:hAnsi="SimSun" w:eastAsia="SimSun" w:cs="SimSun"/>
          <w:sz w:val="23"/>
          <w:szCs w:val="23"/>
          <w:spacing w:val="4"/>
        </w:rPr>
        <w:t>产品结构调整、业务规</w:t>
      </w:r>
      <w:r>
        <w:rPr>
          <w:rFonts w:ascii="SimSun" w:hAnsi="SimSun" w:eastAsia="SimSun" w:cs="SimSun"/>
          <w:sz w:val="23"/>
          <w:szCs w:val="23"/>
          <w:spacing w:val="3"/>
        </w:rPr>
        <w:t>划与资产配置需</w:t>
      </w:r>
      <w:r>
        <w:rPr>
          <w:rFonts w:ascii="SimSun" w:hAnsi="SimSun" w:eastAsia="SimSun" w:cs="SimSun"/>
          <w:sz w:val="23"/>
          <w:szCs w:val="23"/>
          <w:spacing w:val="7"/>
        </w:rPr>
        <w:t>要以价值与风险指标为依据，并在后续评估中验证是否达到预期。</w:t>
      </w:r>
    </w:p>
    <w:p>
      <w:pPr>
        <w:ind w:firstLine="479"/>
        <w:spacing w:line="288" w:lineRule="auto"/>
        <w:jc w:val="both"/>
        <w:rPr>
          <w:rFonts w:ascii="SimSun" w:hAnsi="SimSun" w:eastAsia="SimSun" w:cs="SimSun"/>
          <w:sz w:val="23"/>
          <w:szCs w:val="23"/>
        </w:rPr>
      </w:pPr>
      <w:r>
        <w:rPr>
          <w:rFonts w:ascii="SimSun" w:hAnsi="SimSun" w:eastAsia="SimSun" w:cs="SimSun"/>
          <w:sz w:val="23"/>
          <w:szCs w:val="23"/>
          <w:spacing w:val="12"/>
        </w:rPr>
        <w:t>精算控制循环有效运行依赖若干关键条件。第一</w:t>
      </w:r>
      <w:r>
        <w:rPr>
          <w:rFonts w:ascii="SimSun" w:hAnsi="SimSun" w:eastAsia="SimSun" w:cs="SimSun"/>
          <w:sz w:val="23"/>
          <w:szCs w:val="23"/>
          <w:spacing w:val="11"/>
        </w:rPr>
        <w:t>，高质量的数据与数据治理体系，</w:t>
      </w:r>
      <w:r>
        <w:rPr>
          <w:rFonts w:ascii="SimSun" w:hAnsi="SimSun" w:eastAsia="SimSun" w:cs="SimSun"/>
          <w:sz w:val="23"/>
          <w:szCs w:val="23"/>
          <w:spacing w:val="-3"/>
        </w:rPr>
        <w:t>以保证数据完整性、准确性、</w:t>
      </w:r>
      <w:r>
        <w:rPr>
          <w:rFonts w:ascii="SimSun" w:hAnsi="SimSun" w:eastAsia="SimSun" w:cs="SimSun"/>
          <w:sz w:val="23"/>
          <w:szCs w:val="23"/>
          <w:spacing w:val="67"/>
        </w:rPr>
        <w:t xml:space="preserve"> </w:t>
      </w:r>
      <w:r>
        <w:rPr>
          <w:rFonts w:ascii="SimSun" w:hAnsi="SimSun" w:eastAsia="SimSun" w:cs="SimSun"/>
          <w:sz w:val="23"/>
          <w:szCs w:val="23"/>
          <w:spacing w:val="-3"/>
        </w:rPr>
        <w:t>一致性与时效性，</w:t>
      </w:r>
      <w:r>
        <w:rPr>
          <w:rFonts w:ascii="SimSun" w:hAnsi="SimSun" w:eastAsia="SimSun" w:cs="SimSun"/>
          <w:sz w:val="23"/>
          <w:szCs w:val="23"/>
          <w:spacing w:val="-42"/>
        </w:rPr>
        <w:t xml:space="preserve"> </w:t>
      </w:r>
      <w:r>
        <w:rPr>
          <w:rFonts w:ascii="SimSun" w:hAnsi="SimSun" w:eastAsia="SimSun" w:cs="SimSun"/>
          <w:sz w:val="23"/>
          <w:szCs w:val="23"/>
          <w:spacing w:val="-3"/>
        </w:rPr>
        <w:t>为计量与解释提供可信基础。第二，</w:t>
      </w:r>
      <w:r>
        <w:rPr>
          <w:rFonts w:ascii="SimSun" w:hAnsi="SimSun" w:eastAsia="SimSun" w:cs="SimSun"/>
          <w:sz w:val="23"/>
          <w:szCs w:val="23"/>
          <w:spacing w:val="65"/>
        </w:rPr>
        <w:t xml:space="preserve"> </w:t>
      </w:r>
      <w:r>
        <w:rPr>
          <w:rFonts w:ascii="SimSun" w:hAnsi="SimSun" w:eastAsia="SimSun" w:cs="SimSun"/>
          <w:sz w:val="23"/>
          <w:szCs w:val="23"/>
          <w:spacing w:val="-3"/>
        </w:rPr>
        <w:t>专</w:t>
      </w:r>
      <w:r>
        <w:rPr>
          <w:rFonts w:ascii="SimSun" w:hAnsi="SimSun" w:eastAsia="SimSun" w:cs="SimSun"/>
          <w:sz w:val="23"/>
          <w:szCs w:val="23"/>
          <w:spacing w:val="2"/>
        </w:rPr>
        <w:t>业的精算团队，</w:t>
      </w:r>
      <w:r>
        <w:rPr>
          <w:rFonts w:ascii="SimSun" w:hAnsi="SimSun" w:eastAsia="SimSun" w:cs="SimSun"/>
          <w:sz w:val="23"/>
          <w:szCs w:val="23"/>
          <w:spacing w:val="-45"/>
        </w:rPr>
        <w:t xml:space="preserve"> </w:t>
      </w:r>
      <w:r>
        <w:rPr>
          <w:rFonts w:ascii="SimSun" w:hAnsi="SimSun" w:eastAsia="SimSun" w:cs="SimSun"/>
          <w:sz w:val="23"/>
          <w:szCs w:val="23"/>
          <w:spacing w:val="2"/>
        </w:rPr>
        <w:t>能够在技术、业务理解与沟通表达上形成综合能力。第三，</w:t>
      </w:r>
      <w:r>
        <w:rPr>
          <w:rFonts w:ascii="SimSun" w:hAnsi="SimSun" w:eastAsia="SimSun" w:cs="SimSun"/>
          <w:sz w:val="23"/>
          <w:szCs w:val="23"/>
          <w:spacing w:val="64"/>
        </w:rPr>
        <w:t xml:space="preserve"> </w:t>
      </w:r>
      <w:r>
        <w:rPr>
          <w:rFonts w:ascii="SimSun" w:hAnsi="SimSun" w:eastAsia="SimSun" w:cs="SimSun"/>
          <w:sz w:val="23"/>
          <w:szCs w:val="23"/>
          <w:spacing w:val="2"/>
        </w:rPr>
        <w:t>有</w:t>
      </w:r>
      <w:r>
        <w:rPr>
          <w:rFonts w:ascii="SimSun" w:hAnsi="SimSun" w:eastAsia="SimSun" w:cs="SimSun"/>
          <w:sz w:val="23"/>
          <w:szCs w:val="23"/>
          <w:spacing w:val="1"/>
        </w:rPr>
        <w:t>效的跨部</w:t>
      </w:r>
      <w:r>
        <w:rPr>
          <w:rFonts w:ascii="SimSun" w:hAnsi="SimSun" w:eastAsia="SimSun" w:cs="SimSun"/>
          <w:sz w:val="23"/>
          <w:szCs w:val="23"/>
          <w:spacing w:val="7"/>
        </w:rPr>
        <w:t>门协作机制，</w:t>
      </w:r>
      <w:r>
        <w:rPr>
          <w:rFonts w:ascii="SimSun" w:hAnsi="SimSun" w:eastAsia="SimSun" w:cs="SimSun"/>
          <w:sz w:val="23"/>
          <w:szCs w:val="23"/>
          <w:spacing w:val="-60"/>
        </w:rPr>
        <w:t xml:space="preserve"> </w:t>
      </w:r>
      <w:r>
        <w:rPr>
          <w:rFonts w:ascii="SimSun" w:hAnsi="SimSun" w:eastAsia="SimSun" w:cs="SimSun"/>
          <w:sz w:val="23"/>
          <w:szCs w:val="23"/>
          <w:spacing w:val="7"/>
        </w:rPr>
        <w:t>确保精算分析结果能被产品、销售、运营、财务与风险管理等部门理解并</w:t>
      </w:r>
      <w:r>
        <w:rPr>
          <w:rFonts w:ascii="SimSun" w:hAnsi="SimSun" w:eastAsia="SimSun" w:cs="SimSun"/>
          <w:sz w:val="23"/>
          <w:szCs w:val="23"/>
          <w:spacing w:val="11"/>
        </w:rPr>
        <w:t>应用。第四，动态的假设管理机制，确保假设能够反映最新经验数据与市场环境变化，</w:t>
      </w:r>
      <w:r>
        <w:rPr>
          <w:rFonts w:ascii="SimSun" w:hAnsi="SimSun" w:eastAsia="SimSun" w:cs="SimSun"/>
          <w:sz w:val="23"/>
          <w:szCs w:val="23"/>
          <w:spacing w:val="1"/>
        </w:rPr>
        <w:t>并通过影响测试控制变更风险。第五，</w:t>
      </w:r>
      <w:r>
        <w:rPr>
          <w:rFonts w:ascii="SimSun" w:hAnsi="SimSun" w:eastAsia="SimSun" w:cs="SimSun"/>
          <w:sz w:val="23"/>
          <w:szCs w:val="23"/>
          <w:spacing w:val="76"/>
        </w:rPr>
        <w:t xml:space="preserve"> </w:t>
      </w:r>
      <w:r>
        <w:rPr>
          <w:rFonts w:ascii="SimSun" w:hAnsi="SimSun" w:eastAsia="SimSun" w:cs="SimSun"/>
          <w:sz w:val="23"/>
          <w:szCs w:val="23"/>
          <w:spacing w:val="1"/>
        </w:rPr>
        <w:t>持续的监控与反馈机制，</w:t>
      </w:r>
      <w:r>
        <w:rPr>
          <w:rFonts w:ascii="SimSun" w:hAnsi="SimSun" w:eastAsia="SimSun" w:cs="SimSun"/>
          <w:sz w:val="23"/>
          <w:szCs w:val="23"/>
          <w:spacing w:val="-23"/>
        </w:rPr>
        <w:t xml:space="preserve"> </w:t>
      </w:r>
      <w:r>
        <w:rPr>
          <w:rFonts w:ascii="SimSun" w:hAnsi="SimSun" w:eastAsia="SimSun" w:cs="SimSun"/>
          <w:sz w:val="23"/>
          <w:szCs w:val="23"/>
          <w:spacing w:val="1"/>
        </w:rPr>
        <w:t>通过指标体系定期跟踪</w:t>
      </w:r>
      <w:r>
        <w:rPr>
          <w:rFonts w:ascii="SimSun" w:hAnsi="SimSun" w:eastAsia="SimSun" w:cs="SimSun"/>
          <w:sz w:val="23"/>
          <w:szCs w:val="23"/>
          <w:spacing w:val="7"/>
        </w:rPr>
        <w:t>经营结果，及时发现问题并形成反馈优化，实现精算工作的持续改进。</w:t>
      </w:r>
    </w:p>
    <w:p>
      <w:pPr>
        <w:pStyle w:val="BodyText"/>
        <w:spacing w:line="340" w:lineRule="auto"/>
        <w:rPr/>
      </w:pPr>
      <w:r/>
    </w:p>
    <w:p>
      <w:pPr>
        <w:ind w:left="6"/>
        <w:spacing w:before="110" w:line="224" w:lineRule="auto"/>
        <w:rPr>
          <w:rFonts w:ascii="SimHei" w:hAnsi="SimHei" w:eastAsia="SimHei" w:cs="SimHei"/>
          <w:sz w:val="34"/>
          <w:szCs w:val="34"/>
        </w:rPr>
      </w:pPr>
      <w:r>
        <w:rPr>
          <w:rFonts w:ascii="SimHei" w:hAnsi="SimHei" w:eastAsia="SimHei" w:cs="SimHei"/>
          <w:sz w:val="34"/>
          <w:szCs w:val="34"/>
        </w:rPr>
        <w:t>本章小结</w:t>
      </w:r>
    </w:p>
    <w:p>
      <w:pPr>
        <w:ind w:firstLine="480"/>
        <w:spacing w:before="296" w:line="288" w:lineRule="auto"/>
        <w:jc w:val="both"/>
        <w:rPr>
          <w:rFonts w:ascii="SimSun" w:hAnsi="SimSun" w:eastAsia="SimSun" w:cs="SimSun"/>
          <w:sz w:val="23"/>
          <w:szCs w:val="23"/>
        </w:rPr>
      </w:pPr>
      <w:r>
        <w:rPr>
          <w:rFonts w:ascii="SimSun" w:hAnsi="SimSun" w:eastAsia="SimSun" w:cs="SimSun"/>
          <w:sz w:val="23"/>
          <w:szCs w:val="23"/>
          <w:spacing w:val="3"/>
        </w:rPr>
        <w:t>本章从精算学的基本定义与核心要素出发，</w:t>
      </w:r>
      <w:r>
        <w:rPr>
          <w:rFonts w:ascii="SimSun" w:hAnsi="SimSun" w:eastAsia="SimSun" w:cs="SimSun"/>
          <w:sz w:val="23"/>
          <w:szCs w:val="23"/>
          <w:spacing w:val="78"/>
        </w:rPr>
        <w:t xml:space="preserve"> </w:t>
      </w:r>
      <w:r>
        <w:rPr>
          <w:rFonts w:ascii="SimSun" w:hAnsi="SimSun" w:eastAsia="SimSun" w:cs="SimSun"/>
          <w:sz w:val="23"/>
          <w:szCs w:val="23"/>
          <w:spacing w:val="3"/>
        </w:rPr>
        <w:t>阐明精算工作的对象是未来不确定性事</w:t>
      </w:r>
      <w:r>
        <w:rPr>
          <w:rFonts w:ascii="SimSun" w:hAnsi="SimSun" w:eastAsia="SimSun" w:cs="SimSun"/>
          <w:sz w:val="23"/>
          <w:szCs w:val="23"/>
          <w:spacing w:val="1"/>
        </w:rPr>
        <w:t>件的财务影响，精算实践以数据、假设与模型为核心支撑，</w:t>
      </w:r>
      <w:r>
        <w:rPr>
          <w:rFonts w:ascii="SimSun" w:hAnsi="SimSun" w:eastAsia="SimSun" w:cs="SimSun"/>
          <w:sz w:val="23"/>
          <w:szCs w:val="23"/>
          <w:spacing w:val="52"/>
        </w:rPr>
        <w:t xml:space="preserve"> </w:t>
      </w:r>
      <w:r>
        <w:rPr>
          <w:rFonts w:ascii="SimSun" w:hAnsi="SimSun" w:eastAsia="SimSun" w:cs="SimSun"/>
          <w:sz w:val="23"/>
          <w:szCs w:val="23"/>
          <w:spacing w:val="1"/>
        </w:rPr>
        <w:t>并以决策输出为导向。随后，</w:t>
      </w:r>
      <w:r>
        <w:rPr>
          <w:rFonts w:ascii="SimSun" w:hAnsi="SimSun" w:eastAsia="SimSun" w:cs="SimSun"/>
          <w:sz w:val="23"/>
          <w:szCs w:val="23"/>
          <w:spacing w:val="4"/>
        </w:rPr>
        <w:t>本章界定精算师在公司治理与监管体系中的职业定位，</w:t>
      </w:r>
      <w:r>
        <w:rPr>
          <w:rFonts w:ascii="SimSun" w:hAnsi="SimSun" w:eastAsia="SimSun" w:cs="SimSun"/>
          <w:sz w:val="23"/>
          <w:szCs w:val="23"/>
          <w:spacing w:val="54"/>
        </w:rPr>
        <w:t xml:space="preserve"> </w:t>
      </w:r>
      <w:r>
        <w:rPr>
          <w:rFonts w:ascii="SimSun" w:hAnsi="SimSun" w:eastAsia="SimSun" w:cs="SimSun"/>
          <w:sz w:val="23"/>
          <w:szCs w:val="23"/>
          <w:spacing w:val="4"/>
        </w:rPr>
        <w:t>概述总精算师职责体系及其多元</w:t>
      </w:r>
      <w:r>
        <w:rPr>
          <w:rFonts w:ascii="SimSun" w:hAnsi="SimSun" w:eastAsia="SimSun" w:cs="SimSun"/>
          <w:sz w:val="23"/>
          <w:szCs w:val="23"/>
          <w:spacing w:val="7"/>
        </w:rPr>
        <w:t>利益相关方属性，</w:t>
      </w:r>
      <w:r>
        <w:rPr>
          <w:rFonts w:ascii="SimSun" w:hAnsi="SimSun" w:eastAsia="SimSun" w:cs="SimSun"/>
          <w:sz w:val="23"/>
          <w:szCs w:val="23"/>
          <w:spacing w:val="-44"/>
        </w:rPr>
        <w:t xml:space="preserve"> </w:t>
      </w:r>
      <w:r>
        <w:rPr>
          <w:rFonts w:ascii="SimSun" w:hAnsi="SimSun" w:eastAsia="SimSun" w:cs="SimSun"/>
          <w:sz w:val="23"/>
          <w:szCs w:val="23"/>
          <w:spacing w:val="7"/>
        </w:rPr>
        <w:t>并进一步从国际视角阐释跨领域</w:t>
      </w:r>
      <w:r>
        <w:rPr>
          <w:rFonts w:ascii="SimSun" w:hAnsi="SimSun" w:eastAsia="SimSun" w:cs="SimSun"/>
          <w:sz w:val="23"/>
          <w:szCs w:val="23"/>
          <w:spacing w:val="6"/>
        </w:rPr>
        <w:t>应用与沟通协作的重要性。在保险实</w:t>
      </w:r>
      <w:r>
        <w:rPr>
          <w:rFonts w:ascii="SimSun" w:hAnsi="SimSun" w:eastAsia="SimSun" w:cs="SimSun"/>
          <w:sz w:val="23"/>
          <w:szCs w:val="23"/>
          <w:spacing w:val="2"/>
        </w:rPr>
        <w:t>务机制部分，</w:t>
      </w:r>
      <w:r>
        <w:rPr>
          <w:rFonts w:ascii="SimSun" w:hAnsi="SimSun" w:eastAsia="SimSun" w:cs="SimSun"/>
          <w:sz w:val="23"/>
          <w:szCs w:val="23"/>
          <w:spacing w:val="-57"/>
        </w:rPr>
        <w:t xml:space="preserve"> </w:t>
      </w:r>
      <w:r>
        <w:rPr>
          <w:rFonts w:ascii="SimSun" w:hAnsi="SimSun" w:eastAsia="SimSun" w:cs="SimSun"/>
          <w:sz w:val="23"/>
          <w:szCs w:val="23"/>
          <w:spacing w:val="2"/>
        </w:rPr>
        <w:t>本章强调保险经营“收入在前、成本在后，</w:t>
      </w:r>
      <w:r>
        <w:rPr>
          <w:rFonts w:ascii="SimSun" w:hAnsi="SimSun" w:eastAsia="SimSun" w:cs="SimSun"/>
          <w:sz w:val="23"/>
          <w:szCs w:val="23"/>
          <w:spacing w:val="72"/>
        </w:rPr>
        <w:t xml:space="preserve"> </w:t>
      </w:r>
      <w:r>
        <w:rPr>
          <w:rFonts w:ascii="SimSun" w:hAnsi="SimSun" w:eastAsia="SimSun" w:cs="SimSun"/>
          <w:sz w:val="23"/>
          <w:szCs w:val="23"/>
          <w:spacing w:val="2"/>
        </w:rPr>
        <w:t>收入相对确定、成本具有不确</w:t>
      </w:r>
      <w:r>
        <w:rPr>
          <w:rFonts w:ascii="SimSun" w:hAnsi="SimSun" w:eastAsia="SimSun" w:cs="SimSun"/>
          <w:sz w:val="23"/>
          <w:szCs w:val="23"/>
          <w:spacing w:val="4"/>
        </w:rPr>
        <w:t>定性”的跨期特征以及风险个体差异性与集合平衡性，</w:t>
      </w:r>
      <w:r>
        <w:rPr>
          <w:rFonts w:ascii="SimSun" w:hAnsi="SimSun" w:eastAsia="SimSun" w:cs="SimSun"/>
          <w:sz w:val="23"/>
          <w:szCs w:val="23"/>
          <w:spacing w:val="63"/>
        </w:rPr>
        <w:t xml:space="preserve"> </w:t>
      </w:r>
      <w:r>
        <w:rPr>
          <w:rFonts w:ascii="SimSun" w:hAnsi="SimSun" w:eastAsia="SimSun" w:cs="SimSun"/>
          <w:sz w:val="23"/>
          <w:szCs w:val="23"/>
          <w:spacing w:val="4"/>
        </w:rPr>
        <w:t>并通过风险</w:t>
      </w:r>
      <w:r>
        <w:rPr>
          <w:rFonts w:ascii="SimSun" w:hAnsi="SimSun" w:eastAsia="SimSun" w:cs="SimSun"/>
          <w:sz w:val="23"/>
          <w:szCs w:val="23"/>
          <w:spacing w:val="3"/>
        </w:rPr>
        <w:t>转移与风险管理两环</w:t>
      </w:r>
      <w:r>
        <w:rPr>
          <w:rFonts w:ascii="SimSun" w:hAnsi="SimSun" w:eastAsia="SimSun" w:cs="SimSun"/>
          <w:sz w:val="23"/>
          <w:szCs w:val="23"/>
          <w:spacing w:val="11"/>
        </w:rPr>
        <w:t>节解释保险公司运营逻辑及监管框架约束。在精算实务部分，本章系统阐述产品定价、</w:t>
      </w:r>
      <w:r>
        <w:rPr>
          <w:rFonts w:ascii="SimSun" w:hAnsi="SimSun" w:eastAsia="SimSun" w:cs="SimSun"/>
          <w:sz w:val="23"/>
          <w:szCs w:val="23"/>
          <w:spacing w:val="4"/>
        </w:rPr>
        <w:t>精算评估、经验分析与精算建模四大职能的内涵、流程与</w:t>
      </w:r>
      <w:r>
        <w:rPr>
          <w:rFonts w:ascii="SimSun" w:hAnsi="SimSun" w:eastAsia="SimSun" w:cs="SimSun"/>
          <w:sz w:val="23"/>
          <w:szCs w:val="23"/>
          <w:spacing w:val="3"/>
        </w:rPr>
        <w:t>相互关系，</w:t>
      </w:r>
      <w:r>
        <w:rPr>
          <w:rFonts w:ascii="SimSun" w:hAnsi="SimSun" w:eastAsia="SimSun" w:cs="SimSun"/>
          <w:sz w:val="23"/>
          <w:szCs w:val="23"/>
          <w:spacing w:val="67"/>
        </w:rPr>
        <w:t xml:space="preserve"> </w:t>
      </w:r>
      <w:r>
        <w:rPr>
          <w:rFonts w:ascii="SimSun" w:hAnsi="SimSun" w:eastAsia="SimSun" w:cs="SimSun"/>
          <w:sz w:val="23"/>
          <w:szCs w:val="23"/>
          <w:spacing w:val="3"/>
        </w:rPr>
        <w:t>并以精算控制循环</w:t>
      </w:r>
      <w:r>
        <w:rPr>
          <w:rFonts w:ascii="SimSun" w:hAnsi="SimSun" w:eastAsia="SimSun" w:cs="SimSun"/>
          <w:sz w:val="23"/>
          <w:szCs w:val="23"/>
          <w:spacing w:val="8"/>
        </w:rPr>
        <w:t>方法论贯通四项职能形成闭环治理框架，为后续章节学习</w:t>
      </w:r>
      <w:r>
        <w:rPr>
          <w:rFonts w:ascii="SimSun" w:hAnsi="SimSun" w:eastAsia="SimSun" w:cs="SimSun"/>
          <w:sz w:val="23"/>
          <w:szCs w:val="23"/>
          <w:spacing w:val="7"/>
        </w:rPr>
        <w:t>奠定方法与知识基础。</w:t>
      </w:r>
    </w:p>
    <w:sectPr>
      <w:footerReference w:type="default" r:id="rId25"/>
      <w:pgSz w:w="11906" w:h="16838"/>
      <w:pgMar w:top="400" w:right="1302" w:bottom="980" w:left="1425" w:header="0" w:footer="76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before="1"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ii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7"/>
      <w:spacing w:before="1"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iii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0"/>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iv</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0"/>
      <w:spacing w:line="18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0"/>
      <w:spacing w:line="18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6"/>
      <w:spacing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3</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5"/>
      <w:spacing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4</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4"/>
      <w:spacing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5</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2"/>
      <w:spacing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6</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5"/>
      <w:spacing w:line="18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7</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6"/>
      <w:spacing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8</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6"/>
      <w:spacing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9</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4"/>
      <w:spacing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10</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8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11</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8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12</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2"/>
      <w:spacing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13</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14</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15</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16</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0"/>
      <w:spacing w:line="18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17</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18</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19</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2"/>
      <w:spacing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20</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1"/>
      <w:spacing w:line="18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8.xml"/><Relationship Id="rId8" Type="http://schemas.openxmlformats.org/officeDocument/2006/relationships/footer" Target="footer7.xml"/><Relationship Id="rId7" Type="http://schemas.openxmlformats.org/officeDocument/2006/relationships/footer" Target="footer6.xml"/><Relationship Id="rId6" Type="http://schemas.openxmlformats.org/officeDocument/2006/relationships/footer" Target="footer5.xml"/><Relationship Id="rId5" Type="http://schemas.openxmlformats.org/officeDocument/2006/relationships/footer" Target="footer4.xml"/><Relationship Id="rId4" Type="http://schemas.openxmlformats.org/officeDocument/2006/relationships/footer" Target="footer3.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styles" Target="styles.xml"/><Relationship Id="rId26" Type="http://schemas.openxmlformats.org/officeDocument/2006/relationships/settings" Target="settings.xml"/><Relationship Id="rId25" Type="http://schemas.openxmlformats.org/officeDocument/2006/relationships/footer" Target="footer24.xml"/><Relationship Id="rId24" Type="http://schemas.openxmlformats.org/officeDocument/2006/relationships/footer" Target="footer23.xml"/><Relationship Id="rId23" Type="http://schemas.openxmlformats.org/officeDocument/2006/relationships/footer" Target="footer22.xml"/><Relationship Id="rId22" Type="http://schemas.openxmlformats.org/officeDocument/2006/relationships/footer" Target="footer21.xml"/><Relationship Id="rId21" Type="http://schemas.openxmlformats.org/officeDocument/2006/relationships/footer" Target="footer20.xml"/><Relationship Id="rId20" Type="http://schemas.openxmlformats.org/officeDocument/2006/relationships/footer" Target="footer19.xml"/><Relationship Id="rId2" Type="http://schemas.openxmlformats.org/officeDocument/2006/relationships/footer" Target="footer2.xml"/><Relationship Id="rId19" Type="http://schemas.openxmlformats.org/officeDocument/2006/relationships/footer" Target="footer18.xml"/><Relationship Id="rId18" Type="http://schemas.openxmlformats.org/officeDocument/2006/relationships/footer" Target="footer17.xml"/><Relationship Id="rId17" Type="http://schemas.openxmlformats.org/officeDocument/2006/relationships/footer" Target="footer16.xml"/><Relationship Id="rId16" Type="http://schemas.openxmlformats.org/officeDocument/2006/relationships/footer" Target="footer15.xml"/><Relationship Id="rId15" Type="http://schemas.openxmlformats.org/officeDocument/2006/relationships/footer" Target="footer14.xml"/><Relationship Id="rId14" Type="http://schemas.openxmlformats.org/officeDocument/2006/relationships/footer" Target="footer13.xml"/><Relationship Id="rId13" Type="http://schemas.openxmlformats.org/officeDocument/2006/relationships/footer" Target="footer12.xml"/><Relationship Id="rId12" Type="http://schemas.openxmlformats.org/officeDocument/2006/relationships/footer" Target="footer11.xml"/><Relationship Id="rId11" Type="http://schemas.openxmlformats.org/officeDocument/2006/relationships/footer" Target="footer10.xml"/><Relationship Id="rId10" Type="http://schemas.openxmlformats.org/officeDocument/2006/relationships/footer" Target="footer9.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2026-01-17T15:56:59Z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2026-01-17T15:58:02</vt:filetime>
  </property>
</Properties>
</file>