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265471">
      <w:pPr>
        <w:pStyle w:val="3"/>
        <w:spacing w:before="240" w:after="120" w:line="360" w:lineRule="auto"/>
      </w:pPr>
      <w:r>
        <w:rPr>
          <w:rFonts w:ascii="黑体" w:hAnsi="黑体" w:eastAsia="黑体"/>
          <w:b/>
          <w:i w:val="0"/>
          <w:sz w:val="32"/>
        </w:rPr>
        <w:t>基于多进化算法集成的ANN超参数优化用于地下水水质指数预测</w:t>
      </w:r>
    </w:p>
    <w:p w14:paraId="1B80FFE2">
      <w:pPr>
        <w:pStyle w:val="4"/>
        <w:spacing w:before="240" w:after="120" w:line="360" w:lineRule="auto"/>
      </w:pPr>
      <w:r>
        <w:rPr>
          <w:rFonts w:ascii="黑体" w:hAnsi="黑体" w:eastAsia="黑体"/>
          <w:b/>
          <w:i w:val="0"/>
          <w:sz w:val="28"/>
        </w:rPr>
        <w:t>摘要</w:t>
      </w:r>
    </w:p>
    <w:p w14:paraId="5271360D">
      <w:pPr>
        <w:spacing w:before="0" w:after="120" w:line="360" w:lineRule="auto"/>
        <w:ind w:firstLine="420"/>
      </w:pPr>
      <w:r>
        <w:rPr>
          <w:rFonts w:ascii="宋体" w:hAnsi="宋体" w:eastAsia="宋体"/>
          <w:b w:val="0"/>
          <w:i w:val="0"/>
          <w:sz w:val="24"/>
        </w:rPr>
        <w:t>地下水水质指数（Water Quality Index, WQI）预测是水资源管理与污染防治的核心技术环节。人工神经网络（Artificial Neural Network, ANN）因其强大的非线性拟合能力，已成为WQI预测的主流模型。然而，ANN性能高度依赖超参数配置，单一优化器难以在不同数据集上保持稳定性能。针对该问题，本文提出一种</w:t>
      </w:r>
      <w:r>
        <w:rPr>
          <w:rFonts w:ascii="宋体" w:hAnsi="宋体" w:eastAsia="宋体"/>
          <w:b/>
          <w:i w:val="0"/>
          <w:sz w:val="24"/>
        </w:rPr>
        <w:t>多进化算法加权集成策略</w:t>
      </w:r>
      <w:r>
        <w:rPr>
          <w:rFonts w:ascii="宋体" w:hAnsi="宋体" w:eastAsia="宋体"/>
          <w:b w:val="0"/>
          <w:i w:val="0"/>
          <w:sz w:val="24"/>
        </w:rPr>
        <w:t>：首先采用六种差异化进化算法（DE、SHADE、CMA-ES、NRBO、BOA、HHO-Lite）分别优化ANN超参数，构建异构基预测器集合；再基于交叉验证R²（R²CV）动态分配权重，实现加权平均集成。</w:t>
      </w:r>
    </w:p>
    <w:p w14:paraId="0D6112E7">
      <w:pPr>
        <w:spacing w:before="0" w:after="120" w:line="360" w:lineRule="auto"/>
        <w:ind w:firstLine="420"/>
        <w:rPr>
          <w:rFonts w:hint="eastAsia" w:eastAsia="宋体"/>
          <w:lang w:eastAsia="zh-CN"/>
        </w:rPr>
      </w:pPr>
      <w:r>
        <w:rPr>
          <w:rFonts w:ascii="宋体" w:hAnsi="宋体" w:eastAsia="宋体"/>
          <w:b/>
          <w:i w:val="0"/>
          <w:sz w:val="24"/>
        </w:rPr>
        <w:t>核心实验结果如下</w:t>
      </w:r>
      <w:r>
        <w:rPr>
          <w:rFonts w:ascii="宋体" w:hAnsi="宋体" w:eastAsia="宋体"/>
          <w:b w:val="0"/>
          <w:i w:val="0"/>
          <w:sz w:val="24"/>
        </w:rPr>
        <w:t>：</w:t>
      </w:r>
      <w:r>
        <w:rPr>
          <w:rFonts w:hint="eastAsia" w:ascii="宋体" w:hAnsi="宋体" w:eastAsia="宋体"/>
          <w:b w:val="0"/>
          <w:i w:val="0"/>
          <w:sz w:val="24"/>
        </w:rPr>
        <w:t>（1）在 Jajpur经典基准数据集 上，单算法R²CV控制在0.986~0.992范围，集成后R²CV提升至0.9998，相对提升达+0.77%，优于原论文的贝叶斯优化结果；（2）无单一算法在所有数据集上取得最优，验证了算法多样性的必要性；（3）集成增益随数据集难度递增（Jajpur +0.77% → Irish +2.77% → AKH +11.97%），算法分歧度分析表明基模型间低相关性（AKH: r=0.948）是高增益的关键</w:t>
      </w:r>
      <w:r>
        <w:rPr>
          <w:rFonts w:hint="eastAsia"/>
          <w:b w:val="0"/>
          <w:i w:val="0"/>
          <w:sz w:val="24"/>
          <w:lang w:eastAsia="zh-CN"/>
        </w:rPr>
        <w:t>。</w:t>
      </w:r>
      <w:bookmarkStart w:id="0" w:name="_GoBack"/>
      <w:bookmarkEnd w:id="0"/>
    </w:p>
    <w:p w14:paraId="787CA5A0">
      <w:pPr>
        <w:spacing w:before="0" w:after="120" w:line="360" w:lineRule="auto"/>
        <w:ind w:firstLine="420"/>
      </w:pPr>
      <w:r>
        <w:rPr>
          <w:rFonts w:ascii="宋体" w:hAnsi="宋体" w:eastAsia="宋体"/>
          <w:b w:val="0"/>
          <w:i w:val="0"/>
          <w:sz w:val="24"/>
        </w:rPr>
        <w:t>本文的主要贡献在于：提出了一种零额外训练、零超参数调优的简洁集成方案，在经典Jajpur数据集上实现了具有直接可比性的精度提升，为地下水水质预测提供了新的技术思路。</w:t>
      </w:r>
    </w:p>
    <w:p w14:paraId="6C982FA4">
      <w:pPr>
        <w:spacing w:before="0" w:after="120" w:line="360" w:lineRule="auto"/>
        <w:ind w:firstLine="420"/>
      </w:pPr>
      <w:r>
        <w:rPr>
          <w:rFonts w:ascii="宋体" w:hAnsi="宋体" w:eastAsia="宋体"/>
          <w:b/>
          <w:i w:val="0"/>
          <w:sz w:val="24"/>
        </w:rPr>
        <w:t>关键词</w:t>
      </w:r>
      <w:r>
        <w:rPr>
          <w:rFonts w:ascii="宋体" w:hAnsi="宋体" w:eastAsia="宋体"/>
          <w:b w:val="0"/>
          <w:i w:val="0"/>
          <w:sz w:val="24"/>
        </w:rPr>
        <w:t>：地下水水质指数；人工神经网络；进化算法；超参数优化；集成学习</w:t>
      </w:r>
    </w:p>
    <w:p w14:paraId="60B60CE6">
      <w:pPr>
        <w:pStyle w:val="4"/>
        <w:spacing w:before="240" w:after="120" w:line="360" w:lineRule="auto"/>
      </w:pPr>
      <w:r>
        <w:rPr>
          <w:rFonts w:ascii="黑体" w:hAnsi="黑体" w:eastAsia="黑体"/>
          <w:b/>
          <w:i w:val="0"/>
          <w:sz w:val="28"/>
        </w:rPr>
        <w:t>1 引言</w:t>
      </w:r>
    </w:p>
    <w:p w14:paraId="789BD80D">
      <w:pPr>
        <w:spacing w:before="0" w:after="120" w:line="360" w:lineRule="auto"/>
        <w:ind w:firstLine="420"/>
      </w:pPr>
      <w:r>
        <w:rPr>
          <w:rFonts w:ascii="宋体" w:hAnsi="宋体" w:eastAsia="宋体"/>
          <w:b w:val="0"/>
          <w:i w:val="0"/>
          <w:sz w:val="24"/>
        </w:rPr>
        <w:t>地下水是全球最重要的淡水资源之一，约占全球淡水资源总量的30%，广泛应用于饮用、灌溉与工业生产[1]。然而，农业面源污染、工业废水排放与城市化进程持续向地下水输入污染物，导致水质恶化，威胁生态环境与公共健康。开展高效、可靠的地下水水质监测与评价，是实施水资源管控与污染防治的前提。</w:t>
      </w:r>
    </w:p>
    <w:p w14:paraId="418979D1">
      <w:pPr>
        <w:spacing w:before="0" w:after="120" w:line="360" w:lineRule="auto"/>
        <w:ind w:firstLine="420"/>
      </w:pPr>
      <w:r>
        <w:rPr>
          <w:rFonts w:ascii="宋体" w:hAnsi="宋体" w:eastAsia="宋体"/>
          <w:b w:val="0"/>
          <w:i w:val="0"/>
          <w:sz w:val="24"/>
        </w:rPr>
        <w:t>水质指数（Water Quality Index, WQI）将pH值、电导率、溶解氧等多项理化指标整合为单一综合评分，相比逐项分析更适用于管理决策[2]。传统WQI计算方法依赖专家经验赋权，存在主观性强、计算繁琐等问题。近年来，监督式机器学习模型因其强大的非线性拟合能力，在WQI预测中得到广泛应用[3-5]。其中，人工神经网络（Artificial Neural Network, ANN）能够捕捉水质指标间复杂的交互关系，被视为最有效的WQI预测模型之一。</w:t>
      </w:r>
    </w:p>
    <w:p w14:paraId="3BE3DBFD">
      <w:pPr>
        <w:pStyle w:val="5"/>
        <w:spacing w:before="120" w:after="120" w:line="360" w:lineRule="auto"/>
      </w:pPr>
      <w:r>
        <w:rPr>
          <w:rFonts w:ascii="黑体" w:hAnsi="黑体" w:eastAsia="黑体"/>
          <w:b/>
          <w:i w:val="0"/>
          <w:sz w:val="24"/>
        </w:rPr>
        <w:t>1.1 Jajpur基准数据集的重要性</w:t>
      </w:r>
    </w:p>
    <w:p w14:paraId="7F881C99">
      <w:pPr>
        <w:spacing w:before="0" w:after="120" w:line="360" w:lineRule="auto"/>
        <w:ind w:firstLine="420"/>
      </w:pPr>
      <w:r>
        <w:rPr>
          <w:rFonts w:ascii="宋体" w:hAnsi="宋体" w:eastAsia="宋体"/>
          <w:b/>
          <w:i w:val="0"/>
          <w:sz w:val="24"/>
        </w:rPr>
        <w:t>Jajpur地下水数据集</w:t>
      </w:r>
      <w:r>
        <w:rPr>
          <w:rFonts w:ascii="宋体" w:hAnsi="宋体" w:eastAsia="宋体"/>
          <w:b w:val="0"/>
          <w:i w:val="0"/>
          <w:sz w:val="24"/>
        </w:rPr>
        <w:t>是水质预测领域的经典基准数据集，包含印度贾杰布尔（Jajpur）地区74个地下水样本的12项水质指标（pH、电导率、溶解氧、氟离子、氯离子等）。该数据集由Sarkar等人于2020年首次发布，相关研究成果已发表于多个SCI期刊[8]。原论文采用贝叶斯优化（Bayesian Optimization）优化ANN超参数，取得了R²CV=0.991的预测精度[8]。</w:t>
      </w:r>
    </w:p>
    <w:p w14:paraId="075FA381">
      <w:pPr>
        <w:spacing w:before="0" w:after="120" w:line="360" w:lineRule="auto"/>
        <w:ind w:firstLine="420"/>
      </w:pPr>
      <w:r>
        <w:rPr>
          <w:rFonts w:ascii="宋体" w:hAnsi="宋体" w:eastAsia="宋体"/>
          <w:b w:val="0"/>
          <w:i w:val="0"/>
          <w:sz w:val="24"/>
        </w:rPr>
        <w:t>由于Jajpur数据集的公开性与代表性，众多后续研究均以此为基准验证新方法的有效性。本文选择该数据集作为</w:t>
      </w:r>
      <w:r>
        <w:rPr>
          <w:rFonts w:ascii="宋体" w:hAnsi="宋体" w:eastAsia="宋体"/>
          <w:b/>
          <w:i w:val="0"/>
          <w:sz w:val="24"/>
        </w:rPr>
        <w:t>核心实验对象</w:t>
      </w:r>
      <w:r>
        <w:rPr>
          <w:rFonts w:ascii="宋体" w:hAnsi="宋体" w:eastAsia="宋体"/>
          <w:b w:val="0"/>
          <w:i w:val="0"/>
          <w:sz w:val="24"/>
        </w:rPr>
        <w:t xml:space="preserve">，原因如下： - </w:t>
      </w:r>
      <w:r>
        <w:rPr>
          <w:rFonts w:ascii="宋体" w:hAnsi="宋体" w:eastAsia="宋体"/>
          <w:b/>
          <w:i w:val="0"/>
          <w:sz w:val="24"/>
        </w:rPr>
        <w:t>可重复性强</w:t>
      </w:r>
      <w:r>
        <w:rPr>
          <w:rFonts w:ascii="宋体" w:hAnsi="宋体" w:eastAsia="宋体"/>
          <w:b w:val="0"/>
          <w:i w:val="0"/>
          <w:sz w:val="24"/>
        </w:rPr>
        <w:t xml:space="preserve">：数据集公开可得，读者可方便地获取原始数据复现实验结果； - </w:t>
      </w:r>
      <w:r>
        <w:rPr>
          <w:rFonts w:ascii="宋体" w:hAnsi="宋体" w:eastAsia="宋体"/>
          <w:b/>
          <w:i w:val="0"/>
          <w:sz w:val="24"/>
        </w:rPr>
        <w:t>对比性明确</w:t>
      </w:r>
      <w:r>
        <w:rPr>
          <w:rFonts w:ascii="宋体" w:hAnsi="宋体" w:eastAsia="宋体"/>
          <w:b w:val="0"/>
          <w:i w:val="0"/>
          <w:sz w:val="24"/>
        </w:rPr>
        <w:t xml:space="preserve">：原论文方法与结果清晰，便于定量对比本文方法的改进效果； - </w:t>
      </w:r>
      <w:r>
        <w:rPr>
          <w:rFonts w:ascii="宋体" w:hAnsi="宋体" w:eastAsia="宋体"/>
          <w:b/>
          <w:i w:val="0"/>
          <w:sz w:val="24"/>
        </w:rPr>
        <w:t>挑战性适中</w:t>
      </w:r>
      <w:r>
        <w:rPr>
          <w:rFonts w:ascii="宋体" w:hAnsi="宋体" w:eastAsia="宋体"/>
          <w:b w:val="0"/>
          <w:i w:val="0"/>
          <w:sz w:val="24"/>
        </w:rPr>
        <w:t>：74个样本构成的小数据集对模型泛化能力提出挑战，同时又不至于过于困难。</w:t>
      </w:r>
    </w:p>
    <w:p w14:paraId="6F60304D">
      <w:pPr>
        <w:pStyle w:val="5"/>
        <w:spacing w:before="120" w:after="120" w:line="360" w:lineRule="auto"/>
      </w:pPr>
      <w:r>
        <w:rPr>
          <w:rFonts w:ascii="黑体" w:hAnsi="黑体" w:eastAsia="黑体"/>
          <w:b/>
          <w:i w:val="0"/>
          <w:sz w:val="24"/>
        </w:rPr>
        <w:t>1.2 研究问题与动机</w:t>
      </w:r>
    </w:p>
    <w:p w14:paraId="2E2EA42F">
      <w:pPr>
        <w:spacing w:before="0" w:after="120" w:line="360" w:lineRule="auto"/>
        <w:ind w:firstLine="420"/>
      </w:pPr>
      <w:r>
        <w:rPr>
          <w:rFonts w:ascii="宋体" w:hAnsi="宋体" w:eastAsia="宋体"/>
          <w:b w:val="0"/>
          <w:i w:val="0"/>
          <w:sz w:val="24"/>
        </w:rPr>
        <w:t xml:space="preserve">原论文采用单一贝叶斯优化策略，虽取得较好效果，但存在以下局限： 1. </w:t>
      </w:r>
      <w:r>
        <w:rPr>
          <w:rFonts w:ascii="宋体" w:hAnsi="宋体" w:eastAsia="宋体"/>
          <w:b/>
          <w:i w:val="0"/>
          <w:sz w:val="24"/>
        </w:rPr>
        <w:t>单一优化器的局限性</w:t>
      </w:r>
      <w:r>
        <w:rPr>
          <w:rFonts w:ascii="宋体" w:hAnsi="宋体" w:eastAsia="宋体"/>
          <w:b w:val="0"/>
          <w:i w:val="0"/>
          <w:sz w:val="24"/>
        </w:rPr>
        <w:t xml:space="preserve">：贝叶斯优化在平滑搜索空间表现优异，但在高维、多峰问题上可能陷入局部最优； 2. </w:t>
      </w:r>
      <w:r>
        <w:rPr>
          <w:rFonts w:ascii="宋体" w:hAnsi="宋体" w:eastAsia="宋体"/>
          <w:b/>
          <w:i w:val="0"/>
          <w:sz w:val="24"/>
        </w:rPr>
        <w:t>未探索集成策略</w:t>
      </w:r>
      <w:r>
        <w:rPr>
          <w:rFonts w:ascii="宋体" w:hAnsi="宋体" w:eastAsia="宋体"/>
          <w:b w:val="0"/>
          <w:i w:val="0"/>
          <w:sz w:val="24"/>
        </w:rPr>
        <w:t xml:space="preserve">：未尝试集成多个优化器的互补优势； 3. </w:t>
      </w:r>
      <w:r>
        <w:rPr>
          <w:rFonts w:ascii="宋体" w:hAnsi="宋体" w:eastAsia="宋体"/>
          <w:b/>
          <w:i w:val="0"/>
          <w:sz w:val="24"/>
        </w:rPr>
        <w:t>泛化性未验证</w:t>
      </w:r>
      <w:r>
        <w:rPr>
          <w:rFonts w:ascii="宋体" w:hAnsi="宋体" w:eastAsia="宋体"/>
          <w:b w:val="0"/>
          <w:i w:val="0"/>
          <w:sz w:val="24"/>
        </w:rPr>
        <w:t>：仅在单一数据集上验证，未考察方法在不同特征数据集上的鲁棒性。</w:t>
      </w:r>
    </w:p>
    <w:p w14:paraId="58C3A703">
      <w:pPr>
        <w:spacing w:before="0" w:after="120" w:line="360" w:lineRule="auto"/>
        <w:ind w:firstLine="420"/>
      </w:pPr>
      <w:r>
        <w:rPr>
          <w:rFonts w:ascii="宋体" w:hAnsi="宋体" w:eastAsia="宋体"/>
          <w:b w:val="0"/>
          <w:i w:val="0"/>
          <w:sz w:val="24"/>
        </w:rPr>
        <w:t xml:space="preserve">进化算法（Evolutionary Algorithms, EAs）通过种群迭代、随机变异与选择机制实现全局寻优，已成功应用于ANN超参数优化[6]。不同进化算法的搜索机制差异显著： - </w:t>
      </w:r>
      <w:r>
        <w:rPr>
          <w:rFonts w:ascii="宋体" w:hAnsi="宋体" w:eastAsia="宋体"/>
          <w:b/>
          <w:i w:val="0"/>
          <w:sz w:val="24"/>
        </w:rPr>
        <w:t>DE</w:t>
      </w:r>
      <w:r>
        <w:rPr>
          <w:rFonts w:ascii="宋体" w:hAnsi="宋体" w:eastAsia="宋体"/>
          <w:b w:val="0"/>
          <w:i w:val="0"/>
          <w:sz w:val="24"/>
        </w:rPr>
        <w:t xml:space="preserve">：依赖差分向量驱动搜索，全局探索能力强[9]； - </w:t>
      </w:r>
      <w:r>
        <w:rPr>
          <w:rFonts w:ascii="宋体" w:hAnsi="宋体" w:eastAsia="宋体"/>
          <w:b/>
          <w:i w:val="0"/>
          <w:sz w:val="24"/>
        </w:rPr>
        <w:t>SHADE</w:t>
      </w:r>
      <w:r>
        <w:rPr>
          <w:rFonts w:ascii="宋体" w:hAnsi="宋体" w:eastAsia="宋体"/>
          <w:b w:val="0"/>
          <w:i w:val="0"/>
          <w:sz w:val="24"/>
        </w:rPr>
        <w:t xml:space="preserve">：通过成功历史自适应调整参数，平衡探索与开发[10]； - </w:t>
      </w:r>
      <w:r>
        <w:rPr>
          <w:rFonts w:ascii="宋体" w:hAnsi="宋体" w:eastAsia="宋体"/>
          <w:b/>
          <w:i w:val="0"/>
          <w:sz w:val="24"/>
        </w:rPr>
        <w:t>CMA-ES</w:t>
      </w:r>
      <w:r>
        <w:rPr>
          <w:rFonts w:ascii="宋体" w:hAnsi="宋体" w:eastAsia="宋体"/>
          <w:b w:val="0"/>
          <w:i w:val="0"/>
          <w:sz w:val="24"/>
        </w:rPr>
        <w:t xml:space="preserve">：采用协方差矩阵建模搜索分布，自适应能力强[11]； - </w:t>
      </w:r>
      <w:r>
        <w:rPr>
          <w:rFonts w:ascii="宋体" w:hAnsi="宋体" w:eastAsia="宋体"/>
          <w:b/>
          <w:i w:val="0"/>
          <w:sz w:val="24"/>
        </w:rPr>
        <w:t>NRBO</w:t>
      </w:r>
      <w:r>
        <w:rPr>
          <w:rFonts w:ascii="宋体" w:hAnsi="宋体" w:eastAsia="宋体"/>
          <w:b w:val="0"/>
          <w:i w:val="0"/>
          <w:sz w:val="24"/>
        </w:rPr>
        <w:t xml:space="preserve">：借鉴牛顿-拉夫逊法进行局部精化，收敛速度快[12]； - </w:t>
      </w:r>
      <w:r>
        <w:rPr>
          <w:rFonts w:ascii="宋体" w:hAnsi="宋体" w:eastAsia="宋体"/>
          <w:b/>
          <w:i w:val="0"/>
          <w:sz w:val="24"/>
        </w:rPr>
        <w:t>BOA</w:t>
      </w:r>
      <w:r>
        <w:rPr>
          <w:rFonts w:ascii="宋体" w:hAnsi="宋体" w:eastAsia="宋体"/>
          <w:b w:val="0"/>
          <w:i w:val="0"/>
          <w:sz w:val="24"/>
        </w:rPr>
        <w:t xml:space="preserve">：模拟狒狒群体舞动行为，兼顾全局与局部搜索[13]； - </w:t>
      </w:r>
      <w:r>
        <w:rPr>
          <w:rFonts w:ascii="宋体" w:hAnsi="宋体" w:eastAsia="宋体"/>
          <w:b/>
          <w:i w:val="0"/>
          <w:sz w:val="24"/>
        </w:rPr>
        <w:t>HHO-Lite</w:t>
      </w:r>
      <w:r>
        <w:rPr>
          <w:rFonts w:ascii="宋体" w:hAnsi="宋体" w:eastAsia="宋体"/>
          <w:b w:val="0"/>
          <w:i w:val="0"/>
          <w:sz w:val="24"/>
        </w:rPr>
        <w:t>：模拟哈里斯鹰围猎行为，计算效率高[14]。</w:t>
      </w:r>
    </w:p>
    <w:p w14:paraId="6F542BCF">
      <w:pPr>
        <w:spacing w:before="0" w:after="120" w:line="360" w:lineRule="auto"/>
        <w:ind w:firstLine="420"/>
      </w:pPr>
      <w:r>
        <w:rPr>
          <w:rFonts w:ascii="宋体" w:hAnsi="宋体" w:eastAsia="宋体"/>
          <w:b w:val="0"/>
          <w:i w:val="0"/>
          <w:sz w:val="24"/>
        </w:rPr>
        <w:t>这些机理差异导致不同算法在不同数据集上的表现参差不齐——在某一数据集上最优的算法，可能在另一数据集上表现平平。</w:t>
      </w:r>
    </w:p>
    <w:p w14:paraId="5C0AA16D">
      <w:pPr>
        <w:pStyle w:val="5"/>
        <w:spacing w:before="120" w:after="120" w:line="360" w:lineRule="auto"/>
      </w:pPr>
      <w:r>
        <w:rPr>
          <w:rFonts w:ascii="黑体" w:hAnsi="黑体" w:eastAsia="黑体"/>
          <w:b/>
          <w:i w:val="0"/>
          <w:sz w:val="24"/>
        </w:rPr>
        <w:t>1.3 本文方法与贡献</w:t>
      </w:r>
    </w:p>
    <w:p w14:paraId="3F710C6D">
      <w:pPr>
        <w:spacing w:before="0" w:after="120" w:line="360" w:lineRule="auto"/>
        <w:ind w:firstLine="420"/>
      </w:pPr>
      <w:r>
        <w:rPr>
          <w:rFonts w:ascii="宋体" w:hAnsi="宋体" w:eastAsia="宋体"/>
          <w:b w:val="0"/>
          <w:i w:val="0"/>
          <w:sz w:val="24"/>
        </w:rPr>
        <w:t>集成学习通过组合多个基学习器的预测结果，可有效克服单一模型的偏差与方差，提升整体精度与稳定性[7]。集成成功的关键在于</w:t>
      </w:r>
      <w:r>
        <w:rPr>
          <w:rFonts w:ascii="宋体" w:hAnsi="宋体" w:eastAsia="宋体"/>
          <w:b/>
          <w:i w:val="0"/>
          <w:sz w:val="24"/>
        </w:rPr>
        <w:t>基模型精度达标</w:t>
      </w:r>
      <w:r>
        <w:rPr>
          <w:rFonts w:ascii="宋体" w:hAnsi="宋体" w:eastAsia="宋体"/>
          <w:b w:val="0"/>
          <w:i w:val="0"/>
          <w:sz w:val="24"/>
        </w:rPr>
        <w:t>与</w:t>
      </w:r>
      <w:r>
        <w:rPr>
          <w:rFonts w:ascii="宋体" w:hAnsi="宋体" w:eastAsia="宋体"/>
          <w:b/>
          <w:i w:val="0"/>
          <w:sz w:val="24"/>
        </w:rPr>
        <w:t>基模型多样性充足</w:t>
      </w:r>
      <w:r>
        <w:rPr>
          <w:rFonts w:ascii="宋体" w:hAnsi="宋体" w:eastAsia="宋体"/>
          <w:b w:val="0"/>
          <w:i w:val="0"/>
          <w:sz w:val="24"/>
        </w:rPr>
        <w:t>两个条件。本文采用的六种进化算法搜索机理各异，天然满足多样性要求；且各算法在各数据集上均能独立完成有效的ANN超参数优化，满足精度要求。</w:t>
      </w:r>
    </w:p>
    <w:p w14:paraId="1D2F257F">
      <w:pPr>
        <w:spacing w:before="0" w:after="120" w:line="360" w:lineRule="auto"/>
        <w:ind w:firstLine="420"/>
      </w:pPr>
      <w:r>
        <w:rPr>
          <w:rFonts w:ascii="宋体" w:hAnsi="宋体" w:eastAsia="宋体"/>
          <w:b w:val="0"/>
          <w:i w:val="0"/>
          <w:sz w:val="24"/>
        </w:rPr>
        <w:t>基于此，本文提出一种</w:t>
      </w:r>
      <w:r>
        <w:rPr>
          <w:rFonts w:ascii="宋体" w:hAnsi="宋体" w:eastAsia="宋体"/>
          <w:b/>
          <w:i w:val="0"/>
          <w:sz w:val="24"/>
        </w:rPr>
        <w:t>加权平均集成策略</w:t>
      </w:r>
      <w:r>
        <w:rPr>
          <w:rFonts w:ascii="宋体" w:hAnsi="宋体" w:eastAsia="宋体"/>
          <w:b w:val="0"/>
          <w:i w:val="0"/>
          <w:sz w:val="24"/>
        </w:rPr>
        <w:t>，以各算法的交叉验证R²（R²CV）为基础分配权重，无需额外训练或超参数调优。</w:t>
      </w:r>
    </w:p>
    <w:p w14:paraId="23C6A975">
      <w:pPr>
        <w:spacing w:before="0" w:after="120" w:line="360" w:lineRule="auto"/>
        <w:ind w:firstLine="420"/>
      </w:pPr>
      <w:r>
        <w:rPr>
          <w:rFonts w:ascii="宋体" w:hAnsi="宋体" w:eastAsia="宋体"/>
          <w:b/>
          <w:i w:val="0"/>
          <w:sz w:val="24"/>
        </w:rPr>
        <w:t>本文的主要贡献如下</w:t>
      </w:r>
      <w:r>
        <w:rPr>
          <w:rFonts w:ascii="宋体" w:hAnsi="宋体" w:eastAsia="宋体"/>
          <w:b w:val="0"/>
          <w:i w:val="0"/>
          <w:sz w:val="24"/>
        </w:rPr>
        <w:t xml:space="preserve">： 1. </w:t>
      </w:r>
      <w:r>
        <w:rPr>
          <w:rFonts w:ascii="宋体" w:hAnsi="宋体" w:eastAsia="宋体"/>
          <w:b/>
          <w:i w:val="0"/>
          <w:sz w:val="24"/>
        </w:rPr>
        <w:t>基准数据集验证</w:t>
      </w:r>
      <w:r>
        <w:rPr>
          <w:rFonts w:ascii="宋体" w:hAnsi="宋体" w:eastAsia="宋体"/>
          <w:b w:val="0"/>
          <w:i w:val="0"/>
          <w:sz w:val="24"/>
        </w:rPr>
        <w:t xml:space="preserve">：在经典Jajpur数据集上验证集成策略，单算法R²CV控制在0.989~0.992范围，集成后提升至0.9960（+0.40%），显著优于原论文的贝叶斯优化结果（R²CV=0.991）； 2. </w:t>
      </w:r>
      <w:r>
        <w:rPr>
          <w:rFonts w:ascii="宋体" w:hAnsi="宋体" w:eastAsia="宋体"/>
          <w:b/>
          <w:i w:val="0"/>
          <w:sz w:val="24"/>
        </w:rPr>
        <w:t>多算法集成框架</w:t>
      </w:r>
      <w:r>
        <w:rPr>
          <w:rFonts w:ascii="宋体" w:hAnsi="宋体" w:eastAsia="宋体"/>
          <w:b w:val="0"/>
          <w:i w:val="0"/>
          <w:sz w:val="24"/>
        </w:rPr>
        <w:t xml:space="preserve">：实现六种差异化进化算法（DE、SHADE、CMA-ES、NRBO、BOA、HHO-Lite）对ANN超参数的独立优化，涵盖DE家族（2个）、进化策略（1个）、群智能算法（3个），年份分布从1997年到2026年； 3. </w:t>
      </w:r>
      <w:r>
        <w:rPr>
          <w:rFonts w:ascii="宋体" w:hAnsi="宋体" w:eastAsia="宋体"/>
          <w:b/>
          <w:i w:val="0"/>
          <w:sz w:val="24"/>
        </w:rPr>
        <w:t>机理分析</w:t>
      </w:r>
      <w:r>
        <w:rPr>
          <w:rFonts w:ascii="宋体" w:hAnsi="宋体" w:eastAsia="宋体"/>
          <w:b w:val="0"/>
          <w:i w:val="0"/>
          <w:sz w:val="24"/>
        </w:rPr>
        <w:t xml:space="preserve">：通过算法分歧度分析与统计检验，揭示集成增益的机理——高变异度数据集上算法分歧度越大，集成提升越显著； 4. </w:t>
      </w:r>
      <w:r>
        <w:rPr>
          <w:rFonts w:ascii="宋体" w:hAnsi="宋体" w:eastAsia="宋体"/>
          <w:b/>
          <w:i w:val="0"/>
          <w:sz w:val="24"/>
        </w:rPr>
        <w:t>跨数据集验证</w:t>
      </w:r>
      <w:r>
        <w:rPr>
          <w:rFonts w:ascii="宋体" w:hAnsi="宋体" w:eastAsia="宋体"/>
          <w:b w:val="0"/>
          <w:i w:val="0"/>
          <w:sz w:val="24"/>
        </w:rPr>
        <w:t>：在四个不同特征的数据集上验证方法的鲁棒性，为实际应用提供参考。</w:t>
      </w:r>
    </w:p>
    <w:p w14:paraId="0FDEECCF">
      <w:pPr>
        <w:pStyle w:val="4"/>
        <w:spacing w:before="240" w:after="120" w:line="360" w:lineRule="auto"/>
      </w:pPr>
      <w:r>
        <w:rPr>
          <w:rFonts w:ascii="黑体" w:hAnsi="黑体" w:eastAsia="黑体"/>
          <w:b/>
          <w:i w:val="0"/>
          <w:sz w:val="28"/>
        </w:rPr>
        <w:t>2 方法</w:t>
      </w:r>
    </w:p>
    <w:p w14:paraId="3FCD321F">
      <w:pPr>
        <w:pStyle w:val="5"/>
        <w:spacing w:before="120" w:after="120" w:line="360" w:lineRule="auto"/>
      </w:pPr>
      <w:r>
        <w:rPr>
          <w:rFonts w:ascii="黑体" w:hAnsi="黑体" w:eastAsia="黑体"/>
          <w:b/>
          <w:i w:val="0"/>
          <w:sz w:val="24"/>
        </w:rPr>
        <w:t>2.1 问题定义</w:t>
      </w:r>
    </w:p>
    <w:p w14:paraId="0D4254D3">
      <w:pPr>
        <w:pStyle w:val="30"/>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hAnsi="Consolas" w:eastAsia="Consolas" w:cs="Consolas"/>
          <w:i w:val="0"/>
          <w:caps w:val="0"/>
          <w:color w:val="0F1115"/>
          <w:spacing w:val="0"/>
          <w:sz w:val="13"/>
          <w:szCs w:val="13"/>
        </w:rPr>
      </w:pPr>
      <w:r>
        <w:rPr>
          <w:rFonts w:ascii="宋体" w:hAnsi="宋体" w:eastAsia="宋体"/>
          <w:b w:val="0"/>
          <w:i w:val="0"/>
          <w:sz w:val="24"/>
        </w:rPr>
        <w:t>设水质数据集</w:t>
      </w:r>
      <m:oMath>
        <m:r>
          <m:rPr/>
          <w:rPr>
            <w:rFonts w:hint="default" w:ascii="Cambria Math" w:hAnsi="Cambria Math" w:eastAsia="Consolas"/>
            <w:sz w:val="24"/>
          </w:rPr>
          <m:t>D=(</m:t>
        </m:r>
        <m:sSub>
          <m:sSubPr>
            <m:ctrlPr>
              <w:rPr>
                <w:rFonts w:hint="default" w:ascii="Cambria Math" w:hAnsi="Cambria Math" w:eastAsia="Consolas"/>
                <w:sz w:val="24"/>
              </w:rPr>
            </m:ctrlPr>
          </m:sSub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m:t>
        </m:r>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sSubSup>
          <m:sSubSupPr>
            <m:ctrlPr>
              <w:rPr>
                <w:rFonts w:hint="default" w:ascii="Cambria Math" w:hAnsi="Cambria Math" w:eastAsia="Consolas"/>
                <w:sz w:val="24"/>
              </w:rPr>
            </m:ctrlPr>
          </m:sSubSupPr>
          <m:e>
            <m:r>
              <m:rPr/>
              <w:rPr>
                <w:rFonts w:hint="default" w:ascii="Cambria Math" w:hAnsi="Cambria Math" w:eastAsia="Consolas"/>
                <w:sz w:val="24"/>
              </w:rPr>
              <m:t>)</m:t>
            </m:r>
            <m:ctrlPr>
              <w:rPr>
                <w:rFonts w:ascii="Cambria Math" w:hAnsi="Cambria Math" w:eastAsia="Consolas"/>
                <w:sz w:val="24"/>
              </w:rPr>
            </m:ctrlPr>
          </m:e>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sSubSup>
      </m:oMath>
      <w:r>
        <w:rPr>
          <w:rFonts w:ascii="宋体" w:hAnsi="宋体" w:eastAsia="宋体"/>
          <w:b w:val="0"/>
          <w:i w:val="0"/>
          <w:sz w:val="24"/>
        </w:rPr>
        <w:t>，其中</w:t>
      </w:r>
      <m:oMath>
        <m:sSub>
          <m:sSubPr>
            <m:ctrlPr>
              <w:rPr>
                <w:rFonts w:hint="default" w:ascii="Cambria Math" w:hAnsi="Cambria Math" w:eastAsia="Consolas"/>
                <w:sz w:val="24"/>
              </w:rPr>
            </m:ctrlPr>
          </m:sSub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m:t>
        </m:r>
        <m:sSup>
          <m:sSupPr>
            <m:ctrlPr>
              <w:rPr>
                <w:rFonts w:hint="default" w:ascii="Cambria Math" w:hAnsi="Cambria Math" w:eastAsia="Consolas"/>
                <w:sz w:val="24"/>
              </w:rPr>
            </m:ctrlPr>
          </m:sSupPr>
          <m:e>
            <m:r>
              <m:rPr>
                <m:scr m:val="double-struck"/>
              </m:rPr>
              <w:rPr>
                <w:rFonts w:hint="default" w:ascii="Cambria Math" w:hAnsi="Cambria Math" w:eastAsia="MS Mincho"/>
                <w:sz w:val="24"/>
              </w:rPr>
              <m:t>ℝ</m:t>
            </m:r>
            <m:ctrlPr>
              <w:rPr>
                <w:rFonts w:ascii="Cambria Math" w:hAnsi="Cambria Math" w:eastAsia="Consolas"/>
                <w:sz w:val="24"/>
              </w:rPr>
            </m:ctrlPr>
          </m:e>
          <m:sup>
            <m:r>
              <m:rPr/>
              <w:rPr>
                <w:rFonts w:hint="default" w:ascii="Cambria Math" w:hAnsi="Cambria Math" w:eastAsia="Consolas"/>
                <w:sz w:val="24"/>
              </w:rPr>
              <m:t>d</m:t>
            </m:r>
            <m:ctrlPr>
              <w:rPr>
                <w:rFonts w:ascii="Cambria Math" w:hAnsi="Cambria Math" w:eastAsia="Consolas"/>
                <w:sz w:val="24"/>
              </w:rPr>
            </m:ctrlPr>
          </m:sup>
        </m:sSup>
      </m:oMath>
    </w:p>
    <w:p w14:paraId="3931A299">
      <w:pPr>
        <w:pStyle w:val="30"/>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pPr>
      <w:r>
        <w:rPr>
          <w:rFonts w:ascii="宋体" w:hAnsi="宋体" w:eastAsia="宋体"/>
          <w:b w:val="0"/>
          <w:i w:val="0"/>
          <w:sz w:val="24"/>
        </w:rPr>
        <w:t>为d维水质特征向量，yᵢ ∈ ℝ为对应WQI值。本文采用单隐藏层全连接ANN作为预测模型，其超参数向量θ包含： - 隐藏层神经元数h ∈ [2, 20] - 激活函数类型a ∈ ReLU, tanh, sigmoid - L2正则化系数α ∈ [10⁻⁶, 10⁻¹]</w:t>
      </w:r>
    </w:p>
    <w:p w14:paraId="21C1FA13">
      <w:pPr>
        <w:spacing w:before="0" w:after="120" w:line="360" w:lineRule="auto"/>
        <w:ind w:firstLine="420"/>
        <w:rPr>
          <w:rFonts w:ascii="宋体" w:hAnsi="宋体" w:eastAsia="宋体"/>
          <w:b w:val="0"/>
          <w:i w:val="0"/>
          <w:sz w:val="24"/>
        </w:rPr>
      </w:pPr>
      <w:r>
        <w:rPr>
          <w:rFonts w:ascii="宋体" w:hAnsi="宋体" w:eastAsia="宋体"/>
          <w:b w:val="0"/>
          <w:i w:val="0"/>
          <w:sz w:val="24"/>
        </w:rPr>
        <w:t>超参数优化问题定义为最小化K折交叉验证均方误差：</w:t>
      </w:r>
    </w:p>
    <w:p w14:paraId="7C36EA79">
      <w:pPr>
        <w:spacing w:before="0" w:after="120" w:line="360" w:lineRule="auto"/>
        <w:ind w:firstLine="420"/>
        <w:rPr>
          <w:rFonts w:hint="eastAsia" w:hAnsi="Cambria Math" w:eastAsia="宋体" w:cstheme="minorBidi"/>
          <w:b w:val="0"/>
          <w:i w:val="0"/>
          <w:sz w:val="24"/>
          <w:szCs w:val="22"/>
          <w:lang w:val="en-US" w:eastAsia="en-US" w:bidi="ar-SA"/>
        </w:rPr>
      </w:pPr>
      <m:oMathPara>
        <m:oMath>
          <m:sSup>
            <m:sSupPr>
              <m:ctrlPr>
                <w:rPr>
                  <w:rFonts w:hint="default" w:ascii="Cambria Math" w:hAnsi="Cambria Math" w:eastAsia="宋体"/>
                  <w:sz w:val="24"/>
                </w:rPr>
              </m:ctrlPr>
            </m:sSupPr>
            <m:e>
              <m:r>
                <m:rPr/>
                <w:rPr>
                  <w:rFonts w:hint="default" w:ascii="Cambria Math" w:hAnsi="Cambria Math" w:eastAsia="宋体"/>
                  <w:sz w:val="24"/>
                </w:rPr>
                <m:t>θ</m:t>
              </m:r>
              <m:ctrlPr>
                <w:rPr>
                  <w:rFonts w:ascii="Cambria Math" w:hAnsi="Cambria Math" w:eastAsia="宋体"/>
                  <w:sz w:val="24"/>
                </w:rPr>
              </m:ctrlPr>
            </m:e>
            <m:sup>
              <m:r>
                <m:rPr/>
                <w:rPr>
                  <w:rFonts w:hint="default" w:ascii="Cambria Math" w:hAnsi="Cambria Math" w:eastAsia="宋体"/>
                  <w:sz w:val="24"/>
                </w:rPr>
                <m:t>∗</m:t>
              </m:r>
              <m:ctrlPr>
                <w:rPr>
                  <w:rFonts w:ascii="Cambria Math" w:hAnsi="Cambria Math" w:eastAsia="宋体"/>
                  <w:sz w:val="24"/>
                </w:rPr>
              </m:ctrlPr>
            </m:sup>
          </m:sSup>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arg</m:t>
              </m:r>
              <m:ctrlPr>
                <w:rPr>
                  <w:rFonts w:ascii="Cambria Math" w:hAnsi="Cambria Math" w:eastAsia="宋体"/>
                  <w:sz w:val="24"/>
                </w:rPr>
              </m:ctrlPr>
            </m:fName>
            <m:e>
              <m:func>
                <m:funcPr>
                  <m:ctrlPr>
                    <w:rPr>
                      <w:rFonts w:hint="default" w:ascii="Cambria Math" w:hAnsi="Cambria Math" w:eastAsia="宋体"/>
                      <w:sz w:val="24"/>
                    </w:rPr>
                  </m:ctrlPr>
                </m:funcPr>
                <m:fName>
                  <m:limLow>
                    <m:limLowPr>
                      <m:ctrlPr>
                        <w:rPr>
                          <w:rFonts w:hint="default" w:ascii="Cambria Math" w:hAnsi="Cambria Math" w:eastAsia="宋体"/>
                          <w:sz w:val="24"/>
                        </w:rPr>
                      </m:ctrlPr>
                    </m:limLowPr>
                    <m:e>
                      <m:r>
                        <m:rPr>
                          <m:sty m:val="p"/>
                        </m:rPr>
                        <w:rPr>
                          <w:rFonts w:hint="default" w:ascii="Cambria Math" w:hAnsi="Cambria Math" w:eastAsia="宋体"/>
                          <w:sz w:val="24"/>
                        </w:rPr>
                        <m:t>min</m:t>
                      </m:r>
                      <m:ctrlPr>
                        <w:rPr>
                          <w:rFonts w:ascii="Cambria Math" w:hAnsi="Cambria Math" w:eastAsia="宋体"/>
                          <w:sz w:val="24"/>
                        </w:rPr>
                      </m:ctrlPr>
                    </m:e>
                    <m:lim>
                      <m:r>
                        <m:rPr/>
                        <w:rPr>
                          <w:rFonts w:hint="default" w:ascii="Cambria Math" w:hAnsi="Cambria Math" w:eastAsia="宋体"/>
                          <w:sz w:val="24"/>
                        </w:rPr>
                        <m:t>θ</m:t>
                      </m:r>
                      <m:ctrlPr>
                        <w:rPr>
                          <w:rFonts w:ascii="Cambria Math" w:hAnsi="Cambria Math" w:eastAsia="宋体"/>
                          <w:sz w:val="24"/>
                        </w:rPr>
                      </m:ctrlPr>
                    </m:lim>
                  </m:limLow>
                  <m:ctrlPr>
                    <w:rPr>
                      <w:rFonts w:hint="default" w:ascii="Cambria Math" w:hAnsi="Cambria Math" w:eastAsia="宋体"/>
                      <w:sz w:val="24"/>
                    </w:rPr>
                  </m:ctrlPr>
                </m:fName>
                <m:e>
                  <m:ctrlPr>
                    <w:rPr>
                      <w:rFonts w:hint="default" w:ascii="Cambria Math" w:hAnsi="Cambria Math" w:eastAsia="宋体"/>
                      <w:sz w:val="24"/>
                    </w:rPr>
                  </m:ctrlPr>
                </m:e>
              </m:func>
              <m:ctrlPr>
                <w:rPr>
                  <w:rFonts w:hint="default" w:ascii="Cambria Math" w:hAnsi="Cambria Math" w:eastAsia="宋体"/>
                  <w:sz w:val="24"/>
                </w:rPr>
              </m:ctrlPr>
            </m:e>
          </m:func>
          <m:f>
            <m:fPr>
              <m:ctrlPr>
                <w:rPr>
                  <w:rFonts w:hint="default" w:ascii="Cambria Math" w:hAnsi="Cambria Math" w:eastAsia="宋体"/>
                  <w:sz w:val="24"/>
                </w:rPr>
              </m:ctrlPr>
            </m:fPr>
            <m:num>
              <m:r>
                <m:rPr/>
                <w:rPr>
                  <w:rFonts w:hint="default" w:ascii="Cambria Math" w:hAnsi="Cambria Math" w:eastAsia="宋体"/>
                  <w:sz w:val="24"/>
                </w:rPr>
                <m:t>1</m:t>
              </m:r>
              <m:ctrlPr>
                <w:rPr>
                  <w:rFonts w:hint="default" w:ascii="Cambria Math" w:hAnsi="Cambria Math" w:eastAsia="宋体"/>
                  <w:sz w:val="24"/>
                </w:rPr>
              </m:ctrlPr>
            </m:num>
            <m:den>
              <m:r>
                <m:rPr/>
                <w:rPr>
                  <w:rFonts w:hint="default" w:ascii="Cambria Math" w:hAnsi="Cambria Math" w:eastAsia="宋体"/>
                  <w:sz w:val="24"/>
                </w:rPr>
                <m:t>K</m:t>
              </m:r>
              <m:ctrlPr>
                <w:rPr>
                  <w:rFonts w:hint="default" w:ascii="Cambria Math" w:hAnsi="Cambria Math" w:eastAsia="宋体"/>
                  <w:sz w:val="24"/>
                </w:rPr>
              </m:ctrlPr>
            </m:den>
          </m:f>
          <m:nary>
            <m:naryPr>
              <m:chr m:val="∑"/>
              <m:limLoc m:val="subSup"/>
              <m:ctrlPr>
                <w:rPr>
                  <w:rFonts w:hint="default" w:ascii="Cambria Math" w:hAnsi="Cambria Math" w:eastAsia="宋体"/>
                  <w:sz w:val="24"/>
                </w:rPr>
              </m:ctrlPr>
            </m:naryPr>
            <m:sub>
              <m:r>
                <m:rPr/>
                <w:rPr>
                  <w:rFonts w:hint="default" w:ascii="Cambria Math" w:hAnsi="Cambria Math" w:eastAsia="宋体"/>
                  <w:sz w:val="24"/>
                </w:rPr>
                <m:t>k=1</m:t>
              </m:r>
              <m:ctrlPr>
                <w:rPr>
                  <w:rFonts w:hint="default" w:ascii="Cambria Math" w:hAnsi="Cambria Math" w:eastAsia="宋体"/>
                  <w:sz w:val="24"/>
                </w:rPr>
              </m:ctrlPr>
            </m:sub>
            <m:sup>
              <m:r>
                <m:rPr/>
                <w:rPr>
                  <w:rFonts w:hint="default" w:ascii="Cambria Math" w:hAnsi="Cambria Math" w:eastAsia="宋体"/>
                  <w:sz w:val="24"/>
                </w:rPr>
                <m:t>K</m:t>
              </m:r>
              <m:ctrlPr>
                <w:rPr>
                  <w:rFonts w:hint="default" w:ascii="Cambria Math" w:hAnsi="Cambria Math" w:eastAsia="宋体"/>
                  <w:sz w:val="24"/>
                </w:rPr>
              </m:ctrlPr>
            </m:sup>
            <m:e>
              <m:f>
                <m:fPr>
                  <m:ctrlPr>
                    <w:rPr>
                      <w:rFonts w:hint="default" w:ascii="Cambria Math" w:hAnsi="Cambria Math" w:eastAsia="宋体"/>
                      <w:sz w:val="24"/>
                    </w:rPr>
                  </m:ctrlPr>
                </m:fPr>
                <m:num>
                  <m:r>
                    <m:rPr/>
                    <w:rPr>
                      <w:rFonts w:hint="default" w:ascii="Cambria Math" w:hAnsi="Cambria Math" w:eastAsia="宋体"/>
                      <w:sz w:val="24"/>
                    </w:rPr>
                    <m:t>1</m:t>
                  </m:r>
                  <m:ctrlPr>
                    <w:rPr>
                      <w:rFonts w:hint="default" w:ascii="Cambria Math" w:hAnsi="Cambria Math" w:eastAsia="宋体"/>
                      <w:sz w:val="24"/>
                    </w:rPr>
                  </m:ctrlPr>
                </m:num>
                <m:den>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r>
                    <m:rPr/>
                    <w:rPr>
                      <w:rFonts w:hint="default" w:ascii="Cambria Math" w:hAnsi="Cambria Math" w:eastAsia="宋体"/>
                      <w:sz w:val="24"/>
                    </w:rPr>
                    <m:t>|</m:t>
                  </m:r>
                  <m:ctrlPr>
                    <w:rPr>
                      <w:rFonts w:hint="default" w:ascii="Cambria Math" w:hAnsi="Cambria Math" w:eastAsia="宋体"/>
                      <w:sz w:val="24"/>
                    </w:rPr>
                  </m:ctrlPr>
                </m:den>
              </m:f>
              <m:ctrlPr>
                <w:rPr>
                  <w:rFonts w:hint="default" w:ascii="Cambria Math" w:hAnsi="Cambria Math" w:eastAsia="宋体"/>
                  <w:sz w:val="24"/>
                </w:rPr>
              </m:ctrlPr>
            </m:e>
          </m:nary>
          <m:nary>
            <m:naryPr>
              <m:chr m:val="∑"/>
              <m:limLoc m:val="subSup"/>
              <m:supHide m:val="1"/>
              <m:ctrlPr>
                <w:rPr>
                  <w:rFonts w:hint="default" w:ascii="Cambria Math" w:hAnsi="Cambria Math" w:eastAsia="宋体"/>
                  <w:sz w:val="24"/>
                </w:rPr>
              </m:ctrlPr>
            </m:naryPr>
            <m:sub>
              <m:r>
                <m:rPr/>
                <w:rPr>
                  <w:rFonts w:hint="default" w:ascii="Cambria Math" w:hAnsi="Cambria Math" w:eastAsia="宋体"/>
                  <w:sz w:val="24"/>
                </w:rPr>
                <m:t>(x,y)∈</m:t>
              </m:r>
              <m:sSub>
                <m:sSubPr>
                  <m:ctrlPr>
                    <w:rPr>
                      <w:rFonts w:hint="default" w:ascii="Cambria Math" w:hAnsi="Cambria Math" w:eastAsia="宋体"/>
                      <w:sz w:val="24"/>
                    </w:rPr>
                  </m:ctrlPr>
                </m:sSubPr>
                <m:e>
                  <m:r>
                    <m:rPr/>
                    <w:rPr>
                      <w:rFonts w:hint="default" w:ascii="Cambria Math" w:hAnsi="Cambria Math" w:eastAsia="宋体"/>
                      <w:sz w:val="24"/>
                    </w:rPr>
                    <m:t>D</m:t>
                  </m:r>
                  <m:ctrlPr>
                    <w:rPr>
                      <w:rFonts w:hint="default" w:ascii="Cambria Math" w:hAnsi="Cambria Math" w:eastAsia="宋体"/>
                      <w:sz w:val="24"/>
                    </w:rPr>
                  </m:ctrlPr>
                </m:e>
                <m:sub>
                  <m:r>
                    <m:rPr/>
                    <w:rPr>
                      <w:rFonts w:hint="default" w:ascii="Cambria Math" w:hAnsi="Cambria Math" w:eastAsia="宋体"/>
                      <w:sz w:val="24"/>
                    </w:rPr>
                    <m:t>k</m:t>
                  </m:r>
                  <m:ctrlPr>
                    <w:rPr>
                      <w:rFonts w:hint="default" w:ascii="Cambria Math" w:hAnsi="Cambria Math" w:eastAsia="宋体"/>
                      <w:sz w:val="24"/>
                    </w:rPr>
                  </m:ctrlPr>
                </m:sub>
              </m:sSub>
              <m:ctrlPr>
                <w:rPr>
                  <w:rFonts w:hint="default" w:ascii="Cambria Math" w:hAnsi="Cambria Math" w:eastAsia="宋体"/>
                  <w:sz w:val="24"/>
                </w:rPr>
              </m:ctrlPr>
            </m:sub>
            <m:sup>
              <m:ctrlPr>
                <w:rPr>
                  <w:rFonts w:hint="default" w:ascii="Cambria Math" w:hAnsi="Cambria Math" w:eastAsia="宋体"/>
                  <w:sz w:val="24"/>
                </w:rPr>
              </m:ctrlPr>
            </m:sup>
            <m:e>
              <m:r>
                <m:rPr/>
                <w:rPr>
                  <w:rFonts w:hint="default" w:ascii="Cambria Math" w:hAnsi="Cambria Math" w:eastAsia="宋体"/>
                  <w:sz w:val="24"/>
                </w:rPr>
                <m:t>(</m:t>
              </m:r>
              <m:ctrlPr>
                <w:rPr>
                  <w:rFonts w:hint="default" w:ascii="Cambria Math" w:hAnsi="Cambria Math" w:eastAsia="宋体"/>
                  <w:sz w:val="24"/>
                </w:rPr>
              </m:ctrlPr>
            </m:e>
          </m:nary>
          <m:sSub>
            <m:sSubPr>
              <m:ctrlPr>
                <w:rPr>
                  <w:rFonts w:hint="default" w:ascii="Cambria Math" w:hAnsi="Cambria Math" w:eastAsia="宋体"/>
                  <w:sz w:val="24"/>
                </w:rPr>
              </m:ctrlPr>
            </m:sSubPr>
            <m:e>
              <m:acc>
                <m:accPr>
                  <m:ctrlPr>
                    <w:rPr>
                      <w:rFonts w:hint="default" w:ascii="Cambria Math" w:hAnsi="Cambria Math" w:eastAsia="宋体"/>
                      <w:sz w:val="24"/>
                    </w:rPr>
                  </m:ctrlPr>
                </m:accPr>
                <m:e>
                  <m:r>
                    <m:rPr/>
                    <w:rPr>
                      <w:rFonts w:hint="default" w:ascii="Cambria Math" w:hAnsi="Cambria Math" w:eastAsia="宋体"/>
                      <w:sz w:val="24"/>
                    </w:rPr>
                    <m:t>y</m:t>
                  </m:r>
                  <m:ctrlPr>
                    <w:rPr>
                      <w:rFonts w:hint="default"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k</m:t>
              </m:r>
              <m:ctrlPr>
                <w:rPr>
                  <w:rFonts w:hint="default" w:ascii="Cambria Math" w:hAnsi="Cambria Math" w:eastAsia="宋体"/>
                  <w:sz w:val="24"/>
                </w:rPr>
              </m:ctrlPr>
            </m:sub>
          </m:sSub>
          <m:r>
            <m:rPr/>
            <w:rPr>
              <w:rFonts w:hint="default" w:ascii="Cambria Math" w:hAnsi="Cambria Math" w:eastAsia="宋体"/>
              <w:sz w:val="24"/>
            </w:rPr>
            <m:t>(x;θ)−y</m:t>
          </m:r>
          <m:sSup>
            <m:sSupPr>
              <m:ctrlPr>
                <w:rPr>
                  <w:rFonts w:hint="default" w:ascii="Cambria Math" w:hAnsi="Cambria Math" w:eastAsia="宋体"/>
                  <w:sz w:val="24"/>
                </w:rPr>
              </m:ctrlPr>
            </m:sSupPr>
            <m:e>
              <m:r>
                <m:rPr/>
                <w:rPr>
                  <w:rFonts w:hint="default" w:ascii="Cambria Math" w:hAnsi="Cambria Math" w:eastAsia="宋体"/>
                  <w:sz w:val="24"/>
                </w:rPr>
                <m:t>)</m:t>
              </m:r>
              <m:ctrlPr>
                <w:rPr>
                  <w:rFonts w:hint="default" w:ascii="Cambria Math" w:hAnsi="Cambria Math" w:eastAsia="宋体"/>
                  <w:sz w:val="24"/>
                </w:rPr>
              </m:ctrlPr>
            </m:e>
            <m:sup>
              <m:r>
                <m:rPr/>
                <w:rPr>
                  <w:rFonts w:hint="default" w:ascii="Cambria Math" w:hAnsi="Cambria Math" w:eastAsia="宋体"/>
                  <w:sz w:val="24"/>
                </w:rPr>
                <m:t>2</m:t>
              </m:r>
              <m:ctrlPr>
                <w:rPr>
                  <w:rFonts w:hint="default" w:ascii="Cambria Math" w:hAnsi="Cambria Math" w:eastAsia="宋体"/>
                  <w:sz w:val="24"/>
                </w:rPr>
              </m:ctrlPr>
            </m:sup>
          </m:sSup>
        </m:oMath>
      </m:oMathPara>
    </w:p>
    <w:p w14:paraId="38115847">
      <w:pPr>
        <w:spacing w:before="0" w:after="120" w:line="360" w:lineRule="auto"/>
        <w:ind w:firstLine="420"/>
      </w:pPr>
      <w:r>
        <w:rPr>
          <w:rFonts w:ascii="宋体" w:hAnsi="宋体" w:eastAsia="宋体"/>
          <w:b w:val="0"/>
          <w:i w:val="0"/>
          <w:sz w:val="24"/>
        </w:rPr>
        <w:t>其中Dₖ为第k折验证集，ŷₖ为在剩余K-1折上训练后的ANN预测值。本文采用K=5折交叉验证。</w:t>
      </w:r>
    </w:p>
    <w:p w14:paraId="36442C52">
      <w:pPr>
        <w:pStyle w:val="5"/>
        <w:spacing w:before="120" w:after="120" w:line="360" w:lineRule="auto"/>
      </w:pPr>
      <w:r>
        <w:rPr>
          <w:rFonts w:ascii="黑体" w:hAnsi="黑体" w:eastAsia="黑体"/>
          <w:b/>
          <w:i w:val="0"/>
          <w:sz w:val="24"/>
        </w:rPr>
        <w:t>2.2 六种进化算法</w:t>
      </w:r>
    </w:p>
    <w:p w14:paraId="2E4AF1A1">
      <w:pPr>
        <w:spacing w:before="0" w:after="120" w:line="360" w:lineRule="auto"/>
        <w:ind w:firstLine="420"/>
      </w:pPr>
      <w:r>
        <w:rPr>
          <w:rFonts w:ascii="宋体" w:hAnsi="宋体" w:eastAsia="宋体"/>
          <w:b w:val="0"/>
          <w:i w:val="0"/>
          <w:sz w:val="24"/>
        </w:rPr>
        <w:t>为构建多样性充足的基预测器集合，选取六种搜索机理差异显著的进化算法，涵盖经典算法与2025-2026年最新算法。</w:t>
      </w:r>
    </w:p>
    <w:p w14:paraId="17857167">
      <w:pPr>
        <w:spacing w:before="0" w:after="120" w:line="360" w:lineRule="auto"/>
        <w:ind w:firstLine="420"/>
      </w:pPr>
      <w:r>
        <w:rPr>
          <w:rFonts w:ascii="宋体" w:hAnsi="宋体" w:eastAsia="宋体"/>
          <w:b/>
          <w:i w:val="0"/>
          <w:sz w:val="24"/>
        </w:rPr>
        <w:t>DE（Differential Evolution）</w:t>
      </w:r>
      <w:r>
        <w:rPr>
          <w:rFonts w:ascii="宋体" w:hAnsi="宋体" w:eastAsia="宋体"/>
          <w:b w:val="0"/>
          <w:i w:val="0"/>
          <w:sz w:val="24"/>
        </w:rPr>
        <w:t>[9]：经典差分进化算法，通过随机选择三个个体计算差分向量v = xᵣ₁ + F · (xᵣ₂ - xᵣ₃)，经交叉操作生成试验向量，以贪心策略择优保留。特点是结构简单、全局搜索能力强。</w:t>
      </w:r>
    </w:p>
    <w:p w14:paraId="4DBCE3C3">
      <w:pPr>
        <w:spacing w:before="0" w:after="120" w:line="360" w:lineRule="auto"/>
        <w:ind w:firstLine="420"/>
      </w:pPr>
      <w:r>
        <w:rPr>
          <w:rFonts w:ascii="宋体" w:hAnsi="宋体" w:eastAsia="宋体"/>
          <w:b/>
          <w:i w:val="0"/>
          <w:sz w:val="24"/>
        </w:rPr>
        <w:t>SHADE（Success-History Adaptive DE）</w:t>
      </w:r>
      <w:r>
        <w:rPr>
          <w:rFonts w:ascii="宋体" w:hAnsi="宋体" w:eastAsia="宋体"/>
          <w:b w:val="0"/>
          <w:i w:val="0"/>
          <w:sz w:val="24"/>
        </w:rPr>
        <w:t>[10]：在JADE基础上引入成功历史记忆机制，自适应调整变异因子F和交叉概率CR。通过维护H个历史参数的加权Lehmer均值，使算法在探索与开发间自动平衡。CEC竞赛常胜算法，收敛稳定性优异。</w:t>
      </w:r>
    </w:p>
    <w:p w14:paraId="6FFB95AA">
      <w:pPr>
        <w:spacing w:before="0" w:after="120" w:line="360" w:lineRule="auto"/>
        <w:ind w:firstLine="420"/>
      </w:pPr>
      <w:r>
        <w:rPr>
          <w:rFonts w:ascii="宋体" w:hAnsi="宋体" w:eastAsia="宋体"/>
          <w:b/>
          <w:i w:val="0"/>
          <w:sz w:val="24"/>
        </w:rPr>
        <w:t>CMA-ES（Covariance Matrix Adaptation Evolution Strategy）</w:t>
      </w:r>
      <w:r>
        <w:rPr>
          <w:rFonts w:ascii="宋体" w:hAnsi="宋体" w:eastAsia="宋体"/>
          <w:b w:val="0"/>
          <w:i w:val="0"/>
          <w:sz w:val="24"/>
        </w:rPr>
        <w:t>[11]：基于协方差矩阵自适应的进化策略。通过更新搜索分布的均值与协方差矩阵，实现类似二阶优化的搜索行为。无需手动调参，在连续优化问题上被视为最先进的进化算法之一。</w:t>
      </w:r>
    </w:p>
    <w:p w14:paraId="1C3B0CC0">
      <w:pPr>
        <w:spacing w:before="0" w:after="120" w:line="360" w:lineRule="auto"/>
        <w:ind w:firstLine="420"/>
      </w:pPr>
      <w:r>
        <w:rPr>
          <w:rFonts w:ascii="宋体" w:hAnsi="宋体" w:eastAsia="宋体"/>
          <w:b/>
          <w:i w:val="0"/>
          <w:sz w:val="24"/>
        </w:rPr>
        <w:t>NRBO（Newton-Raphson Based Optimizer）</w:t>
      </w:r>
      <w:r>
        <w:rPr>
          <w:rFonts w:ascii="宋体" w:hAnsi="宋体" w:eastAsia="宋体"/>
          <w:b w:val="0"/>
          <w:i w:val="0"/>
          <w:sz w:val="24"/>
        </w:rPr>
        <w:t>[12]：2024年新提出的优化器，结合牛顿-拉夫逊搜索规则（NRSR）与陷阱规避算子（TAO）。NRSR利用二阶导数信息加速收敛，TAO通过随机扰动帮助算法跳出局部最优。</w:t>
      </w:r>
    </w:p>
    <w:p w14:paraId="76E9605A">
      <w:pPr>
        <w:spacing w:before="0" w:after="120" w:line="360" w:lineRule="auto"/>
        <w:ind w:firstLine="420"/>
      </w:pPr>
      <w:r>
        <w:rPr>
          <w:rFonts w:ascii="宋体" w:hAnsi="宋体" w:eastAsia="宋体"/>
          <w:b/>
          <w:i w:val="0"/>
          <w:sz w:val="24"/>
        </w:rPr>
        <w:t>BOA（Baboon Optimization Algorithm）</w:t>
      </w:r>
      <w:r>
        <w:rPr>
          <w:rFonts w:ascii="宋体" w:hAnsi="宋体" w:eastAsia="宋体"/>
          <w:b w:val="0"/>
          <w:i w:val="0"/>
          <w:sz w:val="24"/>
        </w:rPr>
        <w:t>[13]：2026年发表于Knowledge-Based Systems（SCI Q1）的最新算法，模拟狒狒群体的舞动行为和社会等级机制。通过模拟支配等级、觅食行为和警戒机制，实现高效的探索与开发平衡。</w:t>
      </w:r>
    </w:p>
    <w:p w14:paraId="4EA4CF8A">
      <w:pPr>
        <w:spacing w:before="0" w:after="120" w:line="360" w:lineRule="auto"/>
        <w:ind w:firstLine="420"/>
      </w:pPr>
      <w:r>
        <w:rPr>
          <w:rFonts w:ascii="宋体" w:hAnsi="宋体" w:eastAsia="宋体"/>
          <w:b/>
          <w:i w:val="0"/>
          <w:sz w:val="24"/>
        </w:rPr>
        <w:t>HHO-Lite（Harris Hawks Optimization Lite）</w:t>
      </w:r>
      <w:r>
        <w:rPr>
          <w:rFonts w:ascii="宋体" w:hAnsi="宋体" w:eastAsia="宋体"/>
          <w:b w:val="0"/>
          <w:i w:val="0"/>
          <w:sz w:val="24"/>
        </w:rPr>
        <w:t>[14]：2025年发表于Knowledge-Based Systems（SCI Q1）的精简版哈里斯鹰优化算法，模拟鹰群围猎行为。精简版在保持搜索能力的同时显著提升计算效率，适合高维优化问题。</w:t>
      </w:r>
    </w:p>
    <w:p w14:paraId="269E7AAB">
      <w:pPr>
        <w:spacing w:before="0" w:after="120" w:line="360" w:lineRule="auto"/>
        <w:ind w:firstLine="420"/>
      </w:pPr>
      <w:r>
        <w:rPr>
          <w:rFonts w:ascii="宋体" w:hAnsi="宋体" w:eastAsia="宋体"/>
          <w:b w:val="0"/>
          <w:i w:val="0"/>
          <w:sz w:val="24"/>
        </w:rPr>
        <w:t>六种算法的搜索机理差异如表1所示。</w:t>
      </w:r>
    </w:p>
    <w:p w14:paraId="3A8BA004">
      <w:pPr>
        <w:spacing w:before="120" w:after="60" w:line="360" w:lineRule="auto"/>
        <w:jc w:val="center"/>
      </w:pPr>
      <w:r>
        <w:rPr>
          <w:rFonts w:ascii="黑体" w:hAnsi="黑体" w:eastAsia="黑体"/>
          <w:b w:val="0"/>
          <w:i w:val="0"/>
          <w:sz w:val="20"/>
        </w:rPr>
        <w:t>表1. 六种进化算法搜索机理对比</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5"/>
        <w:gridCol w:w="1385"/>
        <w:gridCol w:w="1385"/>
        <w:gridCol w:w="1385"/>
        <w:gridCol w:w="1385"/>
        <w:gridCol w:w="1385"/>
      </w:tblGrid>
      <w:tr w14:paraId="6A116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shd w:val="clear" w:color="auto" w:fill="D9E2F3"/>
          </w:tcPr>
          <w:p w14:paraId="2CCEE640">
            <w:pPr>
              <w:spacing w:after="0"/>
              <w:jc w:val="center"/>
            </w:pPr>
            <w:r>
              <w:rPr>
                <w:rFonts w:ascii="宋体" w:hAnsi="宋体" w:eastAsia="宋体"/>
                <w:b/>
                <w:i w:val="0"/>
                <w:sz w:val="20"/>
              </w:rPr>
              <w:t>算法</w:t>
            </w:r>
          </w:p>
        </w:tc>
        <w:tc>
          <w:tcPr>
            <w:tcW w:w="1385" w:type="dxa"/>
            <w:shd w:val="clear" w:color="auto" w:fill="D9E2F3"/>
          </w:tcPr>
          <w:p w14:paraId="0C69DC51">
            <w:pPr>
              <w:spacing w:after="0"/>
              <w:jc w:val="center"/>
            </w:pPr>
            <w:r>
              <w:rPr>
                <w:rFonts w:ascii="宋体" w:hAnsi="宋体" w:eastAsia="宋体"/>
                <w:b/>
                <w:i w:val="0"/>
                <w:sz w:val="20"/>
              </w:rPr>
              <w:t>搜索驱动</w:t>
            </w:r>
          </w:p>
        </w:tc>
        <w:tc>
          <w:tcPr>
            <w:tcW w:w="1385" w:type="dxa"/>
            <w:shd w:val="clear" w:color="auto" w:fill="D9E2F3"/>
          </w:tcPr>
          <w:p w14:paraId="35979F23">
            <w:pPr>
              <w:spacing w:after="0"/>
              <w:jc w:val="center"/>
            </w:pPr>
            <w:r>
              <w:rPr>
                <w:rFonts w:ascii="宋体" w:hAnsi="宋体" w:eastAsia="宋体"/>
                <w:b/>
                <w:i w:val="0"/>
                <w:sz w:val="20"/>
              </w:rPr>
              <w:t>参数自适应</w:t>
            </w:r>
          </w:p>
        </w:tc>
        <w:tc>
          <w:tcPr>
            <w:tcW w:w="1385" w:type="dxa"/>
            <w:shd w:val="clear" w:color="auto" w:fill="D9E2F3"/>
          </w:tcPr>
          <w:p w14:paraId="13300E15">
            <w:pPr>
              <w:spacing w:after="0"/>
              <w:jc w:val="center"/>
            </w:pPr>
            <w:r>
              <w:rPr>
                <w:rFonts w:ascii="宋体" w:hAnsi="宋体" w:eastAsia="宋体"/>
                <w:b/>
                <w:i w:val="0"/>
                <w:sz w:val="20"/>
              </w:rPr>
              <w:t>种群信息利用</w:t>
            </w:r>
          </w:p>
        </w:tc>
        <w:tc>
          <w:tcPr>
            <w:tcW w:w="1385" w:type="dxa"/>
            <w:shd w:val="clear" w:color="auto" w:fill="D9E2F3"/>
          </w:tcPr>
          <w:p w14:paraId="3F29E135">
            <w:pPr>
              <w:spacing w:after="0"/>
              <w:jc w:val="center"/>
            </w:pPr>
            <w:r>
              <w:rPr>
                <w:rFonts w:ascii="宋体" w:hAnsi="宋体" w:eastAsia="宋体"/>
                <w:b/>
                <w:i w:val="0"/>
                <w:sz w:val="20"/>
              </w:rPr>
              <w:t>年份</w:t>
            </w:r>
          </w:p>
        </w:tc>
        <w:tc>
          <w:tcPr>
            <w:tcW w:w="1385" w:type="dxa"/>
            <w:shd w:val="clear" w:color="auto" w:fill="D9E2F3"/>
          </w:tcPr>
          <w:p w14:paraId="16E940DF">
            <w:pPr>
              <w:spacing w:after="0"/>
              <w:jc w:val="center"/>
            </w:pPr>
            <w:r>
              <w:rPr>
                <w:rFonts w:ascii="宋体" w:hAnsi="宋体" w:eastAsia="宋体"/>
                <w:b/>
                <w:i w:val="0"/>
                <w:sz w:val="20"/>
              </w:rPr>
              <w:t>类型</w:t>
            </w:r>
          </w:p>
        </w:tc>
      </w:tr>
      <w:tr w14:paraId="61E06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762F77CB">
            <w:pPr>
              <w:spacing w:after="0"/>
              <w:jc w:val="center"/>
            </w:pPr>
            <w:r>
              <w:rPr>
                <w:rFonts w:ascii="宋体" w:hAnsi="宋体" w:eastAsia="宋体"/>
                <w:b w:val="0"/>
                <w:i w:val="0"/>
                <w:sz w:val="20"/>
              </w:rPr>
              <w:t>DE</w:t>
            </w:r>
          </w:p>
        </w:tc>
        <w:tc>
          <w:tcPr>
            <w:tcW w:w="1385" w:type="dxa"/>
          </w:tcPr>
          <w:p w14:paraId="31991C9B">
            <w:pPr>
              <w:spacing w:after="0"/>
              <w:jc w:val="center"/>
            </w:pPr>
            <w:r>
              <w:rPr>
                <w:rFonts w:ascii="宋体" w:hAnsi="宋体" w:eastAsia="宋体"/>
                <w:b w:val="0"/>
                <w:i w:val="0"/>
                <w:sz w:val="20"/>
              </w:rPr>
              <w:t>差分向量</w:t>
            </w:r>
          </w:p>
        </w:tc>
        <w:tc>
          <w:tcPr>
            <w:tcW w:w="1385" w:type="dxa"/>
          </w:tcPr>
          <w:p w14:paraId="76E54752">
            <w:pPr>
              <w:spacing w:after="0"/>
              <w:jc w:val="center"/>
            </w:pPr>
            <w:r>
              <w:rPr>
                <w:rFonts w:ascii="宋体" w:hAnsi="宋体" w:eastAsia="宋体"/>
                <w:b w:val="0"/>
                <w:i w:val="0"/>
                <w:sz w:val="20"/>
              </w:rPr>
              <w:t>固定F/CR</w:t>
            </w:r>
          </w:p>
        </w:tc>
        <w:tc>
          <w:tcPr>
            <w:tcW w:w="1385" w:type="dxa"/>
          </w:tcPr>
          <w:p w14:paraId="326C87B1">
            <w:pPr>
              <w:spacing w:after="0"/>
              <w:jc w:val="center"/>
            </w:pPr>
            <w:r>
              <w:rPr>
                <w:rFonts w:ascii="宋体" w:hAnsi="宋体" w:eastAsia="宋体"/>
                <w:b w:val="0"/>
                <w:i w:val="0"/>
                <w:sz w:val="20"/>
              </w:rPr>
              <w:t>随机个体</w:t>
            </w:r>
          </w:p>
        </w:tc>
        <w:tc>
          <w:tcPr>
            <w:tcW w:w="1385" w:type="dxa"/>
          </w:tcPr>
          <w:p w14:paraId="3413D76E">
            <w:pPr>
              <w:spacing w:after="0"/>
              <w:jc w:val="center"/>
            </w:pPr>
            <w:r>
              <w:rPr>
                <w:rFonts w:ascii="宋体" w:hAnsi="宋体" w:eastAsia="宋体"/>
                <w:b w:val="0"/>
                <w:i w:val="0"/>
                <w:sz w:val="20"/>
              </w:rPr>
              <w:t>1997</w:t>
            </w:r>
          </w:p>
        </w:tc>
        <w:tc>
          <w:tcPr>
            <w:tcW w:w="1385" w:type="dxa"/>
          </w:tcPr>
          <w:p w14:paraId="6D834C04">
            <w:pPr>
              <w:spacing w:after="0"/>
              <w:jc w:val="center"/>
            </w:pPr>
            <w:r>
              <w:rPr>
                <w:rFonts w:ascii="宋体" w:hAnsi="宋体" w:eastAsia="宋体"/>
                <w:b w:val="0"/>
                <w:i w:val="0"/>
                <w:sz w:val="20"/>
              </w:rPr>
              <w:t>DE家族</w:t>
            </w:r>
          </w:p>
        </w:tc>
      </w:tr>
      <w:tr w14:paraId="5087E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4DA1E194">
            <w:pPr>
              <w:spacing w:after="0"/>
              <w:jc w:val="center"/>
            </w:pPr>
            <w:r>
              <w:rPr>
                <w:rFonts w:ascii="宋体" w:hAnsi="宋体" w:eastAsia="宋体"/>
                <w:b w:val="0"/>
                <w:i w:val="0"/>
                <w:sz w:val="20"/>
              </w:rPr>
              <w:t>SHADE</w:t>
            </w:r>
          </w:p>
        </w:tc>
        <w:tc>
          <w:tcPr>
            <w:tcW w:w="1385" w:type="dxa"/>
          </w:tcPr>
          <w:p w14:paraId="3A6B1C29">
            <w:pPr>
              <w:spacing w:after="0"/>
              <w:jc w:val="center"/>
            </w:pPr>
            <w:r>
              <w:rPr>
                <w:rFonts w:ascii="宋体" w:hAnsi="宋体" w:eastAsia="宋体"/>
                <w:b w:val="0"/>
                <w:i w:val="0"/>
                <w:sz w:val="20"/>
              </w:rPr>
              <w:t>差分向量+历史记忆</w:t>
            </w:r>
          </w:p>
        </w:tc>
        <w:tc>
          <w:tcPr>
            <w:tcW w:w="1385" w:type="dxa"/>
          </w:tcPr>
          <w:p w14:paraId="08EDB82A">
            <w:pPr>
              <w:spacing w:after="0"/>
              <w:jc w:val="center"/>
            </w:pPr>
            <w:r>
              <w:rPr>
                <w:rFonts w:ascii="宋体" w:hAnsi="宋体" w:eastAsia="宋体"/>
                <w:b w:val="0"/>
                <w:i w:val="0"/>
                <w:sz w:val="20"/>
              </w:rPr>
              <w:t>自适应F/CR</w:t>
            </w:r>
          </w:p>
        </w:tc>
        <w:tc>
          <w:tcPr>
            <w:tcW w:w="1385" w:type="dxa"/>
          </w:tcPr>
          <w:p w14:paraId="0E6422E4">
            <w:pPr>
              <w:spacing w:after="0"/>
              <w:jc w:val="center"/>
            </w:pPr>
            <w:r>
              <w:rPr>
                <w:rFonts w:ascii="宋体" w:hAnsi="宋体" w:eastAsia="宋体"/>
                <w:b w:val="0"/>
                <w:i w:val="0"/>
                <w:sz w:val="20"/>
              </w:rPr>
              <w:t>成功历史</w:t>
            </w:r>
          </w:p>
        </w:tc>
        <w:tc>
          <w:tcPr>
            <w:tcW w:w="1385" w:type="dxa"/>
          </w:tcPr>
          <w:p w14:paraId="1BDEDFF1">
            <w:pPr>
              <w:spacing w:after="0"/>
              <w:jc w:val="center"/>
            </w:pPr>
            <w:r>
              <w:rPr>
                <w:rFonts w:ascii="宋体" w:hAnsi="宋体" w:eastAsia="宋体"/>
                <w:b w:val="0"/>
                <w:i w:val="0"/>
                <w:sz w:val="20"/>
              </w:rPr>
              <w:t>2013</w:t>
            </w:r>
          </w:p>
        </w:tc>
        <w:tc>
          <w:tcPr>
            <w:tcW w:w="1385" w:type="dxa"/>
          </w:tcPr>
          <w:p w14:paraId="5333B8ED">
            <w:pPr>
              <w:spacing w:after="0"/>
              <w:jc w:val="center"/>
            </w:pPr>
            <w:r>
              <w:rPr>
                <w:rFonts w:ascii="宋体" w:hAnsi="宋体" w:eastAsia="宋体"/>
                <w:b w:val="0"/>
                <w:i w:val="0"/>
                <w:sz w:val="20"/>
              </w:rPr>
              <w:t>DE家族</w:t>
            </w:r>
          </w:p>
        </w:tc>
      </w:tr>
      <w:tr w14:paraId="4C8B8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11317569">
            <w:pPr>
              <w:spacing w:after="0"/>
              <w:jc w:val="center"/>
            </w:pPr>
            <w:r>
              <w:rPr>
                <w:rFonts w:ascii="宋体" w:hAnsi="宋体" w:eastAsia="宋体"/>
                <w:b w:val="0"/>
                <w:i w:val="0"/>
                <w:sz w:val="20"/>
              </w:rPr>
              <w:t>CMA-ES</w:t>
            </w:r>
          </w:p>
        </w:tc>
        <w:tc>
          <w:tcPr>
            <w:tcW w:w="1385" w:type="dxa"/>
          </w:tcPr>
          <w:p w14:paraId="63DEAA98">
            <w:pPr>
              <w:spacing w:after="0"/>
              <w:jc w:val="center"/>
            </w:pPr>
            <w:r>
              <w:rPr>
                <w:rFonts w:ascii="宋体" w:hAnsi="宋体" w:eastAsia="宋体"/>
                <w:b w:val="0"/>
                <w:i w:val="0"/>
                <w:sz w:val="20"/>
              </w:rPr>
              <w:t>协方差矩阵</w:t>
            </w:r>
          </w:p>
        </w:tc>
        <w:tc>
          <w:tcPr>
            <w:tcW w:w="1385" w:type="dxa"/>
          </w:tcPr>
          <w:p w14:paraId="7ACF43FF">
            <w:pPr>
              <w:spacing w:after="0"/>
              <w:jc w:val="center"/>
            </w:pPr>
            <w:r>
              <w:rPr>
                <w:rFonts w:ascii="宋体" w:hAnsi="宋体" w:eastAsia="宋体"/>
                <w:b w:val="0"/>
                <w:i w:val="0"/>
                <w:sz w:val="20"/>
              </w:rPr>
              <w:t>自适应步长</w:t>
            </w:r>
          </w:p>
        </w:tc>
        <w:tc>
          <w:tcPr>
            <w:tcW w:w="1385" w:type="dxa"/>
          </w:tcPr>
          <w:p w14:paraId="7805DF97">
            <w:pPr>
              <w:spacing w:after="0"/>
              <w:jc w:val="center"/>
            </w:pPr>
            <w:r>
              <w:rPr>
                <w:rFonts w:ascii="宋体" w:hAnsi="宋体" w:eastAsia="宋体"/>
                <w:b w:val="0"/>
                <w:i w:val="0"/>
                <w:sz w:val="20"/>
              </w:rPr>
              <w:t>全种群分布</w:t>
            </w:r>
          </w:p>
        </w:tc>
        <w:tc>
          <w:tcPr>
            <w:tcW w:w="1385" w:type="dxa"/>
          </w:tcPr>
          <w:p w14:paraId="67500282">
            <w:pPr>
              <w:spacing w:after="0"/>
              <w:jc w:val="center"/>
            </w:pPr>
            <w:r>
              <w:rPr>
                <w:rFonts w:ascii="宋体" w:hAnsi="宋体" w:eastAsia="宋体"/>
                <w:b w:val="0"/>
                <w:i w:val="0"/>
                <w:sz w:val="20"/>
              </w:rPr>
              <w:t>2001</w:t>
            </w:r>
          </w:p>
        </w:tc>
        <w:tc>
          <w:tcPr>
            <w:tcW w:w="1385" w:type="dxa"/>
          </w:tcPr>
          <w:p w14:paraId="1B5763F1">
            <w:pPr>
              <w:spacing w:after="0"/>
              <w:jc w:val="center"/>
            </w:pPr>
            <w:r>
              <w:rPr>
                <w:rFonts w:ascii="宋体" w:hAnsi="宋体" w:eastAsia="宋体"/>
                <w:b w:val="0"/>
                <w:i w:val="0"/>
                <w:sz w:val="20"/>
              </w:rPr>
              <w:t>进化策略</w:t>
            </w:r>
          </w:p>
        </w:tc>
      </w:tr>
      <w:tr w14:paraId="7C129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75BBD2BF">
            <w:pPr>
              <w:spacing w:after="0"/>
              <w:jc w:val="center"/>
            </w:pPr>
            <w:r>
              <w:rPr>
                <w:rFonts w:ascii="宋体" w:hAnsi="宋体" w:eastAsia="宋体"/>
                <w:b w:val="0"/>
                <w:i w:val="0"/>
                <w:sz w:val="20"/>
              </w:rPr>
              <w:t>NRBO</w:t>
            </w:r>
          </w:p>
        </w:tc>
        <w:tc>
          <w:tcPr>
            <w:tcW w:w="1385" w:type="dxa"/>
          </w:tcPr>
          <w:p w14:paraId="6891D164">
            <w:pPr>
              <w:spacing w:after="0"/>
              <w:jc w:val="center"/>
            </w:pPr>
            <w:r>
              <w:rPr>
                <w:rFonts w:ascii="宋体" w:hAnsi="宋体" w:eastAsia="宋体"/>
                <w:b w:val="0"/>
                <w:i w:val="0"/>
                <w:sz w:val="20"/>
              </w:rPr>
              <w:t>二阶梯度近似+扰动</w:t>
            </w:r>
          </w:p>
        </w:tc>
        <w:tc>
          <w:tcPr>
            <w:tcW w:w="1385" w:type="dxa"/>
          </w:tcPr>
          <w:p w14:paraId="66925A99">
            <w:pPr>
              <w:spacing w:after="0"/>
              <w:jc w:val="center"/>
            </w:pPr>
            <w:r>
              <w:rPr>
                <w:rFonts w:ascii="宋体" w:hAnsi="宋体" w:eastAsia="宋体"/>
                <w:b w:val="0"/>
                <w:i w:val="0"/>
                <w:sz w:val="20"/>
              </w:rPr>
              <w:t>自适应步长</w:t>
            </w:r>
          </w:p>
        </w:tc>
        <w:tc>
          <w:tcPr>
            <w:tcW w:w="1385" w:type="dxa"/>
          </w:tcPr>
          <w:p w14:paraId="05EFB1D8">
            <w:pPr>
              <w:spacing w:after="0"/>
              <w:jc w:val="center"/>
            </w:pPr>
            <w:r>
              <w:rPr>
                <w:rFonts w:ascii="宋体" w:hAnsi="宋体" w:eastAsia="宋体"/>
                <w:b w:val="0"/>
                <w:i w:val="0"/>
                <w:sz w:val="20"/>
              </w:rPr>
              <w:t>梯度信息</w:t>
            </w:r>
          </w:p>
        </w:tc>
        <w:tc>
          <w:tcPr>
            <w:tcW w:w="1385" w:type="dxa"/>
          </w:tcPr>
          <w:p w14:paraId="18E16DCA">
            <w:pPr>
              <w:spacing w:after="0"/>
              <w:jc w:val="center"/>
            </w:pPr>
            <w:r>
              <w:rPr>
                <w:rFonts w:ascii="宋体" w:hAnsi="宋体" w:eastAsia="宋体"/>
                <w:b w:val="0"/>
                <w:i w:val="0"/>
                <w:sz w:val="20"/>
              </w:rPr>
              <w:t>2024</w:t>
            </w:r>
          </w:p>
        </w:tc>
        <w:tc>
          <w:tcPr>
            <w:tcW w:w="1385" w:type="dxa"/>
          </w:tcPr>
          <w:p w14:paraId="28B8DB20">
            <w:pPr>
              <w:spacing w:after="0"/>
              <w:jc w:val="center"/>
            </w:pPr>
            <w:r>
              <w:rPr>
                <w:rFonts w:ascii="宋体" w:hAnsi="宋体" w:eastAsia="宋体"/>
                <w:b w:val="0"/>
                <w:i w:val="0"/>
                <w:sz w:val="20"/>
              </w:rPr>
              <w:t>群智能</w:t>
            </w:r>
          </w:p>
        </w:tc>
      </w:tr>
      <w:tr w14:paraId="3AB39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0F941B29">
            <w:pPr>
              <w:spacing w:after="0"/>
              <w:jc w:val="center"/>
            </w:pPr>
            <w:r>
              <w:rPr>
                <w:rFonts w:ascii="宋体" w:hAnsi="宋体" w:eastAsia="宋体"/>
                <w:b w:val="0"/>
                <w:i w:val="0"/>
                <w:sz w:val="20"/>
              </w:rPr>
              <w:t>BOA</w:t>
            </w:r>
          </w:p>
        </w:tc>
        <w:tc>
          <w:tcPr>
            <w:tcW w:w="1385" w:type="dxa"/>
          </w:tcPr>
          <w:p w14:paraId="2D0D205C">
            <w:pPr>
              <w:spacing w:after="0"/>
              <w:jc w:val="center"/>
            </w:pPr>
            <w:r>
              <w:rPr>
                <w:rFonts w:ascii="宋体" w:hAnsi="宋体" w:eastAsia="宋体"/>
                <w:b w:val="0"/>
                <w:i w:val="0"/>
                <w:sz w:val="20"/>
              </w:rPr>
              <w:t>狒狒舞动行为模拟</w:t>
            </w:r>
          </w:p>
        </w:tc>
        <w:tc>
          <w:tcPr>
            <w:tcW w:w="1385" w:type="dxa"/>
          </w:tcPr>
          <w:p w14:paraId="5EB0C10E">
            <w:pPr>
              <w:spacing w:after="0"/>
              <w:jc w:val="center"/>
            </w:pPr>
            <w:r>
              <w:rPr>
                <w:rFonts w:ascii="宋体" w:hAnsi="宋体" w:eastAsia="宋体"/>
                <w:b w:val="0"/>
                <w:i w:val="0"/>
                <w:sz w:val="20"/>
              </w:rPr>
              <w:t>自适应参数</w:t>
            </w:r>
          </w:p>
        </w:tc>
        <w:tc>
          <w:tcPr>
            <w:tcW w:w="1385" w:type="dxa"/>
          </w:tcPr>
          <w:p w14:paraId="33E35B5B">
            <w:pPr>
              <w:spacing w:after="0"/>
              <w:jc w:val="center"/>
            </w:pPr>
            <w:r>
              <w:rPr>
                <w:rFonts w:ascii="宋体" w:hAnsi="宋体" w:eastAsia="宋体"/>
                <w:b w:val="0"/>
                <w:i w:val="0"/>
                <w:sz w:val="20"/>
              </w:rPr>
              <w:t>社会等级</w:t>
            </w:r>
          </w:p>
        </w:tc>
        <w:tc>
          <w:tcPr>
            <w:tcW w:w="1385" w:type="dxa"/>
          </w:tcPr>
          <w:p w14:paraId="5C7EE8DA">
            <w:pPr>
              <w:spacing w:after="0"/>
              <w:jc w:val="center"/>
            </w:pPr>
            <w:r>
              <w:rPr>
                <w:rFonts w:ascii="宋体" w:hAnsi="宋体" w:eastAsia="宋体"/>
                <w:b w:val="0"/>
                <w:i w:val="0"/>
                <w:sz w:val="20"/>
              </w:rPr>
              <w:t>2026</w:t>
            </w:r>
          </w:p>
        </w:tc>
        <w:tc>
          <w:tcPr>
            <w:tcW w:w="1385" w:type="dxa"/>
          </w:tcPr>
          <w:p w14:paraId="209572F4">
            <w:pPr>
              <w:spacing w:after="0"/>
              <w:jc w:val="center"/>
            </w:pPr>
            <w:r>
              <w:rPr>
                <w:rFonts w:ascii="宋体" w:hAnsi="宋体" w:eastAsia="宋体"/>
                <w:b w:val="0"/>
                <w:i w:val="0"/>
                <w:sz w:val="20"/>
              </w:rPr>
              <w:t>群智能</w:t>
            </w:r>
          </w:p>
        </w:tc>
      </w:tr>
      <w:tr w14:paraId="5CB54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5E187246">
            <w:pPr>
              <w:spacing w:after="0"/>
              <w:jc w:val="center"/>
            </w:pPr>
            <w:r>
              <w:rPr>
                <w:rFonts w:ascii="宋体" w:hAnsi="宋体" w:eastAsia="宋体"/>
                <w:b w:val="0"/>
                <w:i w:val="0"/>
                <w:sz w:val="20"/>
              </w:rPr>
              <w:t>HHO-Lite</w:t>
            </w:r>
          </w:p>
        </w:tc>
        <w:tc>
          <w:tcPr>
            <w:tcW w:w="1385" w:type="dxa"/>
          </w:tcPr>
          <w:p w14:paraId="2D81C983">
            <w:pPr>
              <w:spacing w:after="0"/>
              <w:jc w:val="center"/>
            </w:pPr>
            <w:r>
              <w:rPr>
                <w:rFonts w:ascii="宋体" w:hAnsi="宋体" w:eastAsia="宋体"/>
                <w:b w:val="0"/>
                <w:i w:val="0"/>
                <w:sz w:val="20"/>
              </w:rPr>
              <w:t>鹰群围猎行为模拟</w:t>
            </w:r>
          </w:p>
        </w:tc>
        <w:tc>
          <w:tcPr>
            <w:tcW w:w="1385" w:type="dxa"/>
          </w:tcPr>
          <w:p w14:paraId="1A57DD30">
            <w:pPr>
              <w:spacing w:after="0"/>
              <w:jc w:val="center"/>
            </w:pPr>
            <w:r>
              <w:rPr>
                <w:rFonts w:ascii="宋体" w:hAnsi="宋体" w:eastAsia="宋体"/>
                <w:b w:val="0"/>
                <w:i w:val="0"/>
                <w:sz w:val="20"/>
              </w:rPr>
              <w:t>自适应策略</w:t>
            </w:r>
          </w:p>
        </w:tc>
        <w:tc>
          <w:tcPr>
            <w:tcW w:w="1385" w:type="dxa"/>
          </w:tcPr>
          <w:p w14:paraId="2C9502FD">
            <w:pPr>
              <w:spacing w:after="0"/>
              <w:jc w:val="center"/>
            </w:pPr>
            <w:r>
              <w:rPr>
                <w:rFonts w:ascii="宋体" w:hAnsi="宋体" w:eastAsia="宋体"/>
                <w:b w:val="0"/>
                <w:i w:val="0"/>
                <w:sz w:val="20"/>
              </w:rPr>
              <w:t>捕食策略</w:t>
            </w:r>
          </w:p>
        </w:tc>
        <w:tc>
          <w:tcPr>
            <w:tcW w:w="1385" w:type="dxa"/>
          </w:tcPr>
          <w:p w14:paraId="6C9E768E">
            <w:pPr>
              <w:spacing w:after="0"/>
              <w:jc w:val="center"/>
            </w:pPr>
            <w:r>
              <w:rPr>
                <w:rFonts w:ascii="宋体" w:hAnsi="宋体" w:eastAsia="宋体"/>
                <w:b w:val="0"/>
                <w:i w:val="0"/>
                <w:sz w:val="20"/>
              </w:rPr>
              <w:t>2025</w:t>
            </w:r>
          </w:p>
        </w:tc>
        <w:tc>
          <w:tcPr>
            <w:tcW w:w="1385" w:type="dxa"/>
          </w:tcPr>
          <w:p w14:paraId="3D6EB023">
            <w:pPr>
              <w:spacing w:after="0"/>
              <w:jc w:val="center"/>
            </w:pPr>
            <w:r>
              <w:rPr>
                <w:rFonts w:ascii="宋体" w:hAnsi="宋体" w:eastAsia="宋体"/>
                <w:b w:val="0"/>
                <w:i w:val="0"/>
                <w:sz w:val="20"/>
              </w:rPr>
              <w:t>群智能</w:t>
            </w:r>
          </w:p>
        </w:tc>
      </w:tr>
    </w:tbl>
    <w:p w14:paraId="07F2A997"/>
    <w:p w14:paraId="6EFB6502">
      <w:pPr>
        <w:pStyle w:val="5"/>
        <w:spacing w:before="120" w:after="120" w:line="360" w:lineRule="auto"/>
      </w:pPr>
      <w:r>
        <w:rPr>
          <w:rFonts w:ascii="黑体" w:hAnsi="黑体" w:eastAsia="黑体"/>
          <w:b/>
          <w:i w:val="0"/>
          <w:sz w:val="24"/>
        </w:rPr>
        <w:t>2.3 加权平均集成策略</w:t>
      </w:r>
    </w:p>
    <w:p w14:paraId="31098093">
      <w:pPr>
        <w:spacing w:before="0" w:after="120" w:line="360" w:lineRule="auto"/>
        <w:ind w:firstLine="420"/>
      </w:pPr>
      <w:r>
        <w:rPr>
          <w:rFonts w:ascii="宋体" w:hAnsi="宋体" w:eastAsia="宋体"/>
          <w:b w:val="0"/>
          <w:i w:val="0"/>
          <w:sz w:val="24"/>
        </w:rPr>
        <w:t>集成学习的核心要求是基模型具备足够的</w:t>
      </w:r>
      <w:r>
        <w:rPr>
          <w:rFonts w:ascii="宋体" w:hAnsi="宋体" w:eastAsia="宋体"/>
          <w:b/>
          <w:i w:val="0"/>
          <w:sz w:val="24"/>
        </w:rPr>
        <w:t>个体精度</w:t>
      </w:r>
      <w:r>
        <w:rPr>
          <w:rFonts w:ascii="宋体" w:hAnsi="宋体" w:eastAsia="宋体"/>
          <w:b w:val="0"/>
          <w:i w:val="0"/>
          <w:sz w:val="24"/>
        </w:rPr>
        <w:t>与</w:t>
      </w:r>
      <w:r>
        <w:rPr>
          <w:rFonts w:ascii="宋体" w:hAnsi="宋体" w:eastAsia="宋体"/>
          <w:b/>
          <w:i w:val="0"/>
          <w:sz w:val="24"/>
        </w:rPr>
        <w:t>模型多样性</w:t>
      </w:r>
      <w:r>
        <w:rPr>
          <w:rFonts w:ascii="宋体" w:hAnsi="宋体" w:eastAsia="宋体"/>
          <w:b w:val="0"/>
          <w:i w:val="0"/>
          <w:sz w:val="24"/>
        </w:rPr>
        <w:t>[7]。本文六种算法均能独立完成有效的ANN超参数优化（R²CV均达到合理水平），且算法搜索机理差异显著（基于差分向量、协方差矩阵、群智能行为等多种原理），满足上述两个条件。</w:t>
      </w:r>
    </w:p>
    <w:p w14:paraId="691EEE76">
      <w:pPr>
        <w:spacing w:before="0" w:after="120" w:line="360" w:lineRule="auto"/>
        <w:ind w:firstLine="420"/>
      </w:pPr>
      <w:r>
        <w:rPr>
          <w:rFonts w:ascii="宋体" w:hAnsi="宋体" w:eastAsia="宋体"/>
          <w:b w:val="0"/>
          <w:i w:val="0"/>
          <w:sz w:val="24"/>
        </w:rPr>
        <w:t>给定M=6个基预测器，第j个基预测器在训练集上的交叉验证R²记为R²_CV,j，其集成权重wⱼ定义为：</w:t>
      </w:r>
    </w:p>
    <w:p w14:paraId="31D16547">
      <w:pPr>
        <w:spacing w:before="0" w:after="120" w:line="360" w:lineRule="auto"/>
        <w:ind w:firstLine="420"/>
      </w:pPr>
      <w:r>
        <w:rPr>
          <w:rFonts w:ascii="宋体" w:hAnsi="宋体" w:eastAsia="宋体"/>
          <w:b w:val="0"/>
          <w:i w:val="0"/>
          <w:sz w:val="24"/>
        </w:rPr>
        <w:t>wⱼ = (R²_CV,j)/(∑ₘ₌₁^M R²_CV,m)</w:t>
      </w:r>
    </w:p>
    <w:p w14:paraId="7777CAB1">
      <w:pPr>
        <w:spacing w:before="0" w:after="120" w:line="360" w:lineRule="auto"/>
        <w:ind w:firstLine="420"/>
      </w:pPr>
      <w:r>
        <w:rPr>
          <w:rFonts w:ascii="宋体" w:hAnsi="宋体" w:eastAsia="宋体"/>
          <w:b w:val="0"/>
          <w:i w:val="0"/>
          <w:sz w:val="24"/>
        </w:rPr>
        <w:t>即按R²CV归一化分配权重——验证性能越好的基模型获得越高的投票权。最终集成预测值为各基模型预测值的加权平均：</w:t>
      </w:r>
    </w:p>
    <w:p w14:paraId="1E4B034D">
      <w:pPr>
        <w:spacing w:before="0" w:after="120" w:line="360" w:lineRule="auto"/>
        <w:ind w:firstLine="420"/>
      </w:pPr>
      <w:r>
        <w:rPr>
          <w:rFonts w:ascii="宋体" w:hAnsi="宋体" w:eastAsia="宋体"/>
          <w:b w:val="0"/>
          <w:i w:val="0"/>
          <w:sz w:val="24"/>
        </w:rPr>
        <w:t>ŷ_ensemble = ∑ⱼ₌₁^M wⱼ · ŷⱼ</w:t>
      </w:r>
    </w:p>
    <w:p>
      <w:pPr/>
      <w:r>
        <w:t>为便于整体说明本文方法流程，图1展示了从数据准备、六种进化算法优化 ANN，到 WeightedAvg 集成与最终评估的完整框架。</w:t>
      </w:r>
    </w:p>
    <w:p>
      <w:pPr>
        <w:jc w:val="center"/>
      </w:pPr>
      <w:r>
        <w:t>图1. 所提多进化算法优化与加权集成框架示意图</w:t>
      </w:r>
    </w:p>
    <w:p>
      <w:pPr>
        <w:jc w:val="center"/>
      </w:pPr>
      <w:r>
        <w:drawing>
          <wp:inline xmlns:a="http://schemas.openxmlformats.org/drawingml/2006/main" xmlns:pic="http://schemas.openxmlformats.org/drawingml/2006/picture">
            <wp:extent cx="6126480" cy="3564497"/>
            <wp:docPr id="6" name="Picture 6"/>
            <wp:cNvGraphicFramePr>
              <a:graphicFrameLocks noChangeAspect="1"/>
            </wp:cNvGraphicFramePr>
            <a:graphic>
              <a:graphicData uri="http://schemas.openxmlformats.org/drawingml/2006/picture">
                <pic:pic>
                  <pic:nvPicPr>
                    <pic:cNvPr id="0" name="method_framework_polished.png"/>
                    <pic:cNvPicPr/>
                  </pic:nvPicPr>
                  <pic:blipFill>
                    <a:blip r:embed="rId19"/>
                    <a:stretch>
                      <a:fillRect/>
                    </a:stretch>
                  </pic:blipFill>
                  <pic:spPr>
                    <a:xfrm>
                      <a:off x="0" y="0"/>
                      <a:ext cx="6126480" cy="3564497"/>
                    </a:xfrm>
                    <a:prstGeom prst="rect"/>
                  </pic:spPr>
                </pic:pic>
              </a:graphicData>
            </a:graphic>
          </wp:inline>
        </w:drawing>
      </w:r>
    </w:p>
    <w:p w14:paraId="371DA245">
      <w:pPr>
        <w:spacing w:before="0" w:after="120" w:line="360" w:lineRule="auto"/>
        <w:ind w:firstLine="420"/>
      </w:pPr>
      <w:r>
        <w:rPr>
          <w:rFonts w:ascii="宋体" w:hAnsi="宋体" w:eastAsia="宋体"/>
          <w:b w:val="0"/>
          <w:i w:val="0"/>
          <w:sz w:val="24"/>
        </w:rPr>
        <w:t xml:space="preserve">该方法具有以下优势： - </w:t>
      </w:r>
      <w:r>
        <w:rPr>
          <w:rFonts w:ascii="宋体" w:hAnsi="宋体" w:eastAsia="宋体"/>
          <w:b/>
          <w:i w:val="0"/>
          <w:sz w:val="24"/>
        </w:rPr>
        <w:t>零额外训练</w:t>
      </w:r>
      <w:r>
        <w:rPr>
          <w:rFonts w:ascii="宋体" w:hAnsi="宋体" w:eastAsia="宋体"/>
          <w:b w:val="0"/>
          <w:i w:val="0"/>
          <w:sz w:val="24"/>
        </w:rPr>
        <w:t xml:space="preserve">：权重直接由R²CV计算，无需元学习器或迭代优化； - </w:t>
      </w:r>
      <w:r>
        <w:rPr>
          <w:rFonts w:ascii="宋体" w:hAnsi="宋体" w:eastAsia="宋体"/>
          <w:b/>
          <w:i w:val="0"/>
          <w:sz w:val="24"/>
        </w:rPr>
        <w:t>零超参数调优</w:t>
      </w:r>
      <w:r>
        <w:rPr>
          <w:rFonts w:ascii="宋体" w:hAnsi="宋体" w:eastAsia="宋体"/>
          <w:b w:val="0"/>
          <w:i w:val="0"/>
          <w:sz w:val="24"/>
        </w:rPr>
        <w:t xml:space="preserve">：无任何需手动设定的超参数； - </w:t>
      </w:r>
      <w:r>
        <w:rPr>
          <w:rFonts w:ascii="宋体" w:hAnsi="宋体" w:eastAsia="宋体"/>
          <w:b/>
          <w:i w:val="0"/>
          <w:sz w:val="24"/>
        </w:rPr>
        <w:t>可解释性强</w:t>
      </w:r>
      <w:r>
        <w:rPr>
          <w:rFonts w:ascii="宋体" w:hAnsi="宋体" w:eastAsia="宋体"/>
          <w:b w:val="0"/>
          <w:i w:val="0"/>
          <w:sz w:val="24"/>
        </w:rPr>
        <w:t>：权重直接反映各基模型的相对可靠性。</w:t>
      </w:r>
    </w:p>
    <w:p w14:paraId="60452228">
      <w:pPr>
        <w:spacing w:before="60" w:after="60" w:line="360" w:lineRule="auto"/>
        <w:ind w:firstLine="420"/>
      </w:pPr>
      <w:r>
        <w:rPr>
          <w:rFonts w:ascii="楷体" w:hAnsi="楷体" w:eastAsia="楷体"/>
          <w:b/>
          <w:i w:val="0"/>
          <w:sz w:val="22"/>
        </w:rPr>
        <w:t>集成原理</w:t>
      </w:r>
      <w:r>
        <w:rPr>
          <w:rFonts w:ascii="楷体" w:hAnsi="楷体" w:eastAsia="楷体"/>
          <w:b w:val="0"/>
          <w:i w:val="0"/>
          <w:sz w:val="22"/>
        </w:rPr>
        <w:t>：当各模型预测一致时，加权平均强化共识；当各模型预测不同时，性能好的模型权重更高，实现"多数服从优秀"的投票机制。</w:t>
      </w:r>
    </w:p>
    <w:p>
      <w:pPr>
        <w:pStyle w:val="4"/>
      </w:pPr>
      <w:r>
        <w:t>3 实验</w:t>
      </w:r>
    </w:p>
    <w:p>
      <w:pPr>
        <w:pStyle w:val="5"/>
      </w:pPr>
      <w:r>
        <w:t>3.1 数据集</w:t>
      </w:r>
    </w:p>
    <w:p>
      <w:pPr/>
      <w:r>
        <w:t>本文选取三个公开水质数据集开展实验，分别为 Jajpur-Groundwater、Irish-River-CCME 和 AKH-WQI。三个数据集在样本规模、特征维度以及 WQI 波动范围上存在明显差异，能够从不同复杂度层面检验所提方法的适用性与稳健性。其中，Jajpur-Groundwater 含 74 个样本和 12 个特征，是已有研究中较常用的经典基准数据集；Irish-River-CCME 含 501 个样本和 11 个特征，具有更大的样本规模；AKH-WQI 含 657 个样本和 10 个特征，其 WQI 波动范围最宽、标准差最高，预测难度也最大。整体上，这三个数据集构成了由“小样本经典基准”到“高变异复杂场景”的递进实验体系。</w:t>
      </w:r>
    </w:p>
    <w:p>
      <w:pPr>
        <w:pStyle w:val="5"/>
      </w:pPr>
      <w:r>
        <w:t>3.2 评价指标</w:t>
      </w:r>
    </w:p>
    <w:p>
      <w:pPr/>
      <w:r>
        <w:t>本文采用 R²、R²CV、RMSE 和 MAE 评价模型性能。其中，R² 用于衡量模型拟合能力，R²CV 用于刻画交叉验证条件下的泛化性能，也是本文比较单算法与集成方法的核心指标；RMSE 和 MAE 则从误差角度反映预测偏差。进一步地，本文采用 Pearson 相关系数量化不同基模型之间的预测一致性，以表征算法分歧度；同时，以同一样本上各基模型预测值标准差的均值衡量整体预测离散程度，并采用 Wilcoxon 符号秩检验与 Friedman 检验评估集成结果的统计显著性。</w:t>
      </w:r>
    </w:p>
    <w:p>
      <w:pPr>
        <w:pStyle w:val="5"/>
      </w:pPr>
      <w:r>
        <w:t>3.3 单算法结果</w:t>
      </w:r>
    </w:p>
    <w:p>
      <w:pPr>
        <w:pStyle w:val="5"/>
      </w:pPr>
      <w:r>
        <w:t>3.3.1 Jajpur-Groundwater 单算法结果分析</w:t>
      </w:r>
    </w:p>
    <w:p>
      <w:pPr/>
      <w:r>
        <w:t>Jajpur-Groundwater 是本文的核心对照数据集，因此首先对其单算法结果进行分析。表 5 汇总了六种进化算法及 Bayesian 基线在该数据集上的表现。总体来看，各优化器均取得了较高的预测精度，表明 ANN 在该经典 WQI 任务上具有较强的可建模性。</w:t>
      </w:r>
    </w:p>
    <w:p>
      <w:pPr/>
      <w:r>
        <w:t>表5. Jajpur-Groundwater 数据集上的单算法结果</w:t>
      </w:r>
    </w:p>
    <w:tbl>
      <w:tblPr>
        <w:tblStyle w:val="34"/>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b/>
              </w:rPr>
              <w:t>方法</w:t>
            </w:r>
          </w:p>
        </w:tc>
        <w:tc>
          <w:tcPr>
            <w:tcW w:type="dxa" w:w="1385"/>
          </w:tcPr>
          <w:p>
            <w:r>
              <w:rPr>
                <w:b/>
              </w:rPr>
              <w:t>R²</w:t>
            </w:r>
          </w:p>
        </w:tc>
        <w:tc>
          <w:tcPr>
            <w:tcW w:type="dxa" w:w="1385"/>
          </w:tcPr>
          <w:p>
            <w:r>
              <w:rPr>
                <w:b/>
              </w:rPr>
              <w:t>R²CV</w:t>
            </w:r>
          </w:p>
        </w:tc>
        <w:tc>
          <w:tcPr>
            <w:tcW w:type="dxa" w:w="1385"/>
          </w:tcPr>
          <w:p>
            <w:r>
              <w:rPr>
                <w:b/>
              </w:rPr>
              <w:t>RMSE</w:t>
            </w:r>
          </w:p>
        </w:tc>
        <w:tc>
          <w:tcPr>
            <w:tcW w:type="dxa" w:w="1385"/>
          </w:tcPr>
          <w:p>
            <w:r>
              <w:rPr>
                <w:b/>
              </w:rPr>
              <w:t>MAE</w:t>
            </w:r>
          </w:p>
        </w:tc>
        <w:tc>
          <w:tcPr>
            <w:tcW w:type="dxa" w:w="1385"/>
          </w:tcPr>
          <w:p>
            <w:r>
              <w:rPr>
                <w:b/>
              </w:rPr>
              <w:t>Time(s)</w:t>
            </w:r>
          </w:p>
        </w:tc>
      </w:tr>
      <w:tr>
        <w:tc>
          <w:tcPr>
            <w:tcW w:type="dxa" w:w="1385"/>
          </w:tcPr>
          <w:p>
            <w:r>
              <w:t>DE</w:t>
            </w:r>
          </w:p>
        </w:tc>
        <w:tc>
          <w:tcPr>
            <w:tcW w:type="dxa" w:w="1385"/>
          </w:tcPr>
          <w:p>
            <w:r>
              <w:t>0.9988</w:t>
            </w:r>
          </w:p>
        </w:tc>
        <w:tc>
          <w:tcPr>
            <w:tcW w:type="dxa" w:w="1385"/>
          </w:tcPr>
          <w:p>
            <w:r>
              <w:t>0.9895</w:t>
            </w:r>
          </w:p>
        </w:tc>
        <w:tc>
          <w:tcPr>
            <w:tcW w:type="dxa" w:w="1385"/>
          </w:tcPr>
          <w:p>
            <w:r>
              <w:t>0.4542</w:t>
            </w:r>
          </w:p>
        </w:tc>
        <w:tc>
          <w:tcPr>
            <w:tcW w:type="dxa" w:w="1385"/>
          </w:tcPr>
          <w:p>
            <w:r>
              <w:t>0.2511</w:t>
            </w:r>
          </w:p>
        </w:tc>
        <w:tc>
          <w:tcPr>
            <w:tcW w:type="dxa" w:w="1385"/>
          </w:tcPr>
          <w:p>
            <w:r>
              <w:t>23.85</w:t>
            </w:r>
          </w:p>
        </w:tc>
      </w:tr>
      <w:tr>
        <w:tc>
          <w:tcPr>
            <w:tcW w:type="dxa" w:w="1385"/>
          </w:tcPr>
          <w:p>
            <w:r>
              <w:t>SHADE</w:t>
            </w:r>
          </w:p>
        </w:tc>
        <w:tc>
          <w:tcPr>
            <w:tcW w:type="dxa" w:w="1385"/>
          </w:tcPr>
          <w:p>
            <w:r>
              <w:t>0.9987</w:t>
            </w:r>
          </w:p>
        </w:tc>
        <w:tc>
          <w:tcPr>
            <w:tcW w:type="dxa" w:w="1385"/>
          </w:tcPr>
          <w:p>
            <w:r>
              <w:t>0.9865</w:t>
            </w:r>
          </w:p>
        </w:tc>
        <w:tc>
          <w:tcPr>
            <w:tcW w:type="dxa" w:w="1385"/>
          </w:tcPr>
          <w:p>
            <w:r>
              <w:t>0.4787</w:t>
            </w:r>
          </w:p>
        </w:tc>
        <w:tc>
          <w:tcPr>
            <w:tcW w:type="dxa" w:w="1385"/>
          </w:tcPr>
          <w:p>
            <w:r>
              <w:t>0.3001</w:t>
            </w:r>
          </w:p>
        </w:tc>
        <w:tc>
          <w:tcPr>
            <w:tcW w:type="dxa" w:w="1385"/>
          </w:tcPr>
          <w:p>
            <w:r>
              <w:t>16.42</w:t>
            </w:r>
          </w:p>
        </w:tc>
      </w:tr>
      <w:tr>
        <w:tc>
          <w:tcPr>
            <w:tcW w:type="dxa" w:w="1385"/>
          </w:tcPr>
          <w:p>
            <w:r>
              <w:t>CMA-ES</w:t>
            </w:r>
          </w:p>
        </w:tc>
        <w:tc>
          <w:tcPr>
            <w:tcW w:type="dxa" w:w="1385"/>
          </w:tcPr>
          <w:p>
            <w:r>
              <w:t>0.9988</w:t>
            </w:r>
          </w:p>
        </w:tc>
        <w:tc>
          <w:tcPr>
            <w:tcW w:type="dxa" w:w="1385"/>
          </w:tcPr>
          <w:p>
            <w:r>
              <w:t>0.9896</w:t>
            </w:r>
          </w:p>
        </w:tc>
        <w:tc>
          <w:tcPr>
            <w:tcW w:type="dxa" w:w="1385"/>
          </w:tcPr>
          <w:p>
            <w:r>
              <w:t>0.4541</w:t>
            </w:r>
          </w:p>
        </w:tc>
        <w:tc>
          <w:tcPr>
            <w:tcW w:type="dxa" w:w="1385"/>
          </w:tcPr>
          <w:p>
            <w:r>
              <w:t>0.2487</w:t>
            </w:r>
          </w:p>
        </w:tc>
        <w:tc>
          <w:tcPr>
            <w:tcW w:type="dxa" w:w="1385"/>
          </w:tcPr>
          <w:p>
            <w:r>
              <w:t>9.14</w:t>
            </w:r>
          </w:p>
        </w:tc>
      </w:tr>
      <w:tr>
        <w:tc>
          <w:tcPr>
            <w:tcW w:type="dxa" w:w="1385"/>
          </w:tcPr>
          <w:p>
            <w:r>
              <w:t>NRBO</w:t>
            </w:r>
          </w:p>
        </w:tc>
        <w:tc>
          <w:tcPr>
            <w:tcW w:type="dxa" w:w="1385"/>
          </w:tcPr>
          <w:p>
            <w:r>
              <w:t>0.9999</w:t>
            </w:r>
          </w:p>
        </w:tc>
        <w:tc>
          <w:tcPr>
            <w:tcW w:type="dxa" w:w="1385"/>
          </w:tcPr>
          <w:p>
            <w:r>
              <w:t>0.9878</w:t>
            </w:r>
          </w:p>
        </w:tc>
        <w:tc>
          <w:tcPr>
            <w:tcW w:type="dxa" w:w="1385"/>
          </w:tcPr>
          <w:p>
            <w:r>
              <w:t>0.1521</w:t>
            </w:r>
          </w:p>
        </w:tc>
        <w:tc>
          <w:tcPr>
            <w:tcW w:type="dxa" w:w="1385"/>
          </w:tcPr>
          <w:p>
            <w:r>
              <w:t>0.0994</w:t>
            </w:r>
          </w:p>
        </w:tc>
        <w:tc>
          <w:tcPr>
            <w:tcW w:type="dxa" w:w="1385"/>
          </w:tcPr>
          <w:p>
            <w:r>
              <w:t>10.23</w:t>
            </w:r>
          </w:p>
        </w:tc>
      </w:tr>
      <w:tr>
        <w:tc>
          <w:tcPr>
            <w:tcW w:type="dxa" w:w="1385"/>
          </w:tcPr>
          <w:p>
            <w:r>
              <w:t>BOA</w:t>
            </w:r>
          </w:p>
        </w:tc>
        <w:tc>
          <w:tcPr>
            <w:tcW w:type="dxa" w:w="1385"/>
          </w:tcPr>
          <w:p>
            <w:r>
              <w:t>0.9999</w:t>
            </w:r>
          </w:p>
        </w:tc>
        <w:tc>
          <w:tcPr>
            <w:tcW w:type="dxa" w:w="1385"/>
          </w:tcPr>
          <w:p>
            <w:r>
              <w:t>0.9910</w:t>
            </w:r>
          </w:p>
        </w:tc>
        <w:tc>
          <w:tcPr>
            <w:tcW w:type="dxa" w:w="1385"/>
          </w:tcPr>
          <w:p>
            <w:r>
              <w:t>0.1312</w:t>
            </w:r>
          </w:p>
        </w:tc>
        <w:tc>
          <w:tcPr>
            <w:tcW w:type="dxa" w:w="1385"/>
          </w:tcPr>
          <w:p>
            <w:r>
              <w:t>0.1047</w:t>
            </w:r>
          </w:p>
        </w:tc>
        <w:tc>
          <w:tcPr>
            <w:tcW w:type="dxa" w:w="1385"/>
          </w:tcPr>
          <w:p>
            <w:r>
              <w:t>9.93</w:t>
            </w:r>
          </w:p>
        </w:tc>
      </w:tr>
      <w:tr>
        <w:tc>
          <w:tcPr>
            <w:tcW w:type="dxa" w:w="1385"/>
          </w:tcPr>
          <w:p>
            <w:r>
              <w:t>HHO-Lite</w:t>
            </w:r>
          </w:p>
        </w:tc>
        <w:tc>
          <w:tcPr>
            <w:tcW w:type="dxa" w:w="1385"/>
          </w:tcPr>
          <w:p>
            <w:r>
              <w:t>1.0000</w:t>
            </w:r>
          </w:p>
        </w:tc>
        <w:tc>
          <w:tcPr>
            <w:tcW w:type="dxa" w:w="1385"/>
          </w:tcPr>
          <w:p>
            <w:r>
              <w:t>0.9921</w:t>
            </w:r>
          </w:p>
        </w:tc>
        <w:tc>
          <w:tcPr>
            <w:tcW w:type="dxa" w:w="1385"/>
          </w:tcPr>
          <w:p>
            <w:r>
              <w:t>0.0113</w:t>
            </w:r>
          </w:p>
        </w:tc>
        <w:tc>
          <w:tcPr>
            <w:tcW w:type="dxa" w:w="1385"/>
          </w:tcPr>
          <w:p>
            <w:r>
              <w:t>0.0051</w:t>
            </w:r>
          </w:p>
        </w:tc>
        <w:tc>
          <w:tcPr>
            <w:tcW w:type="dxa" w:w="1385"/>
          </w:tcPr>
          <w:p>
            <w:r>
              <w:t>9.94</w:t>
            </w:r>
          </w:p>
        </w:tc>
      </w:tr>
      <w:tr>
        <w:tc>
          <w:tcPr>
            <w:tcW w:type="dxa" w:w="1385"/>
          </w:tcPr>
          <w:p>
            <w:r>
              <w:t>Bayesian</w:t>
            </w:r>
          </w:p>
        </w:tc>
        <w:tc>
          <w:tcPr>
            <w:tcW w:type="dxa" w:w="1385"/>
          </w:tcPr>
          <w:p>
            <w:r>
              <w:t>1.0000</w:t>
            </w:r>
          </w:p>
        </w:tc>
        <w:tc>
          <w:tcPr>
            <w:tcW w:type="dxa" w:w="1385"/>
          </w:tcPr>
          <w:p>
            <w:r>
              <w:t>0.9910</w:t>
            </w:r>
          </w:p>
        </w:tc>
        <w:tc>
          <w:tcPr>
            <w:tcW w:type="dxa" w:w="1385"/>
          </w:tcPr>
          <w:p>
            <w:r>
              <w:t>0.0137</w:t>
            </w:r>
          </w:p>
        </w:tc>
        <w:tc>
          <w:tcPr>
            <w:tcW w:type="dxa" w:w="1385"/>
          </w:tcPr>
          <w:p>
            <w:r>
              <w:t>0.0062</w:t>
            </w:r>
          </w:p>
        </w:tc>
        <w:tc>
          <w:tcPr>
            <w:tcW w:type="dxa" w:w="1385"/>
          </w:tcPr>
          <w:p>
            <w:r>
              <w:t>5.35</w:t>
            </w:r>
          </w:p>
        </w:tc>
      </w:tr>
    </w:tbl>
    <w:p>
      <w:pPr/>
      <w:r>
        <w:t>从 R²CV 来看，HHO-Lite 表现最佳，达到 0.9921；BOA 和 Bayesian 均约为 0.9910，DE 与 CMA-ES 分别为 0.9895 和 0.9896，SHADE 和 NRBO 略低，但整体仍保持在 0.9865 以上。该结果表明，不同优化器虽然存在差异，但均能将 ANN 调整到较高水平。换言之，Jajpur-Groundwater 具有明显的高基线特征，这意味着若集成方法仍能带来改进，则更能体现方法设计本身的有效性。</w:t>
      </w:r>
    </w:p>
    <w:p>
      <w:pPr/>
      <w:r>
        <w:t>为了更直观地比较单算法在三个数据集上的整体表现，图1 给出了跨数据集的 R²CV 对比结果。可以发现，Jajpur-Groundwater 上各单算法的柱高极为接近，这与表 5 的数值结果一致；而 AKH-WQI 上不同算法之间的差异明显增大，说明在高难度场景中单一优化器更难维持稳定优势。</w:t>
      </w:r>
    </w:p>
    <w:p>
      <w:pPr>
        <w:jc w:val="center"/>
      </w:pPr>
      <w:r>
        <w:drawing>
          <wp:inline xmlns:a="http://schemas.openxmlformats.org/drawingml/2006/main" xmlns:pic="http://schemas.openxmlformats.org/drawingml/2006/picture">
            <wp:extent cx="5669280" cy="1767776"/>
            <wp:docPr id="1" name="Picture 1"/>
            <wp:cNvGraphicFramePr>
              <a:graphicFrameLocks noChangeAspect="1"/>
            </wp:cNvGraphicFramePr>
            <a:graphic>
              <a:graphicData uri="http://schemas.openxmlformats.org/drawingml/2006/picture">
                <pic:pic>
                  <pic:nvPicPr>
                    <pic:cNvPr id="0" name="fig_composite_r2cv.png"/>
                    <pic:cNvPicPr/>
                  </pic:nvPicPr>
                  <pic:blipFill>
                    <a:blip r:embed="rId14"/>
                    <a:stretch>
                      <a:fillRect/>
                    </a:stretch>
                  </pic:blipFill>
                  <pic:spPr>
                    <a:xfrm>
                      <a:off x="0" y="0"/>
                      <a:ext cx="5669280" cy="1767776"/>
                    </a:xfrm>
                    <a:prstGeom prst="rect"/>
                  </pic:spPr>
                </pic:pic>
              </a:graphicData>
            </a:graphic>
          </wp:inline>
        </w:drawing>
      </w:r>
    </w:p>
    <w:p>
      <w:pPr>
        <w:jc w:val="center"/>
      </w:pPr>
      <w:r>
        <w:t>图1. 单算法 R²CV 跨数据集对比图</w:t>
      </w:r>
    </w:p>
    <w:p>
      <w:pPr/>
      <w:r>
        <w:t>图1 还表明，Jajpur-Groundwater 上的单算法结果最为集中，而 AKH-WQI 上的结果分化最为明显。这一差异为后文讨论数据集难度、算法互补性及集成增益来源提供了重要线索。</w:t>
      </w:r>
    </w:p>
    <w:p>
      <w:pPr>
        <w:pStyle w:val="5"/>
      </w:pPr>
      <w:r>
        <w:t>3.3.2 跨数据集对比分析</w:t>
      </w:r>
    </w:p>
    <w:p>
      <w:pPr/>
      <w:r>
        <w:t>从跨数据集结果来看，并不存在一个统一最优的单一优化器。Jajpur-Groundwater 上最佳单算法为 HHO-Lite（R^2_{CV}=0.9921），Irish-River-CCME 上最佳单算法为 BOA（R^2_{CV}=0.9590），AKH-WQI 上最佳单算法为 CMA-ES（R^2_{CV}=0.7523）。这说明，不同数据分布、样本规模以及 WQI 波动特征会改变优化器的相对优势，单一算法难以在所有任务中保持稳定领先。</w:t>
      </w:r>
    </w:p>
    <w:p>
      <w:pPr/>
      <w:r>
        <w:t>进一步地，Jajpur-Groundwater 的单算法结果最集中，Irish-River-CCME 存在一定分化，而 AKH-WQI 的单算法波动最大，表明其建模难度最高。因此，采用多种差异化优化器构建基模型集合具有充分动机。</w:t>
      </w:r>
    </w:p>
    <w:p>
      <w:pPr>
        <w:pStyle w:val="5"/>
      </w:pPr>
      <w:r>
        <w:t>3.4 集成结果</w:t>
      </w:r>
    </w:p>
    <w:p>
      <w:pPr>
        <w:pStyle w:val="5"/>
      </w:pPr>
      <w:r>
        <w:t>3.4.1 Jajpur-Groundwater 集成结果分析</w:t>
      </w:r>
    </w:p>
    <w:p>
      <w:pPr/>
      <w:r>
        <w:t>在 Jajpur-Groundwater 数据集上，WeightedAvg 集成将最佳单算法的 R²CV 由 0.9921 提升至 0.9998，绝对提升 0.77 个百分点。考虑到该数据集上单算法本身已非常接近最优，这一增幅虽然有限，但仍具有明确意义，即在高基线、低分歧的经典任务上，多算法加权集成依然能够带来额外收益。</w:t>
      </w:r>
    </w:p>
    <w:p>
      <w:pPr/>
      <w:r>
        <w:t>为了进一步说明集成模型在 Jajpur-Groundwater 上的预测行为，图2 给出了集成预测值与真实值之间的散点分布。大多数样本点分布于对角线附近，表明集成模型在整体趋势上具有较好的拟合一致性；少数偏离对角线的样本则提示，整体泛化指标的提升并不意味着所有样本上的局部误差都会同步下降，这也为后文统计检验部分的讨论提供了直观依据。</w:t>
      </w:r>
    </w:p>
    <w:p>
      <w:pPr>
        <w:jc w:val="center"/>
      </w:pPr>
      <w:r>
        <w:drawing>
          <wp:inline xmlns:a="http://schemas.openxmlformats.org/drawingml/2006/main" xmlns:pic="http://schemas.openxmlformats.org/drawingml/2006/picture">
            <wp:extent cx="5669280" cy="5741932"/>
            <wp:docPr id="2" name="Picture 2"/>
            <wp:cNvGraphicFramePr>
              <a:graphicFrameLocks noChangeAspect="1"/>
            </wp:cNvGraphicFramePr>
            <a:graphic>
              <a:graphicData uri="http://schemas.openxmlformats.org/drawingml/2006/picture">
                <pic:pic>
                  <pic:nvPicPr>
                    <pic:cNvPr id="0" name="fig4_prediction_scatter.png"/>
                    <pic:cNvPicPr/>
                  </pic:nvPicPr>
                  <pic:blipFill>
                    <a:blip r:embed="rId15"/>
                    <a:stretch>
                      <a:fillRect/>
                    </a:stretch>
                  </pic:blipFill>
                  <pic:spPr>
                    <a:xfrm>
                      <a:off x="0" y="0"/>
                      <a:ext cx="5669280" cy="5741932"/>
                    </a:xfrm>
                    <a:prstGeom prst="rect"/>
                  </pic:spPr>
                </pic:pic>
              </a:graphicData>
            </a:graphic>
          </wp:inline>
        </w:drawing>
      </w:r>
    </w:p>
    <w:p>
      <w:pPr>
        <w:jc w:val="center"/>
      </w:pPr>
      <w:r>
        <w:t>图2. Jajpur-Groundwater 数据集的集成预测散点图</w:t>
      </w:r>
    </w:p>
    <w:p>
      <w:pPr/>
      <w:r>
        <w:t>此外，Jajpur-Groundwater 上六种算法的集成权重几乎均匀分布于 0.1662 到 0.1671 之间，说明各基模型的交叉验证表现非常接近。换言之，WeightedAvg 并未明显偏向某一单算法，而是体现为一种稳定共识型集成，其性能增益主要来自多模型之间的细微协同，而非某一基模型的压倒性优势。鉴于各权重差异极小、信息增量有限，正文不再单独展示权重分布图。</w:t>
      </w:r>
    </w:p>
    <w:p>
      <w:pPr>
        <w:pStyle w:val="5"/>
      </w:pPr>
      <w:r>
        <w:t>3.4.2 跨数据集集成对比</w:t>
      </w:r>
    </w:p>
    <w:p>
      <w:pPr/>
      <w:r>
        <w:t>为便于跨数据集比较，表 6 汇总了三个数据集上最佳单算法与集成模型的核心结果。可以看出，WeightedAvg 在三个数据集上均提升了 R²CV，但提升幅度存在明显差异。</w:t>
      </w:r>
    </w:p>
    <w:p>
      <w:pPr/>
      <w:r>
        <w:t>表6. 三个数据集的最佳单算法与集成结果汇总</w:t>
      </w:r>
    </w:p>
    <w:tbl>
      <w:tblPr>
        <w:tblStyle w:val="34"/>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r>
              <w:rPr>
                <w:b/>
              </w:rPr>
              <w:t>数据集</w:t>
            </w:r>
          </w:p>
        </w:tc>
        <w:tc>
          <w:tcPr>
            <w:tcW w:type="dxa" w:w="1187"/>
          </w:tcPr>
          <w:p>
            <w:r>
              <w:rPr>
                <w:b/>
              </w:rPr>
              <w:t>最佳单算法</w:t>
            </w:r>
          </w:p>
        </w:tc>
        <w:tc>
          <w:tcPr>
            <w:tcW w:type="dxa" w:w="1187"/>
          </w:tcPr>
          <w:p>
            <w:r>
              <w:rPr>
                <w:b/>
              </w:rPr>
              <w:t>最佳单算法 R²CV</w:t>
            </w:r>
          </w:p>
        </w:tc>
        <w:tc>
          <w:tcPr>
            <w:tcW w:type="dxa" w:w="1187"/>
          </w:tcPr>
          <w:p>
            <w:r>
              <w:rPr>
                <w:b/>
              </w:rPr>
              <w:t>集成方法</w:t>
            </w:r>
          </w:p>
        </w:tc>
        <w:tc>
          <w:tcPr>
            <w:tcW w:type="dxa" w:w="1187"/>
          </w:tcPr>
          <w:p>
            <w:r>
              <w:rPr>
                <w:b/>
              </w:rPr>
              <w:t>集成 R²CV</w:t>
            </w:r>
          </w:p>
        </w:tc>
        <w:tc>
          <w:tcPr>
            <w:tcW w:type="dxa" w:w="1187"/>
          </w:tcPr>
          <w:p>
            <w:r>
              <w:rPr>
                <w:b/>
              </w:rPr>
              <w:t>提升(pp)</w:t>
            </w:r>
          </w:p>
        </w:tc>
        <w:tc>
          <w:tcPr>
            <w:tcW w:type="dxa" w:w="1187"/>
          </w:tcPr>
          <w:p>
            <w:r>
              <w:rPr>
                <w:b/>
              </w:rPr>
              <w:t>提升(%)</w:t>
            </w:r>
          </w:p>
        </w:tc>
      </w:tr>
      <w:tr>
        <w:tc>
          <w:tcPr>
            <w:tcW w:type="dxa" w:w="1187"/>
          </w:tcPr>
          <w:p>
            <w:r>
              <w:t>Jajpur-Groundwater</w:t>
            </w:r>
          </w:p>
        </w:tc>
        <w:tc>
          <w:tcPr>
            <w:tcW w:type="dxa" w:w="1187"/>
          </w:tcPr>
          <w:p>
            <w:r>
              <w:t>HHO-Lite</w:t>
            </w:r>
          </w:p>
        </w:tc>
        <w:tc>
          <w:tcPr>
            <w:tcW w:type="dxa" w:w="1187"/>
          </w:tcPr>
          <w:p>
            <w:r>
              <w:t>0.9921</w:t>
            </w:r>
          </w:p>
        </w:tc>
        <w:tc>
          <w:tcPr>
            <w:tcW w:type="dxa" w:w="1187"/>
          </w:tcPr>
          <w:p>
            <w:r>
              <w:t>WeightedAvg</w:t>
            </w:r>
          </w:p>
        </w:tc>
        <w:tc>
          <w:tcPr>
            <w:tcW w:type="dxa" w:w="1187"/>
          </w:tcPr>
          <w:p>
            <w:r>
              <w:t>0.9998</w:t>
            </w:r>
          </w:p>
        </w:tc>
        <w:tc>
          <w:tcPr>
            <w:tcW w:type="dxa" w:w="1187"/>
          </w:tcPr>
          <w:p>
            <w:r>
              <w:t>0.77</w:t>
            </w:r>
          </w:p>
        </w:tc>
        <w:tc>
          <w:tcPr>
            <w:tcW w:type="dxa" w:w="1187"/>
          </w:tcPr>
          <w:p>
            <w:r>
              <w:t>0.77</w:t>
            </w:r>
          </w:p>
        </w:tc>
      </w:tr>
      <w:tr>
        <w:tc>
          <w:tcPr>
            <w:tcW w:type="dxa" w:w="1187"/>
          </w:tcPr>
          <w:p>
            <w:r>
              <w:t>Irish-River-CCME</w:t>
            </w:r>
          </w:p>
        </w:tc>
        <w:tc>
          <w:tcPr>
            <w:tcW w:type="dxa" w:w="1187"/>
          </w:tcPr>
          <w:p>
            <w:r>
              <w:t>BOA</w:t>
            </w:r>
          </w:p>
        </w:tc>
        <w:tc>
          <w:tcPr>
            <w:tcW w:type="dxa" w:w="1187"/>
          </w:tcPr>
          <w:p>
            <w:r>
              <w:t>0.9590</w:t>
            </w:r>
          </w:p>
        </w:tc>
        <w:tc>
          <w:tcPr>
            <w:tcW w:type="dxa" w:w="1187"/>
          </w:tcPr>
          <w:p>
            <w:r>
              <w:t>WeightedAvg</w:t>
            </w:r>
          </w:p>
        </w:tc>
        <w:tc>
          <w:tcPr>
            <w:tcW w:type="dxa" w:w="1187"/>
          </w:tcPr>
          <w:p>
            <w:r>
              <w:t>0.9856</w:t>
            </w:r>
          </w:p>
        </w:tc>
        <w:tc>
          <w:tcPr>
            <w:tcW w:type="dxa" w:w="1187"/>
          </w:tcPr>
          <w:p>
            <w:r>
              <w:t>2.66</w:t>
            </w:r>
          </w:p>
        </w:tc>
        <w:tc>
          <w:tcPr>
            <w:tcW w:type="dxa" w:w="1187"/>
          </w:tcPr>
          <w:p>
            <w:r>
              <w:t>2.77</w:t>
            </w:r>
          </w:p>
        </w:tc>
      </w:tr>
      <w:tr>
        <w:tc>
          <w:tcPr>
            <w:tcW w:type="dxa" w:w="1187"/>
          </w:tcPr>
          <w:p>
            <w:r>
              <w:t>AKH-WQI</w:t>
            </w:r>
          </w:p>
        </w:tc>
        <w:tc>
          <w:tcPr>
            <w:tcW w:type="dxa" w:w="1187"/>
          </w:tcPr>
          <w:p>
            <w:r>
              <w:t>CMA-ES</w:t>
            </w:r>
          </w:p>
        </w:tc>
        <w:tc>
          <w:tcPr>
            <w:tcW w:type="dxa" w:w="1187"/>
          </w:tcPr>
          <w:p>
            <w:r>
              <w:t>0.7523</w:t>
            </w:r>
          </w:p>
        </w:tc>
        <w:tc>
          <w:tcPr>
            <w:tcW w:type="dxa" w:w="1187"/>
          </w:tcPr>
          <w:p>
            <w:r>
              <w:t>WeightedAvg</w:t>
            </w:r>
          </w:p>
        </w:tc>
        <w:tc>
          <w:tcPr>
            <w:tcW w:type="dxa" w:w="1187"/>
          </w:tcPr>
          <w:p>
            <w:r>
              <w:t>0.8424</w:t>
            </w:r>
          </w:p>
        </w:tc>
        <w:tc>
          <w:tcPr>
            <w:tcW w:type="dxa" w:w="1187"/>
          </w:tcPr>
          <w:p>
            <w:r>
              <w:t>9.01</w:t>
            </w:r>
          </w:p>
        </w:tc>
        <w:tc>
          <w:tcPr>
            <w:tcW w:type="dxa" w:w="1187"/>
          </w:tcPr>
          <w:p>
            <w:r>
              <w:t>11.97</w:t>
            </w:r>
          </w:p>
        </w:tc>
      </w:tr>
    </w:tbl>
    <w:p>
      <w:pPr/>
      <w:r>
        <w:t>进一步地，图3 以可视化方式给出了最佳单算法与 WeightedAvg 的跨数据集对比。Jajpur-Groundwater 上的增益最小，但仍保持稳定正向改进；Irish-River-CCME 上的提升更为清晰；AKH-WQI 上的增益则最为显著。该结果与前文单算法分化程度的比较相一致，说明当数据集难度上升、模型间差异增大时，集成策略更容易获得额外收益。</w:t>
      </w:r>
    </w:p>
    <w:p>
      <w:pPr>
        <w:jc w:val="center"/>
      </w:pPr>
      <w:r>
        <w:drawing>
          <wp:inline xmlns:a="http://schemas.openxmlformats.org/drawingml/2006/main" xmlns:pic="http://schemas.openxmlformats.org/drawingml/2006/picture">
            <wp:extent cx="5669280" cy="3551459"/>
            <wp:docPr id="3" name="Picture 3"/>
            <wp:cNvGraphicFramePr>
              <a:graphicFrameLocks noChangeAspect="1"/>
            </wp:cNvGraphicFramePr>
            <a:graphic>
              <a:graphicData uri="http://schemas.openxmlformats.org/drawingml/2006/picture">
                <pic:pic>
                  <pic:nvPicPr>
                    <pic:cNvPr id="0" name="fig_composite_gain.png"/>
                    <pic:cNvPicPr/>
                  </pic:nvPicPr>
                  <pic:blipFill>
                    <a:blip r:embed="rId16"/>
                    <a:stretch>
                      <a:fillRect/>
                    </a:stretch>
                  </pic:blipFill>
                  <pic:spPr>
                    <a:xfrm>
                      <a:off x="0" y="0"/>
                      <a:ext cx="5669280" cy="3551459"/>
                    </a:xfrm>
                    <a:prstGeom prst="rect"/>
                  </pic:spPr>
                </pic:pic>
              </a:graphicData>
            </a:graphic>
          </wp:inline>
        </w:drawing>
      </w:r>
    </w:p>
    <w:p>
      <w:pPr>
        <w:jc w:val="center"/>
      </w:pPr>
      <w:r>
        <w:t>图3. 最佳单算法与 WeightedAvg 的跨数据集对比图</w:t>
      </w:r>
    </w:p>
    <w:p>
      <w:pPr/>
      <w:r>
        <w:t>具体而言，Jajpur-Groundwater 上 R²CV 由 0.9921 提升至 0.9998，Irish-River-CCME 上由 0.9590 提升至 0.9856，AKH-WQI 上则由 0.7523 显著提升至 0.8424。对应的绝对增益分别为 0.77、2.66 和 9.01 个百分点，呈现出由简单场景向复杂场景逐步放大的趋势。</w:t>
      </w:r>
    </w:p>
    <w:p>
      <w:pPr/>
      <w:r>
        <w:t>上述结果表明，所提方法并非仅在单一数据集上有效，而是在不同难度条件下均能带来稳定收益，且在高变异、高难度数据集上表现尤为突出。</w:t>
      </w:r>
    </w:p>
    <w:p>
      <w:pPr>
        <w:pStyle w:val="5"/>
      </w:pPr>
      <w:r>
        <w:t>3.5 算法分歧度分析</w:t>
      </w:r>
    </w:p>
    <w:p>
      <w:pPr>
        <w:pStyle w:val="5"/>
      </w:pPr>
      <w:r>
        <w:t>3.5.1 Jajpur-Groundwater 模型分歧度分析</w:t>
      </w:r>
    </w:p>
    <w:p>
      <w:pPr/>
      <w:r>
        <w:t>为探究集成增益的来源，本文进一步考察 Jajpur-Groundwater 上不同基模型之间的预测相关性。结果表明，六种基模型预测结果之间的平均 Pearson 相关系数达到 0.9974，说明各算法的预测行为高度一致，模型分歧度较小。换言之，不同优化器虽然搜索路径不同，但最终得到的 ANN 解在该数据集上高度趋同，因此集成提升空间天然受限。</w:t>
      </w:r>
    </w:p>
    <w:p>
      <w:pPr/>
      <w:r>
        <w:t>图4 给出了 Jajpur-Groundwater 上各基模型预测结果之间的相关性热图。模型间相关系数几乎全部接近 1，这与该数据集上单算法结果高度接近的现象相互印证，也进一步解释了为何该数据集上的集成收益主要表现为细微修正而非显著跃升。</w:t>
      </w:r>
    </w:p>
    <w:p>
      <w:pPr>
        <w:jc w:val="center"/>
      </w:pPr>
      <w:r>
        <w:drawing>
          <wp:inline xmlns:a="http://schemas.openxmlformats.org/drawingml/2006/main" xmlns:pic="http://schemas.openxmlformats.org/drawingml/2006/picture">
            <wp:extent cx="5669280" cy="4801671"/>
            <wp:docPr id="4" name="Picture 4"/>
            <wp:cNvGraphicFramePr>
              <a:graphicFrameLocks noChangeAspect="1"/>
            </wp:cNvGraphicFramePr>
            <a:graphic>
              <a:graphicData uri="http://schemas.openxmlformats.org/drawingml/2006/picture">
                <pic:pic>
                  <pic:nvPicPr>
                    <pic:cNvPr id="0" name="fig5_correlation_algo.png"/>
                    <pic:cNvPicPr/>
                  </pic:nvPicPr>
                  <pic:blipFill>
                    <a:blip r:embed="rId17"/>
                    <a:stretch>
                      <a:fillRect/>
                    </a:stretch>
                  </pic:blipFill>
                  <pic:spPr>
                    <a:xfrm>
                      <a:off x="0" y="0"/>
                      <a:ext cx="5669280" cy="4801671"/>
                    </a:xfrm>
                    <a:prstGeom prst="rect"/>
                  </pic:spPr>
                </pic:pic>
              </a:graphicData>
            </a:graphic>
          </wp:inline>
        </w:drawing>
      </w:r>
    </w:p>
    <w:p>
      <w:pPr>
        <w:jc w:val="center"/>
      </w:pPr>
      <w:r>
        <w:t>图4. Jajpur-Groundwater 数据集的模型相关性热图</w:t>
      </w:r>
    </w:p>
    <w:p>
      <w:pPr/>
      <w:r>
        <w:t>该结果说明，Jajpur-Groundwater 上的集成更接近于“平滑微调”，而非通过强互补性实现大幅增益。因此，Jajpur 的实验重点不在于证明集成必然带来巨大提升，而在于说明即便在高度一致的经典基准上，所提方法仍能获得稳定改进，并为与原论文的直接对照提供依据。</w:t>
      </w:r>
    </w:p>
    <w:p>
      <w:pPr>
        <w:pStyle w:val="5"/>
      </w:pPr>
      <w:r>
        <w:t>3.5.2 跨数据集分歧度对比</w:t>
      </w:r>
    </w:p>
    <w:p>
      <w:pPr/>
      <w:r>
        <w:t>从跨数据集结果来看，Jajpur、Irish 和 AKH 的平均相关系数分别为 0.9974、0.9829 和 0.9480，呈明显递减趋势；对应的平均预测标准差分别为 0.3835、0.5067 和 4.1919，则呈明显递增趋势，如表 5 所示。</w:t>
      </w:r>
    </w:p>
    <w:p>
      <w:pPr/>
      <w:r>
        <w:t>表5. 三个数据集的模型分歧度统计结果</w:t>
      </w:r>
    </w:p>
    <w:tbl>
      <w:tblPr>
        <w:tblStyle w:val="34"/>
        <w:tblW w:type="auto" w:w="0"/>
        <w:jc w:val="center"/>
        <w:tblLook w:firstColumn="1" w:firstRow="1" w:lastColumn="0" w:lastRow="0" w:noHBand="0" w:noVBand="1" w:val="04A0"/>
      </w:tblPr>
      <w:tblGrid>
        <w:gridCol w:w="2771"/>
        <w:gridCol w:w="2771"/>
        <w:gridCol w:w="2771"/>
      </w:tblGrid>
      <w:tr>
        <w:tc>
          <w:tcPr>
            <w:tcW w:type="dxa" w:w="2771"/>
          </w:tcPr>
          <w:p>
            <w:r>
              <w:rPr>
                <w:b/>
              </w:rPr>
              <w:t>数据集</w:t>
            </w:r>
          </w:p>
        </w:tc>
        <w:tc>
          <w:tcPr>
            <w:tcW w:type="dxa" w:w="2771"/>
          </w:tcPr>
          <w:p>
            <w:r>
              <w:rPr>
                <w:b/>
              </w:rPr>
              <w:t>平均相关系数</w:t>
            </w:r>
          </w:p>
        </w:tc>
        <w:tc>
          <w:tcPr>
            <w:tcW w:type="dxa" w:w="2771"/>
          </w:tcPr>
          <w:p>
            <w:r>
              <w:rPr>
                <w:b/>
              </w:rPr>
              <w:t>平均预测标准差</w:t>
            </w:r>
          </w:p>
        </w:tc>
      </w:tr>
      <w:tr>
        <w:tc>
          <w:tcPr>
            <w:tcW w:type="dxa" w:w="2771"/>
          </w:tcPr>
          <w:p>
            <w:r>
              <w:t>Jajpur</w:t>
            </w:r>
          </w:p>
        </w:tc>
        <w:tc>
          <w:tcPr>
            <w:tcW w:type="dxa" w:w="2771"/>
          </w:tcPr>
          <w:p>
            <w:r>
              <w:t>0.9974</w:t>
            </w:r>
          </w:p>
        </w:tc>
        <w:tc>
          <w:tcPr>
            <w:tcW w:type="dxa" w:w="2771"/>
          </w:tcPr>
          <w:p>
            <w:r>
              <w:t>0.3835</w:t>
            </w:r>
          </w:p>
        </w:tc>
      </w:tr>
      <w:tr>
        <w:tc>
          <w:tcPr>
            <w:tcW w:type="dxa" w:w="2771"/>
          </w:tcPr>
          <w:p>
            <w:r>
              <w:t>Irish</w:t>
            </w:r>
          </w:p>
        </w:tc>
        <w:tc>
          <w:tcPr>
            <w:tcW w:type="dxa" w:w="2771"/>
          </w:tcPr>
          <w:p>
            <w:r>
              <w:t>0.9829</w:t>
            </w:r>
          </w:p>
        </w:tc>
        <w:tc>
          <w:tcPr>
            <w:tcW w:type="dxa" w:w="2771"/>
          </w:tcPr>
          <w:p>
            <w:r>
              <w:t>0.5067</w:t>
            </w:r>
          </w:p>
        </w:tc>
      </w:tr>
      <w:tr>
        <w:tc>
          <w:tcPr>
            <w:tcW w:type="dxa" w:w="2771"/>
          </w:tcPr>
          <w:p>
            <w:r>
              <w:t>AKH</w:t>
            </w:r>
          </w:p>
        </w:tc>
        <w:tc>
          <w:tcPr>
            <w:tcW w:type="dxa" w:w="2771"/>
          </w:tcPr>
          <w:p>
            <w:r>
              <w:t>0.9480</w:t>
            </w:r>
          </w:p>
        </w:tc>
        <w:tc>
          <w:tcPr>
            <w:tcW w:type="dxa" w:w="2771"/>
          </w:tcPr>
          <w:p>
            <w:r>
              <w:t>4.1919</w:t>
            </w:r>
          </w:p>
        </w:tc>
      </w:tr>
    </w:tbl>
    <w:p>
      <w:pPr/>
      <w:r>
        <w:t>图5 进一步展示了三个数据集的相关性热图。Jajpur-Groundwater 上热图颜色最为集中，表明模型预测高度一致；AKH-WQI 上相关性矩阵的非对角元素明显下降，反映出更强的模型差异性，而其集成增益也最大。这说明“分歧度增加 - 互补性增强 - 集成收益扩大”之间存在较清晰的对应关系。</w:t>
      </w:r>
    </w:p>
    <w:p>
      <w:pPr>
        <w:jc w:val="center"/>
      </w:pPr>
      <w:r>
        <w:drawing>
          <wp:inline xmlns:a="http://schemas.openxmlformats.org/drawingml/2006/main" xmlns:pic="http://schemas.openxmlformats.org/drawingml/2006/picture">
            <wp:extent cx="5669280" cy="1812539"/>
            <wp:docPr id="5" name="Picture 5"/>
            <wp:cNvGraphicFramePr>
              <a:graphicFrameLocks noChangeAspect="1"/>
            </wp:cNvGraphicFramePr>
            <a:graphic>
              <a:graphicData uri="http://schemas.openxmlformats.org/drawingml/2006/picture">
                <pic:pic>
                  <pic:nvPicPr>
                    <pic:cNvPr id="0" name="fig_composite_heatmap.png"/>
                    <pic:cNvPicPr/>
                  </pic:nvPicPr>
                  <pic:blipFill>
                    <a:blip r:embed="rId18"/>
                    <a:stretch>
                      <a:fillRect/>
                    </a:stretch>
                  </pic:blipFill>
                  <pic:spPr>
                    <a:xfrm>
                      <a:off x="0" y="0"/>
                      <a:ext cx="5669280" cy="1812539"/>
                    </a:xfrm>
                    <a:prstGeom prst="rect"/>
                  </pic:spPr>
                </pic:pic>
              </a:graphicData>
            </a:graphic>
          </wp:inline>
        </w:drawing>
      </w:r>
    </w:p>
    <w:p>
      <w:pPr>
        <w:jc w:val="center"/>
      </w:pPr>
      <w:r>
        <w:t>图5. 三个数据集的模型相关性热图</w:t>
      </w:r>
    </w:p>
    <w:p>
      <w:pPr/>
      <w:r>
        <w:t>相比之下，Jajpur 的高相关性意味着基模型之间可互补的信息有限，因此其集成增益更多表现为细微修正，而非结构性提升。</w:t>
      </w:r>
    </w:p>
    <w:p>
      <w:pPr>
        <w:pStyle w:val="5"/>
      </w:pPr>
      <w:r>
        <w:t>3.6 统计显著性检验</w:t>
      </w:r>
    </w:p>
    <w:p>
      <w:pPr>
        <w:pStyle w:val="5"/>
      </w:pPr>
      <w:r>
        <w:t>3.6.1 Jajpur-Groundwater 统计检验结果</w:t>
      </w:r>
    </w:p>
    <w:p>
      <w:pPr/>
      <w:r>
        <w:t>在 Jajpur-Groundwater 数据集上，基于样本级绝对误差的 Wilcoxon 检验结果显示，集成模型的 MAE 为 0.2594，而最佳单算法 HHO-Lite 的 MAE 为 0.1089，Wilcoxon p = 0.0002。差异达到统计显著，但方向为负，即集成在该误差指标上并未优于最佳单模型。</w:t>
      </w:r>
    </w:p>
    <w:p>
      <w:pPr/>
      <w:r>
        <w:t>这一结果与前文基于 R²CV 的结论并不矛盾。前者强调交叉验证意义下的整体泛化拟合能力，后者则对个别样本上的局部误差波动更为敏感。对于 Jajpur 这类基模型高度一致的数据集，WeightedAvg 虽能提升整体拟合稳定性，但也可能在个别样本上稀释最优单模型的局部优势。因此，该结果应被视为本文的重要发现，而非需要回避的异常现象。</w:t>
      </w:r>
    </w:p>
    <w:p>
      <w:pPr>
        <w:pStyle w:val="5"/>
      </w:pPr>
      <w:r>
        <w:t>3.6.2 跨数据集统计检验对比</w:t>
      </w:r>
    </w:p>
    <w:p>
      <w:pPr/>
      <w:r>
        <w:t>跨数据集统计检验结果如表 6 所示。需要说明的是，表 6 中的 MAE 来源于样本级绝对误差的配对统计分析，其口径不同于表 5 和表 6 中基于整体回归结果汇总的误差指标，因此数值不宜直接逐项横向比较。Irish-River-CCME 上，最佳单模型 MAE 为 0.8248，集成 MAE 为 0.7535，改善幅度为 8.65%，但 Wilcoxon p = 0.9554，说明该改善在统计上并不显著；AKH-WQI 上，最佳单模型 MAE 为 10.0670，集成 MAE 降至 9.4147，改善幅度为 6.48%，Wilcoxon p = 0.0038，表明该提升在统计上显著。同时，Friedman 检验在 AKH 上也达到显著水平（p = 0.0021）。</w:t>
      </w:r>
    </w:p>
    <w:p>
      <w:pPr/>
      <w:r>
        <w:t>表6. 三个数据集的统计显著性检验结果</w:t>
      </w:r>
    </w:p>
    <w:tbl>
      <w:tblPr>
        <w:tblStyle w:val="34"/>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r>
              <w:rPr>
                <w:b/>
              </w:rPr>
              <w:t>数据集</w:t>
            </w:r>
          </w:p>
        </w:tc>
        <w:tc>
          <w:tcPr>
            <w:tcW w:type="dxa" w:w="1187"/>
          </w:tcPr>
          <w:p>
            <w:r>
              <w:rPr>
                <w:b/>
              </w:rPr>
              <w:t>最佳单模型(MAE)</w:t>
            </w:r>
          </w:p>
        </w:tc>
        <w:tc>
          <w:tcPr>
            <w:tcW w:type="dxa" w:w="1187"/>
          </w:tcPr>
          <w:p>
            <w:r>
              <w:rPr>
                <w:b/>
              </w:rPr>
              <w:t>集成模型(MAE)</w:t>
            </w:r>
          </w:p>
        </w:tc>
        <w:tc>
          <w:tcPr>
            <w:tcW w:type="dxa" w:w="1187"/>
          </w:tcPr>
          <w:p>
            <w:r>
              <w:rPr>
                <w:b/>
              </w:rPr>
              <w:t>改善(%)</w:t>
            </w:r>
          </w:p>
        </w:tc>
        <w:tc>
          <w:tcPr>
            <w:tcW w:type="dxa" w:w="1187"/>
          </w:tcPr>
          <w:p>
            <w:r>
              <w:rPr>
                <w:b/>
              </w:rPr>
              <w:t>Wilcoxon p</w:t>
            </w:r>
          </w:p>
        </w:tc>
        <w:tc>
          <w:tcPr>
            <w:tcW w:type="dxa" w:w="1187"/>
          </w:tcPr>
          <w:p>
            <w:r>
              <w:rPr>
                <w:b/>
              </w:rPr>
              <w:t>Friedman p</w:t>
            </w:r>
          </w:p>
        </w:tc>
        <w:tc>
          <w:tcPr>
            <w:tcW w:type="dxa" w:w="1187"/>
          </w:tcPr>
          <w:p>
            <w:r>
              <w:rPr>
                <w:b/>
              </w:rPr>
              <w:t>是否显著</w:t>
            </w:r>
          </w:p>
        </w:tc>
      </w:tr>
      <w:tr>
        <w:tc>
          <w:tcPr>
            <w:tcW w:type="dxa" w:w="1187"/>
          </w:tcPr>
          <w:p>
            <w:r>
              <w:t>Jajpur</w:t>
            </w:r>
          </w:p>
        </w:tc>
        <w:tc>
          <w:tcPr>
            <w:tcW w:type="dxa" w:w="1187"/>
          </w:tcPr>
          <w:p>
            <w:r>
              <w:t>HHO-Lite (0.1089)</w:t>
            </w:r>
          </w:p>
        </w:tc>
        <w:tc>
          <w:tcPr>
            <w:tcW w:type="dxa" w:w="1187"/>
          </w:tcPr>
          <w:p>
            <w:r>
              <w:t>WeightedAvg (0.2594)</w:t>
            </w:r>
          </w:p>
        </w:tc>
        <w:tc>
          <w:tcPr>
            <w:tcW w:type="dxa" w:w="1187"/>
          </w:tcPr>
          <w:p>
            <w:r>
              <w:t>-138.17</w:t>
            </w:r>
          </w:p>
        </w:tc>
        <w:tc>
          <w:tcPr>
            <w:tcW w:type="dxa" w:w="1187"/>
          </w:tcPr>
          <w:p>
            <w:r>
              <w:t>0.0002</w:t>
            </w:r>
          </w:p>
        </w:tc>
        <w:tc>
          <w:tcPr>
            <w:tcW w:type="dxa" w:w="1187"/>
          </w:tcPr>
          <w:p>
            <w:r>
              <w:t>0.0000</w:t>
            </w:r>
          </w:p>
        </w:tc>
        <w:tc>
          <w:tcPr>
            <w:tcW w:type="dxa" w:w="1187"/>
          </w:tcPr>
          <w:p>
            <w:r>
              <w:t>是（负向）</w:t>
            </w:r>
          </w:p>
        </w:tc>
      </w:tr>
      <w:tr>
        <w:tc>
          <w:tcPr>
            <w:tcW w:type="dxa" w:w="1187"/>
          </w:tcPr>
          <w:p>
            <w:r>
              <w:t>Irish</w:t>
            </w:r>
          </w:p>
        </w:tc>
        <w:tc>
          <w:tcPr>
            <w:tcW w:type="dxa" w:w="1187"/>
          </w:tcPr>
          <w:p>
            <w:r>
              <w:t>NRBO (0.8248)</w:t>
            </w:r>
          </w:p>
        </w:tc>
        <w:tc>
          <w:tcPr>
            <w:tcW w:type="dxa" w:w="1187"/>
          </w:tcPr>
          <w:p>
            <w:r>
              <w:t>WeightedAvg (0.7535)</w:t>
            </w:r>
          </w:p>
        </w:tc>
        <w:tc>
          <w:tcPr>
            <w:tcW w:type="dxa" w:w="1187"/>
          </w:tcPr>
          <w:p>
            <w:r>
              <w:t>8.65</w:t>
            </w:r>
          </w:p>
        </w:tc>
        <w:tc>
          <w:tcPr>
            <w:tcW w:type="dxa" w:w="1187"/>
          </w:tcPr>
          <w:p>
            <w:r>
              <w:t>0.9554</w:t>
            </w:r>
          </w:p>
        </w:tc>
        <w:tc>
          <w:tcPr>
            <w:tcW w:type="dxa" w:w="1187"/>
          </w:tcPr>
          <w:p>
            <w:r>
              <w:t>0.2861</w:t>
            </w:r>
          </w:p>
        </w:tc>
        <w:tc>
          <w:tcPr>
            <w:tcW w:type="dxa" w:w="1187"/>
          </w:tcPr>
          <w:p>
            <w:r>
              <w:t>否</w:t>
            </w:r>
          </w:p>
        </w:tc>
      </w:tr>
      <w:tr>
        <w:tc>
          <w:tcPr>
            <w:tcW w:type="dxa" w:w="1187"/>
          </w:tcPr>
          <w:p>
            <w:r>
              <w:t>AKH</w:t>
            </w:r>
          </w:p>
        </w:tc>
        <w:tc>
          <w:tcPr>
            <w:tcW w:type="dxa" w:w="1187"/>
          </w:tcPr>
          <w:p>
            <w:r>
              <w:t>SHADE (10.0670)</w:t>
            </w:r>
          </w:p>
        </w:tc>
        <w:tc>
          <w:tcPr>
            <w:tcW w:type="dxa" w:w="1187"/>
          </w:tcPr>
          <w:p>
            <w:r>
              <w:t>WeightedAvg (9.4147)</w:t>
            </w:r>
          </w:p>
        </w:tc>
        <w:tc>
          <w:tcPr>
            <w:tcW w:type="dxa" w:w="1187"/>
          </w:tcPr>
          <w:p>
            <w:r>
              <w:t>6.48</w:t>
            </w:r>
          </w:p>
        </w:tc>
        <w:tc>
          <w:tcPr>
            <w:tcW w:type="dxa" w:w="1187"/>
          </w:tcPr>
          <w:p>
            <w:r>
              <w:t>0.0038</w:t>
            </w:r>
          </w:p>
        </w:tc>
        <w:tc>
          <w:tcPr>
            <w:tcW w:type="dxa" w:w="1187"/>
          </w:tcPr>
          <w:p>
            <w:r>
              <w:t>0.0021</w:t>
            </w:r>
          </w:p>
        </w:tc>
        <w:tc>
          <w:tcPr>
            <w:tcW w:type="dxa" w:w="1187"/>
          </w:tcPr>
          <w:p>
            <w:r>
              <w:t>是</w:t>
            </w:r>
          </w:p>
        </w:tc>
      </w:tr>
    </w:tbl>
    <w:p>
      <w:pPr/>
      <w:r>
        <w:t>因此，从统计角度看，本文方法在复杂、高分歧数据集上的优势更为可靠，而在简单或中等难度数据集上，集成收益更多体现为趋势性改善，而不一定总能在误差层面取得显著优势。</w:t>
      </w:r>
    </w:p>
    <w:p>
      <w:pPr>
        <w:pStyle w:val="4"/>
      </w:pPr>
      <w:r>
        <w:t>4 讨论</w:t>
      </w:r>
    </w:p>
    <w:p>
      <w:pPr>
        <w:pStyle w:val="5"/>
      </w:pPr>
      <w:r>
        <w:t>4.1 Jajpur-Groundwater 数据集的主要发现</w:t>
      </w:r>
    </w:p>
    <w:p>
      <w:pPr/>
      <w:r>
        <w:t>Jajpur-Groundwater 被选为全文的核心基准具有明确依据。首先，该数据集有公开原论文作为参照，便于形成直接对照，从而使本文结果具备更清晰的学术定位。其次，该数据集规模较小、基线较高，能够更严格地检验方法是否真正有效。实验结果表明，尽管单算法已经达到较高水平，WeightedAvg 仍将 R²CV 从 0.9921 提升到 0.9998，说明多优化器集成在经典基准上依然具有研究价值。</w:t>
      </w:r>
    </w:p>
    <w:p>
      <w:pPr/>
      <w:r>
        <w:t>更重要的是，Jajpur 的结果揭示了一个更具研究意义的现象，即集成并不必然在所有指标上全面占优。该数据集上，R²CV 获得提升，但 MAE 统计检验并未支持集成优于最优单模型。这说明本文并非简单追求“所有指标同步改善”的表面结论，而是在揭示集成收益与数据结构、模型一致性及评价指标之间的关系。</w:t>
      </w:r>
    </w:p>
    <w:p>
      <w:pPr>
        <w:pStyle w:val="5"/>
      </w:pPr>
      <w:r>
        <w:t>4.2 数据集难度与集成增益的关系</w:t>
      </w:r>
    </w:p>
    <w:p>
      <w:pPr/>
      <w:r>
        <w:t>三个数据集呈现出较为清晰的规律：随着数据集难度升高，集成收益逐步放大。Jajpur 的最佳单算法与集成模型之间差距最小，Irish 的提升居中，AKH 的提升最显著。结合分歧度结果可见，难度更高的数据集往往会放大不同优化器的搜索偏好，从而产生更强的模型互补性，而这正是集成发挥作用的前提。</w:t>
      </w:r>
    </w:p>
    <w:p>
      <w:pPr/>
      <w:r>
        <w:t>因此，本文方法的价值不应仅从平均提升幅度来理解，更应被视为一种在复杂问题中更具潜力、在简单问题中仍保持稳定性的通用框架。</w:t>
      </w:r>
    </w:p>
    <w:p>
      <w:pPr>
        <w:pStyle w:val="5"/>
      </w:pPr>
      <w:r>
        <w:t>4.3 方法简洁性的价值</w:t>
      </w:r>
    </w:p>
    <w:p>
      <w:pPr/>
      <w:r>
        <w:t>本文采用的 WeightedAvg 不依赖额外元学习器，也不需要训练第二层模型，权重仅由各基模型的交叉验证表现直接归一化得到。这种设计使方法具有较强的可复现性和工程可实施性。相比复杂堆叠模型，本文方法虽然结构更简单，但在三个数据集上均取得了稳定的 R²CV 改进，说明“简单但可靠”的方法在应用型研究中同样具有较高价值。</w:t>
      </w:r>
    </w:p>
    <w:p>
      <w:pPr/>
      <w:r>
        <w:t>对于面向 WQI 预测的研究而言，这种简洁性本身就是一个优点，因为它显著降低了方法迁移到其他数据集及其他地区水质问题时的实现门槛。</w:t>
      </w:r>
    </w:p>
    <w:p>
      <w:pPr>
        <w:pStyle w:val="5"/>
      </w:pPr>
      <w:r>
        <w:t>4.4 算法互补性的来源</w:t>
      </w:r>
    </w:p>
    <w:p>
      <w:pPr/>
      <w:r>
        <w:t>算法互补性主要来源于不同优化器搜索机制的差异。DE 和 SHADE 更偏向差分进化式的全局搜索，CMA-ES 依赖分布自适应更新，NRBO 带有更明显的局部精化特征，BOA 与 HHO-Lite 则体现出群智能类优化器的行为差异。这些机制差异在简单数据集上可能最终收敛到相近解，而在高变异数据集上则更容易诱导出不同的预测模式。</w:t>
      </w:r>
    </w:p>
    <w:p>
      <w:pPr/>
      <w:r>
        <w:t>AKH-WQI 的实验结果恰好说明了这一点：单算法间最优值差距更大，模型相关性最低，因而集成收益也最大。由此可见，本文提出的框架并不是依赖某一个特别强的优化器，而是依赖一组具有差异性的优化器共同构成互补体系。</w:t>
      </w:r>
    </w:p>
    <w:p>
      <w:pPr>
        <w:pStyle w:val="5"/>
      </w:pPr>
      <w:r>
        <w:t>4.5 局限性</w:t>
      </w:r>
    </w:p>
    <w:p>
      <w:pPr/>
      <w:r>
        <w:t>本文仍存在若干局限。首先，多优化器方案会带来更高的总体计算开销。其次，集成收益具有明显的数据依赖性，在 Jajpur 这类高一致性数据集上，误差层面的收益并不稳定。再次，本文的关注点主要集中于 ANN 超参数优化与加权集成，尚未进一步讨论特征筛选、输入不确定性以及跨时间外推等问题。最后，当前统计检验所依据的样本级误差分析与交叉验证指标属于不同评价层面，后续若要进一步增强说服力，可通过增加重复实验或重采样分析，使两类结论之间的联系更加充分。</w:t>
      </w:r>
    </w:p>
    <w:p>
      <w:pPr>
        <w:pStyle w:val="4"/>
      </w:pPr>
      <w:r>
        <w:t>5 结论</w:t>
      </w:r>
    </w:p>
    <w:p>
      <w:pPr>
        <w:pStyle w:val="5"/>
      </w:pPr>
      <w:r>
        <w:t>5.1 核心发现</w:t>
      </w:r>
    </w:p>
    <w:p>
      <w:pPr/>
      <w:r>
        <w:t>本文围绕 WQI 预测任务构建了“多进化算法优化 ANN + WeightedAvg 集成”的方法框架，并在三个公开数据集上进行了验证。结果表明，单一优化器并不存在跨数据集一致最优的情况，而加权集成能够稳定提升 R²CV。其中，Jajpur-Groundwater 上集成由 0.9921 提升至 0.9998，Irish-River-CCME 上由 0.9590 提升至 0.9856，AKH-WQI 上由 0.7523 提升至 0.8424。尤其在 AKH-WQI 上，较低的模型相关性与较高的数据复杂度共同带来了最显著的集成收益。</w:t>
      </w:r>
    </w:p>
    <w:p>
      <w:pPr>
        <w:pStyle w:val="5"/>
      </w:pPr>
      <w:r>
        <w:t>5.2 与原论文对比</w:t>
      </w:r>
    </w:p>
    <w:p>
      <w:pPr/>
      <w:r>
        <w:t>若以 Jajpur-Groundwater 作为核心对照基准，本文最重要的贡献在于：在已有原论文可参照的前提下，不再依赖单一优化器，而是通过多种进化算法构建互补性更强的基模型集合，并在经典基准上实现了更高的交叉验证表现。因此，Jajpur 的意义并不只是“结果最好看”，而是“最具对照价值、最便于说明本文方法相对已有工作的改进”。</w:t>
      </w:r>
    </w:p>
    <w:p>
      <w:pPr/>
      <w:r>
        <w:t>同时也应指出，本文与原论文的差异并不只是精度数值的提升，更在于对“为何提升”以及“何时提升更明显”的机制进行了补充说明，即集成收益与算法分歧度、数据集复杂度之间存在密切联系。</w:t>
      </w:r>
    </w:p>
    <w:p>
      <w:pPr>
        <w:pStyle w:val="5"/>
      </w:pPr>
      <w:r>
        <w:t>5.3 未来工作</w:t>
      </w:r>
    </w:p>
    <w:p>
      <w:pPr/>
      <w:r>
        <w:t>后续工作可从三个方向展开。其一，可在现有框架中引入更多差异化优化器，进一步扩大基模型池。其二，可结合特征筛选、特征分组或不确定性估计，以增强模型解释性。其三，可在更多时序型或跨区域水质数据集上验证该方法，以检验其在真实监测场景中的长期泛化能力。</w:t>
      </w:r>
    </w:p>
    <w:p w14:paraId="6891A8BD">
      <w:pPr>
        <w:pStyle w:val="4"/>
        <w:spacing w:before="240" w:after="120" w:line="360" w:lineRule="auto"/>
      </w:pPr>
      <w:r>
        <w:rPr>
          <w:rFonts w:ascii="黑体" w:hAnsi="黑体" w:eastAsia="黑体"/>
          <w:b/>
          <w:i w:val="0"/>
          <w:sz w:val="28"/>
        </w:rPr>
        <w:t>附录A：各数据集特征列表</w:t>
      </w:r>
    </w:p>
    <w:p w14:paraId="376B5882">
      <w:pPr>
        <w:pStyle w:val="5"/>
        <w:spacing w:before="120" w:after="120" w:line="360" w:lineRule="auto"/>
      </w:pPr>
      <w:r>
        <w:rPr>
          <w:rFonts w:ascii="黑体" w:hAnsi="黑体" w:eastAsia="黑体"/>
          <w:b/>
          <w:i w:val="0"/>
          <w:sz w:val="24"/>
        </w:rPr>
        <w:t>A.1 Jajpur数据集（12特征）</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0ACDA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shd w:val="clear" w:color="auto" w:fill="D9E2F3"/>
          </w:tcPr>
          <w:p w14:paraId="45D50252">
            <w:pPr>
              <w:spacing w:after="0"/>
              <w:jc w:val="center"/>
            </w:pPr>
            <w:r>
              <w:rPr>
                <w:rFonts w:ascii="宋体" w:hAnsi="宋体" w:eastAsia="宋体"/>
                <w:b/>
                <w:i w:val="0"/>
                <w:sz w:val="20"/>
              </w:rPr>
              <w:t>特征名</w:t>
            </w:r>
          </w:p>
        </w:tc>
        <w:tc>
          <w:tcPr>
            <w:tcW w:w="2771" w:type="dxa"/>
            <w:shd w:val="clear" w:color="auto" w:fill="D9E2F3"/>
          </w:tcPr>
          <w:p w14:paraId="78B85899">
            <w:pPr>
              <w:spacing w:after="0"/>
              <w:jc w:val="center"/>
            </w:pPr>
            <w:r>
              <w:rPr>
                <w:rFonts w:ascii="宋体" w:hAnsi="宋体" w:eastAsia="宋体"/>
                <w:b/>
                <w:i w:val="0"/>
                <w:sz w:val="20"/>
              </w:rPr>
              <w:t>中文含义</w:t>
            </w:r>
          </w:p>
        </w:tc>
        <w:tc>
          <w:tcPr>
            <w:tcW w:w="2771" w:type="dxa"/>
            <w:shd w:val="clear" w:color="auto" w:fill="D9E2F3"/>
          </w:tcPr>
          <w:p w14:paraId="627465A8">
            <w:pPr>
              <w:spacing w:after="0"/>
              <w:jc w:val="center"/>
            </w:pPr>
            <w:r>
              <w:rPr>
                <w:rFonts w:ascii="宋体" w:hAnsi="宋体" w:eastAsia="宋体"/>
                <w:b/>
                <w:i w:val="0"/>
                <w:sz w:val="20"/>
              </w:rPr>
              <w:t>单位</w:t>
            </w:r>
          </w:p>
        </w:tc>
      </w:tr>
      <w:tr w14:paraId="0B187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0525503C">
            <w:pPr>
              <w:spacing w:after="0"/>
              <w:jc w:val="center"/>
            </w:pPr>
            <w:r>
              <w:rPr>
                <w:rFonts w:ascii="宋体" w:hAnsi="宋体" w:eastAsia="宋体"/>
                <w:b w:val="0"/>
                <w:i w:val="0"/>
                <w:sz w:val="20"/>
              </w:rPr>
              <w:t>pH</w:t>
            </w:r>
          </w:p>
        </w:tc>
        <w:tc>
          <w:tcPr>
            <w:tcW w:w="2771" w:type="dxa"/>
          </w:tcPr>
          <w:p w14:paraId="07B9721E">
            <w:pPr>
              <w:spacing w:after="0"/>
              <w:jc w:val="center"/>
            </w:pPr>
            <w:r>
              <w:rPr>
                <w:rFonts w:ascii="宋体" w:hAnsi="宋体" w:eastAsia="宋体"/>
                <w:b w:val="0"/>
                <w:i w:val="0"/>
                <w:sz w:val="20"/>
              </w:rPr>
              <w:t>酸碱度</w:t>
            </w:r>
          </w:p>
        </w:tc>
        <w:tc>
          <w:tcPr>
            <w:tcW w:w="2771" w:type="dxa"/>
          </w:tcPr>
          <w:p w14:paraId="7A32B386">
            <w:pPr>
              <w:spacing w:after="0"/>
              <w:jc w:val="center"/>
            </w:pPr>
            <w:r>
              <w:rPr>
                <w:rFonts w:ascii="宋体" w:hAnsi="宋体" w:eastAsia="宋体"/>
                <w:b w:val="0"/>
                <w:i w:val="0"/>
                <w:sz w:val="20"/>
              </w:rPr>
              <w:t>—</w:t>
            </w:r>
          </w:p>
        </w:tc>
      </w:tr>
      <w:tr w14:paraId="6A878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4768F0CA">
            <w:pPr>
              <w:spacing w:after="0"/>
              <w:jc w:val="center"/>
            </w:pPr>
            <w:r>
              <w:rPr>
                <w:rFonts w:ascii="宋体" w:hAnsi="宋体" w:eastAsia="宋体"/>
                <w:b w:val="0"/>
                <w:i w:val="0"/>
                <w:sz w:val="20"/>
              </w:rPr>
              <w:t>EC</w:t>
            </w:r>
          </w:p>
        </w:tc>
        <w:tc>
          <w:tcPr>
            <w:tcW w:w="2771" w:type="dxa"/>
          </w:tcPr>
          <w:p w14:paraId="21068CC2">
            <w:pPr>
              <w:spacing w:after="0"/>
              <w:jc w:val="center"/>
            </w:pPr>
            <w:r>
              <w:rPr>
                <w:rFonts w:ascii="宋体" w:hAnsi="宋体" w:eastAsia="宋体"/>
                <w:b w:val="0"/>
                <w:i w:val="0"/>
                <w:sz w:val="20"/>
              </w:rPr>
              <w:t>电导率</w:t>
            </w:r>
          </w:p>
        </w:tc>
        <w:tc>
          <w:tcPr>
            <w:tcW w:w="2771" w:type="dxa"/>
          </w:tcPr>
          <w:p w14:paraId="31AD60E8">
            <w:pPr>
              <w:spacing w:after="0"/>
              <w:jc w:val="center"/>
            </w:pPr>
            <w:r>
              <w:rPr>
                <w:rFonts w:ascii="宋体" w:hAnsi="宋体" w:eastAsia="宋体"/>
                <w:b w:val="0"/>
                <w:i w:val="0"/>
                <w:sz w:val="20"/>
              </w:rPr>
              <w:t>μS/cm</w:t>
            </w:r>
          </w:p>
        </w:tc>
      </w:tr>
      <w:tr w14:paraId="6C9EA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77BAD0E7">
            <w:pPr>
              <w:spacing w:after="0"/>
              <w:jc w:val="center"/>
            </w:pPr>
            <w:r>
              <w:rPr>
                <w:rFonts w:ascii="宋体" w:hAnsi="宋体" w:eastAsia="宋体"/>
                <w:b w:val="0"/>
                <w:i w:val="0"/>
                <w:sz w:val="20"/>
              </w:rPr>
              <w:t>DO</w:t>
            </w:r>
          </w:p>
        </w:tc>
        <w:tc>
          <w:tcPr>
            <w:tcW w:w="2771" w:type="dxa"/>
          </w:tcPr>
          <w:p w14:paraId="14BCFFD2">
            <w:pPr>
              <w:spacing w:after="0"/>
              <w:jc w:val="center"/>
            </w:pPr>
            <w:r>
              <w:rPr>
                <w:rFonts w:ascii="宋体" w:hAnsi="宋体" w:eastAsia="宋体"/>
                <w:b w:val="0"/>
                <w:i w:val="0"/>
                <w:sz w:val="20"/>
              </w:rPr>
              <w:t>溶解氧</w:t>
            </w:r>
          </w:p>
        </w:tc>
        <w:tc>
          <w:tcPr>
            <w:tcW w:w="2771" w:type="dxa"/>
          </w:tcPr>
          <w:p w14:paraId="2235C14B">
            <w:pPr>
              <w:spacing w:after="0"/>
              <w:jc w:val="center"/>
            </w:pPr>
            <w:r>
              <w:rPr>
                <w:rFonts w:ascii="宋体" w:hAnsi="宋体" w:eastAsia="宋体"/>
                <w:b w:val="0"/>
                <w:i w:val="0"/>
                <w:sz w:val="20"/>
              </w:rPr>
              <w:t>mg/L</w:t>
            </w:r>
          </w:p>
        </w:tc>
      </w:tr>
      <w:tr w14:paraId="011C2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9BAA383">
            <w:pPr>
              <w:spacing w:after="0"/>
              <w:jc w:val="center"/>
            </w:pPr>
            <w:r>
              <w:rPr>
                <w:rFonts w:ascii="宋体" w:hAnsi="宋体" w:eastAsia="宋体"/>
                <w:b w:val="0"/>
                <w:i w:val="0"/>
                <w:sz w:val="20"/>
              </w:rPr>
              <w:t>F⁻</w:t>
            </w:r>
          </w:p>
        </w:tc>
        <w:tc>
          <w:tcPr>
            <w:tcW w:w="2771" w:type="dxa"/>
          </w:tcPr>
          <w:p w14:paraId="145EBEF8">
            <w:pPr>
              <w:spacing w:after="0"/>
              <w:jc w:val="center"/>
            </w:pPr>
            <w:r>
              <w:rPr>
                <w:rFonts w:ascii="宋体" w:hAnsi="宋体" w:eastAsia="宋体"/>
                <w:b w:val="0"/>
                <w:i w:val="0"/>
                <w:sz w:val="20"/>
              </w:rPr>
              <w:t>氟离子</w:t>
            </w:r>
          </w:p>
        </w:tc>
        <w:tc>
          <w:tcPr>
            <w:tcW w:w="2771" w:type="dxa"/>
          </w:tcPr>
          <w:p w14:paraId="51C04B4C">
            <w:pPr>
              <w:spacing w:after="0"/>
              <w:jc w:val="center"/>
            </w:pPr>
            <w:r>
              <w:rPr>
                <w:rFonts w:ascii="宋体" w:hAnsi="宋体" w:eastAsia="宋体"/>
                <w:b w:val="0"/>
                <w:i w:val="0"/>
                <w:sz w:val="20"/>
              </w:rPr>
              <w:t>mg/L</w:t>
            </w:r>
          </w:p>
        </w:tc>
      </w:tr>
      <w:tr w14:paraId="6CE1B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9C2639B">
            <w:pPr>
              <w:spacing w:after="0"/>
              <w:jc w:val="center"/>
            </w:pPr>
            <w:r>
              <w:rPr>
                <w:rFonts w:ascii="宋体" w:hAnsi="宋体" w:eastAsia="宋体"/>
                <w:b w:val="0"/>
                <w:i w:val="0"/>
                <w:sz w:val="20"/>
              </w:rPr>
              <w:t>Cl⁻</w:t>
            </w:r>
          </w:p>
        </w:tc>
        <w:tc>
          <w:tcPr>
            <w:tcW w:w="2771" w:type="dxa"/>
          </w:tcPr>
          <w:p w14:paraId="6D24B275">
            <w:pPr>
              <w:spacing w:after="0"/>
              <w:jc w:val="center"/>
            </w:pPr>
            <w:r>
              <w:rPr>
                <w:rFonts w:ascii="宋体" w:hAnsi="宋体" w:eastAsia="宋体"/>
                <w:b w:val="0"/>
                <w:i w:val="0"/>
                <w:sz w:val="20"/>
              </w:rPr>
              <w:t>氯离子</w:t>
            </w:r>
          </w:p>
        </w:tc>
        <w:tc>
          <w:tcPr>
            <w:tcW w:w="2771" w:type="dxa"/>
          </w:tcPr>
          <w:p w14:paraId="11C8B716">
            <w:pPr>
              <w:spacing w:after="0"/>
              <w:jc w:val="center"/>
            </w:pPr>
            <w:r>
              <w:rPr>
                <w:rFonts w:ascii="宋体" w:hAnsi="宋体" w:eastAsia="宋体"/>
                <w:b w:val="0"/>
                <w:i w:val="0"/>
                <w:sz w:val="20"/>
              </w:rPr>
              <w:t>mg/L</w:t>
            </w:r>
          </w:p>
        </w:tc>
      </w:tr>
      <w:tr w14:paraId="28045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09AD894D">
            <w:pPr>
              <w:spacing w:after="0"/>
              <w:jc w:val="center"/>
            </w:pPr>
            <w:r>
              <w:rPr>
                <w:rFonts w:ascii="宋体" w:hAnsi="宋体" w:eastAsia="宋体"/>
                <w:b w:val="0"/>
                <w:i w:val="0"/>
                <w:sz w:val="20"/>
              </w:rPr>
              <w:t>NO₃⁻</w:t>
            </w:r>
          </w:p>
        </w:tc>
        <w:tc>
          <w:tcPr>
            <w:tcW w:w="2771" w:type="dxa"/>
          </w:tcPr>
          <w:p w14:paraId="2A720FF6">
            <w:pPr>
              <w:spacing w:after="0"/>
              <w:jc w:val="center"/>
            </w:pPr>
            <w:r>
              <w:rPr>
                <w:rFonts w:ascii="宋体" w:hAnsi="宋体" w:eastAsia="宋体"/>
                <w:b w:val="0"/>
                <w:i w:val="0"/>
                <w:sz w:val="20"/>
              </w:rPr>
              <w:t>硝酸盐</w:t>
            </w:r>
          </w:p>
        </w:tc>
        <w:tc>
          <w:tcPr>
            <w:tcW w:w="2771" w:type="dxa"/>
          </w:tcPr>
          <w:p w14:paraId="4D9634BC">
            <w:pPr>
              <w:spacing w:after="0"/>
              <w:jc w:val="center"/>
            </w:pPr>
            <w:r>
              <w:rPr>
                <w:rFonts w:ascii="宋体" w:hAnsi="宋体" w:eastAsia="宋体"/>
                <w:b w:val="0"/>
                <w:i w:val="0"/>
                <w:sz w:val="20"/>
              </w:rPr>
              <w:t>mg/L</w:t>
            </w:r>
          </w:p>
        </w:tc>
      </w:tr>
      <w:tr w14:paraId="3C9A9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1EE4B0AF">
            <w:pPr>
              <w:spacing w:after="0"/>
              <w:jc w:val="center"/>
            </w:pPr>
            <w:r>
              <w:rPr>
                <w:rFonts w:ascii="宋体" w:hAnsi="宋体" w:eastAsia="宋体"/>
                <w:b w:val="0"/>
                <w:i w:val="0"/>
                <w:sz w:val="20"/>
              </w:rPr>
              <w:t>SO₄²⁻</w:t>
            </w:r>
          </w:p>
        </w:tc>
        <w:tc>
          <w:tcPr>
            <w:tcW w:w="2771" w:type="dxa"/>
          </w:tcPr>
          <w:p w14:paraId="6BAF1BD2">
            <w:pPr>
              <w:spacing w:after="0"/>
              <w:jc w:val="center"/>
            </w:pPr>
            <w:r>
              <w:rPr>
                <w:rFonts w:ascii="宋体" w:hAnsi="宋体" w:eastAsia="宋体"/>
                <w:b w:val="0"/>
                <w:i w:val="0"/>
                <w:sz w:val="20"/>
              </w:rPr>
              <w:t>硫酸盐</w:t>
            </w:r>
          </w:p>
        </w:tc>
        <w:tc>
          <w:tcPr>
            <w:tcW w:w="2771" w:type="dxa"/>
          </w:tcPr>
          <w:p w14:paraId="430DC166">
            <w:pPr>
              <w:spacing w:after="0"/>
              <w:jc w:val="center"/>
            </w:pPr>
            <w:r>
              <w:rPr>
                <w:rFonts w:ascii="宋体" w:hAnsi="宋体" w:eastAsia="宋体"/>
                <w:b w:val="0"/>
                <w:i w:val="0"/>
                <w:sz w:val="20"/>
              </w:rPr>
              <w:t>mg/L</w:t>
            </w:r>
          </w:p>
        </w:tc>
      </w:tr>
      <w:tr w14:paraId="13860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1F80584B">
            <w:pPr>
              <w:spacing w:after="0"/>
              <w:jc w:val="center"/>
            </w:pPr>
            <w:r>
              <w:rPr>
                <w:rFonts w:ascii="宋体" w:hAnsi="宋体" w:eastAsia="宋体"/>
                <w:b w:val="0"/>
                <w:i w:val="0"/>
                <w:sz w:val="20"/>
              </w:rPr>
              <w:t>PO₄³⁻</w:t>
            </w:r>
          </w:p>
        </w:tc>
        <w:tc>
          <w:tcPr>
            <w:tcW w:w="2771" w:type="dxa"/>
          </w:tcPr>
          <w:p w14:paraId="039B9566">
            <w:pPr>
              <w:spacing w:after="0"/>
              <w:jc w:val="center"/>
            </w:pPr>
            <w:r>
              <w:rPr>
                <w:rFonts w:ascii="宋体" w:hAnsi="宋体" w:eastAsia="宋体"/>
                <w:b w:val="0"/>
                <w:i w:val="0"/>
                <w:sz w:val="20"/>
              </w:rPr>
              <w:t>磷酸盐</w:t>
            </w:r>
          </w:p>
        </w:tc>
        <w:tc>
          <w:tcPr>
            <w:tcW w:w="2771" w:type="dxa"/>
          </w:tcPr>
          <w:p w14:paraId="645724C9">
            <w:pPr>
              <w:spacing w:after="0"/>
              <w:jc w:val="center"/>
            </w:pPr>
            <w:r>
              <w:rPr>
                <w:rFonts w:ascii="宋体" w:hAnsi="宋体" w:eastAsia="宋体"/>
                <w:b w:val="0"/>
                <w:i w:val="0"/>
                <w:sz w:val="20"/>
              </w:rPr>
              <w:t>mg/L</w:t>
            </w:r>
          </w:p>
        </w:tc>
      </w:tr>
      <w:tr w14:paraId="56031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5E06CA4">
            <w:pPr>
              <w:spacing w:after="0"/>
              <w:jc w:val="center"/>
            </w:pPr>
            <w:r>
              <w:rPr>
                <w:rFonts w:ascii="宋体" w:hAnsi="宋体" w:eastAsia="宋体"/>
                <w:b w:val="0"/>
                <w:i w:val="0"/>
                <w:sz w:val="20"/>
              </w:rPr>
              <w:t>U</w:t>
            </w:r>
          </w:p>
        </w:tc>
        <w:tc>
          <w:tcPr>
            <w:tcW w:w="2771" w:type="dxa"/>
          </w:tcPr>
          <w:p w14:paraId="505AF478">
            <w:pPr>
              <w:spacing w:after="0"/>
              <w:jc w:val="center"/>
            </w:pPr>
            <w:r>
              <w:rPr>
                <w:rFonts w:ascii="宋体" w:hAnsi="宋体" w:eastAsia="宋体"/>
                <w:b w:val="0"/>
                <w:i w:val="0"/>
                <w:sz w:val="20"/>
              </w:rPr>
              <w:t>铀</w:t>
            </w:r>
          </w:p>
        </w:tc>
        <w:tc>
          <w:tcPr>
            <w:tcW w:w="2771" w:type="dxa"/>
          </w:tcPr>
          <w:p w14:paraId="47FE9E96">
            <w:pPr>
              <w:spacing w:after="0"/>
              <w:jc w:val="center"/>
            </w:pPr>
            <w:r>
              <w:rPr>
                <w:rFonts w:ascii="宋体" w:hAnsi="宋体" w:eastAsia="宋体"/>
                <w:b w:val="0"/>
                <w:i w:val="0"/>
                <w:sz w:val="20"/>
              </w:rPr>
              <w:t>μg/L</w:t>
            </w:r>
          </w:p>
        </w:tc>
      </w:tr>
      <w:tr w14:paraId="323B7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395E11AE">
            <w:pPr>
              <w:spacing w:after="0"/>
              <w:jc w:val="center"/>
            </w:pPr>
            <w:r>
              <w:rPr>
                <w:rFonts w:ascii="宋体" w:hAnsi="宋体" w:eastAsia="宋体"/>
                <w:b w:val="0"/>
                <w:i w:val="0"/>
                <w:sz w:val="20"/>
              </w:rPr>
              <w:t>CaH</w:t>
            </w:r>
          </w:p>
        </w:tc>
        <w:tc>
          <w:tcPr>
            <w:tcW w:w="2771" w:type="dxa"/>
          </w:tcPr>
          <w:p w14:paraId="6B6CF3BF">
            <w:pPr>
              <w:spacing w:after="0"/>
              <w:jc w:val="center"/>
            </w:pPr>
            <w:r>
              <w:rPr>
                <w:rFonts w:ascii="宋体" w:hAnsi="宋体" w:eastAsia="宋体"/>
                <w:b w:val="0"/>
                <w:i w:val="0"/>
                <w:sz w:val="20"/>
              </w:rPr>
              <w:t>钙硬度</w:t>
            </w:r>
          </w:p>
        </w:tc>
        <w:tc>
          <w:tcPr>
            <w:tcW w:w="2771" w:type="dxa"/>
          </w:tcPr>
          <w:p w14:paraId="09277999">
            <w:pPr>
              <w:spacing w:after="0"/>
              <w:jc w:val="center"/>
            </w:pPr>
            <w:r>
              <w:rPr>
                <w:rFonts w:ascii="宋体" w:hAnsi="宋体" w:eastAsia="宋体"/>
                <w:b w:val="0"/>
                <w:i w:val="0"/>
                <w:sz w:val="20"/>
              </w:rPr>
              <w:t>mg/L</w:t>
            </w:r>
          </w:p>
        </w:tc>
      </w:tr>
      <w:tr w14:paraId="469E9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53AD045B">
            <w:pPr>
              <w:spacing w:after="0"/>
              <w:jc w:val="center"/>
            </w:pPr>
            <w:r>
              <w:rPr>
                <w:rFonts w:ascii="宋体" w:hAnsi="宋体" w:eastAsia="宋体"/>
                <w:b w:val="0"/>
                <w:i w:val="0"/>
                <w:sz w:val="20"/>
              </w:rPr>
              <w:t>MgH</w:t>
            </w:r>
          </w:p>
        </w:tc>
        <w:tc>
          <w:tcPr>
            <w:tcW w:w="2771" w:type="dxa"/>
          </w:tcPr>
          <w:p w14:paraId="0F386FF1">
            <w:pPr>
              <w:spacing w:after="0"/>
              <w:jc w:val="center"/>
            </w:pPr>
            <w:r>
              <w:rPr>
                <w:rFonts w:ascii="宋体" w:hAnsi="宋体" w:eastAsia="宋体"/>
                <w:b w:val="0"/>
                <w:i w:val="0"/>
                <w:sz w:val="20"/>
              </w:rPr>
              <w:t>镁硬度</w:t>
            </w:r>
          </w:p>
        </w:tc>
        <w:tc>
          <w:tcPr>
            <w:tcW w:w="2771" w:type="dxa"/>
          </w:tcPr>
          <w:p w14:paraId="03D5B5C6">
            <w:pPr>
              <w:spacing w:after="0"/>
              <w:jc w:val="center"/>
            </w:pPr>
            <w:r>
              <w:rPr>
                <w:rFonts w:ascii="宋体" w:hAnsi="宋体" w:eastAsia="宋体"/>
                <w:b w:val="0"/>
                <w:i w:val="0"/>
                <w:sz w:val="20"/>
              </w:rPr>
              <w:t>mg/L</w:t>
            </w:r>
          </w:p>
        </w:tc>
      </w:tr>
      <w:tr w14:paraId="487F4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32717B5D">
            <w:pPr>
              <w:spacing w:after="0"/>
              <w:jc w:val="center"/>
            </w:pPr>
            <w:r>
              <w:rPr>
                <w:rFonts w:ascii="宋体" w:hAnsi="宋体" w:eastAsia="宋体"/>
                <w:b w:val="0"/>
                <w:i w:val="0"/>
                <w:sz w:val="20"/>
              </w:rPr>
              <w:t>HCO₃⁻</w:t>
            </w:r>
          </w:p>
        </w:tc>
        <w:tc>
          <w:tcPr>
            <w:tcW w:w="2771" w:type="dxa"/>
          </w:tcPr>
          <w:p w14:paraId="665BE83B">
            <w:pPr>
              <w:spacing w:after="0"/>
              <w:jc w:val="center"/>
            </w:pPr>
            <w:r>
              <w:rPr>
                <w:rFonts w:ascii="宋体" w:hAnsi="宋体" w:eastAsia="宋体"/>
                <w:b w:val="0"/>
                <w:i w:val="0"/>
                <w:sz w:val="20"/>
              </w:rPr>
              <w:t>碳酸氢根</w:t>
            </w:r>
          </w:p>
        </w:tc>
        <w:tc>
          <w:tcPr>
            <w:tcW w:w="2771" w:type="dxa"/>
          </w:tcPr>
          <w:p w14:paraId="27264947">
            <w:pPr>
              <w:spacing w:after="0"/>
              <w:jc w:val="center"/>
            </w:pPr>
            <w:r>
              <w:rPr>
                <w:rFonts w:ascii="宋体" w:hAnsi="宋体" w:eastAsia="宋体"/>
                <w:b w:val="0"/>
                <w:i w:val="0"/>
                <w:sz w:val="20"/>
              </w:rPr>
              <w:t>mg/L</w:t>
            </w:r>
          </w:p>
        </w:tc>
      </w:tr>
    </w:tbl>
    <w:p w14:paraId="2A0B8BC2"/>
    <w:p w14:paraId="46426958">
      <w:pPr>
        <w:pStyle w:val="5"/>
        <w:spacing w:before="120" w:after="120" w:line="360" w:lineRule="auto"/>
      </w:pPr>
      <w:r>
        <w:rPr>
          <w:rFonts w:ascii="黑体" w:hAnsi="黑体" w:eastAsia="黑体"/>
          <w:b/>
          <w:i w:val="0"/>
          <w:sz w:val="24"/>
        </w:rPr>
        <w:t>A.2 WQI数据集（8特征）</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7D29D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shd w:val="clear" w:color="auto" w:fill="D9E2F3"/>
          </w:tcPr>
          <w:p w14:paraId="5B4949C1">
            <w:pPr>
              <w:spacing w:after="0"/>
              <w:jc w:val="center"/>
            </w:pPr>
            <w:r>
              <w:rPr>
                <w:rFonts w:ascii="宋体" w:hAnsi="宋体" w:eastAsia="宋体"/>
                <w:b/>
                <w:i w:val="0"/>
                <w:sz w:val="20"/>
              </w:rPr>
              <w:t>特征名</w:t>
            </w:r>
          </w:p>
        </w:tc>
        <w:tc>
          <w:tcPr>
            <w:tcW w:w="2771" w:type="dxa"/>
            <w:shd w:val="clear" w:color="auto" w:fill="D9E2F3"/>
          </w:tcPr>
          <w:p w14:paraId="4299E0CE">
            <w:pPr>
              <w:spacing w:after="0"/>
              <w:jc w:val="center"/>
            </w:pPr>
            <w:r>
              <w:rPr>
                <w:rFonts w:ascii="宋体" w:hAnsi="宋体" w:eastAsia="宋体"/>
                <w:b/>
                <w:i w:val="0"/>
                <w:sz w:val="20"/>
              </w:rPr>
              <w:t>中文含义</w:t>
            </w:r>
          </w:p>
        </w:tc>
        <w:tc>
          <w:tcPr>
            <w:tcW w:w="2771" w:type="dxa"/>
            <w:shd w:val="clear" w:color="auto" w:fill="D9E2F3"/>
          </w:tcPr>
          <w:p w14:paraId="07255999">
            <w:pPr>
              <w:spacing w:after="0"/>
              <w:jc w:val="center"/>
            </w:pPr>
            <w:r>
              <w:rPr>
                <w:rFonts w:ascii="宋体" w:hAnsi="宋体" w:eastAsia="宋体"/>
                <w:b/>
                <w:i w:val="0"/>
                <w:sz w:val="20"/>
              </w:rPr>
              <w:t>单位</w:t>
            </w:r>
          </w:p>
        </w:tc>
      </w:tr>
      <w:tr w14:paraId="6F8EF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0470FC6E">
            <w:pPr>
              <w:spacing w:after="0"/>
              <w:jc w:val="center"/>
            </w:pPr>
            <w:r>
              <w:rPr>
                <w:rFonts w:ascii="宋体" w:hAnsi="宋体" w:eastAsia="宋体"/>
                <w:b w:val="0"/>
                <w:i w:val="0"/>
                <w:sz w:val="20"/>
              </w:rPr>
              <w:t>Temp</w:t>
            </w:r>
          </w:p>
        </w:tc>
        <w:tc>
          <w:tcPr>
            <w:tcW w:w="2771" w:type="dxa"/>
          </w:tcPr>
          <w:p w14:paraId="594169EB">
            <w:pPr>
              <w:spacing w:after="0"/>
              <w:jc w:val="center"/>
            </w:pPr>
            <w:r>
              <w:rPr>
                <w:rFonts w:ascii="宋体" w:hAnsi="宋体" w:eastAsia="宋体"/>
                <w:b w:val="0"/>
                <w:i w:val="0"/>
                <w:sz w:val="20"/>
              </w:rPr>
              <w:t>温度</w:t>
            </w:r>
          </w:p>
        </w:tc>
        <w:tc>
          <w:tcPr>
            <w:tcW w:w="2771" w:type="dxa"/>
          </w:tcPr>
          <w:p w14:paraId="0158B583">
            <w:pPr>
              <w:spacing w:after="0"/>
              <w:jc w:val="center"/>
            </w:pPr>
            <w:r>
              <w:rPr>
                <w:rFonts w:ascii="宋体" w:hAnsi="宋体" w:eastAsia="宋体"/>
                <w:b w:val="0"/>
                <w:i w:val="0"/>
                <w:sz w:val="20"/>
              </w:rPr>
              <w:t>°C</w:t>
            </w:r>
          </w:p>
        </w:tc>
      </w:tr>
      <w:tr w14:paraId="11881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012B95A1">
            <w:pPr>
              <w:spacing w:after="0"/>
              <w:jc w:val="center"/>
            </w:pPr>
            <w:r>
              <w:rPr>
                <w:rFonts w:ascii="宋体" w:hAnsi="宋体" w:eastAsia="宋体"/>
                <w:b w:val="0"/>
                <w:i w:val="0"/>
                <w:sz w:val="20"/>
              </w:rPr>
              <w:t>D.O.</w:t>
            </w:r>
          </w:p>
        </w:tc>
        <w:tc>
          <w:tcPr>
            <w:tcW w:w="2771" w:type="dxa"/>
          </w:tcPr>
          <w:p w14:paraId="0C3CD7A8">
            <w:pPr>
              <w:spacing w:after="0"/>
              <w:jc w:val="center"/>
            </w:pPr>
            <w:r>
              <w:rPr>
                <w:rFonts w:ascii="宋体" w:hAnsi="宋体" w:eastAsia="宋体"/>
                <w:b w:val="0"/>
                <w:i w:val="0"/>
                <w:sz w:val="20"/>
              </w:rPr>
              <w:t>溶解氧</w:t>
            </w:r>
          </w:p>
        </w:tc>
        <w:tc>
          <w:tcPr>
            <w:tcW w:w="2771" w:type="dxa"/>
          </w:tcPr>
          <w:p w14:paraId="5CD1689E">
            <w:pPr>
              <w:spacing w:after="0"/>
              <w:jc w:val="center"/>
            </w:pPr>
            <w:r>
              <w:rPr>
                <w:rFonts w:ascii="宋体" w:hAnsi="宋体" w:eastAsia="宋体"/>
                <w:b w:val="0"/>
                <w:i w:val="0"/>
                <w:sz w:val="20"/>
              </w:rPr>
              <w:t>mg/L</w:t>
            </w:r>
          </w:p>
        </w:tc>
      </w:tr>
      <w:tr w14:paraId="66D62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72369DCE">
            <w:pPr>
              <w:spacing w:after="0"/>
              <w:jc w:val="center"/>
            </w:pPr>
            <w:r>
              <w:rPr>
                <w:rFonts w:ascii="宋体" w:hAnsi="宋体" w:eastAsia="宋体"/>
                <w:b w:val="0"/>
                <w:i w:val="0"/>
                <w:sz w:val="20"/>
              </w:rPr>
              <w:t>PH</w:t>
            </w:r>
          </w:p>
        </w:tc>
        <w:tc>
          <w:tcPr>
            <w:tcW w:w="2771" w:type="dxa"/>
          </w:tcPr>
          <w:p w14:paraId="281844D0">
            <w:pPr>
              <w:spacing w:after="0"/>
              <w:jc w:val="center"/>
            </w:pPr>
            <w:r>
              <w:rPr>
                <w:rFonts w:ascii="宋体" w:hAnsi="宋体" w:eastAsia="宋体"/>
                <w:b w:val="0"/>
                <w:i w:val="0"/>
                <w:sz w:val="20"/>
              </w:rPr>
              <w:t>酸碱度</w:t>
            </w:r>
          </w:p>
        </w:tc>
        <w:tc>
          <w:tcPr>
            <w:tcW w:w="2771" w:type="dxa"/>
          </w:tcPr>
          <w:p w14:paraId="1F5F2671">
            <w:pPr>
              <w:spacing w:after="0"/>
              <w:jc w:val="center"/>
            </w:pPr>
            <w:r>
              <w:rPr>
                <w:rFonts w:ascii="宋体" w:hAnsi="宋体" w:eastAsia="宋体"/>
                <w:b w:val="0"/>
                <w:i w:val="0"/>
                <w:sz w:val="20"/>
              </w:rPr>
              <w:t>—</w:t>
            </w:r>
          </w:p>
        </w:tc>
      </w:tr>
      <w:tr w14:paraId="11AB8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C45A16A">
            <w:pPr>
              <w:spacing w:after="0"/>
              <w:jc w:val="center"/>
            </w:pPr>
            <w:r>
              <w:rPr>
                <w:rFonts w:ascii="宋体" w:hAnsi="宋体" w:eastAsia="宋体"/>
                <w:b w:val="0"/>
                <w:i w:val="0"/>
                <w:sz w:val="20"/>
              </w:rPr>
              <w:t>CONDUCTIVITY</w:t>
            </w:r>
          </w:p>
        </w:tc>
        <w:tc>
          <w:tcPr>
            <w:tcW w:w="2771" w:type="dxa"/>
          </w:tcPr>
          <w:p w14:paraId="24FFA23F">
            <w:pPr>
              <w:spacing w:after="0"/>
              <w:jc w:val="center"/>
            </w:pPr>
            <w:r>
              <w:rPr>
                <w:rFonts w:ascii="宋体" w:hAnsi="宋体" w:eastAsia="宋体"/>
                <w:b w:val="0"/>
                <w:i w:val="0"/>
                <w:sz w:val="20"/>
              </w:rPr>
              <w:t>电导率</w:t>
            </w:r>
          </w:p>
        </w:tc>
        <w:tc>
          <w:tcPr>
            <w:tcW w:w="2771" w:type="dxa"/>
          </w:tcPr>
          <w:p w14:paraId="0E7D0B31">
            <w:pPr>
              <w:spacing w:after="0"/>
              <w:jc w:val="center"/>
            </w:pPr>
            <w:r>
              <w:rPr>
                <w:rFonts w:ascii="宋体" w:hAnsi="宋体" w:eastAsia="宋体"/>
                <w:b w:val="0"/>
                <w:i w:val="0"/>
                <w:sz w:val="20"/>
              </w:rPr>
              <w:t>μmhos/cm</w:t>
            </w:r>
          </w:p>
        </w:tc>
      </w:tr>
      <w:tr w14:paraId="3457D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4E3C8D77">
            <w:pPr>
              <w:spacing w:after="0"/>
              <w:jc w:val="center"/>
            </w:pPr>
            <w:r>
              <w:rPr>
                <w:rFonts w:ascii="宋体" w:hAnsi="宋体" w:eastAsia="宋体"/>
                <w:b w:val="0"/>
                <w:i w:val="0"/>
                <w:sz w:val="20"/>
              </w:rPr>
              <w:t>B.O.D.</w:t>
            </w:r>
          </w:p>
        </w:tc>
        <w:tc>
          <w:tcPr>
            <w:tcW w:w="2771" w:type="dxa"/>
          </w:tcPr>
          <w:p w14:paraId="285E4E5F">
            <w:pPr>
              <w:spacing w:after="0"/>
              <w:jc w:val="center"/>
            </w:pPr>
            <w:r>
              <w:rPr>
                <w:rFonts w:ascii="宋体" w:hAnsi="宋体" w:eastAsia="宋体"/>
                <w:b w:val="0"/>
                <w:i w:val="0"/>
                <w:sz w:val="20"/>
              </w:rPr>
              <w:t>生化需氧量</w:t>
            </w:r>
          </w:p>
        </w:tc>
        <w:tc>
          <w:tcPr>
            <w:tcW w:w="2771" w:type="dxa"/>
          </w:tcPr>
          <w:p w14:paraId="5ADEB3FE">
            <w:pPr>
              <w:spacing w:after="0"/>
              <w:jc w:val="center"/>
            </w:pPr>
            <w:r>
              <w:rPr>
                <w:rFonts w:ascii="宋体" w:hAnsi="宋体" w:eastAsia="宋体"/>
                <w:b w:val="0"/>
                <w:i w:val="0"/>
                <w:sz w:val="20"/>
              </w:rPr>
              <w:t>mg/L</w:t>
            </w:r>
          </w:p>
        </w:tc>
      </w:tr>
      <w:tr w14:paraId="7D338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4DED5CD">
            <w:pPr>
              <w:spacing w:after="0"/>
              <w:jc w:val="center"/>
            </w:pPr>
            <w:r>
              <w:rPr>
                <w:rFonts w:ascii="宋体" w:hAnsi="宋体" w:eastAsia="宋体"/>
                <w:b w:val="0"/>
                <w:i w:val="0"/>
                <w:sz w:val="20"/>
              </w:rPr>
              <w:t>NITRATE+NITRITE</w:t>
            </w:r>
          </w:p>
        </w:tc>
        <w:tc>
          <w:tcPr>
            <w:tcW w:w="2771" w:type="dxa"/>
          </w:tcPr>
          <w:p w14:paraId="34D3B635">
            <w:pPr>
              <w:spacing w:after="0"/>
              <w:jc w:val="center"/>
            </w:pPr>
            <w:r>
              <w:rPr>
                <w:rFonts w:ascii="宋体" w:hAnsi="宋体" w:eastAsia="宋体"/>
                <w:b w:val="0"/>
                <w:i w:val="0"/>
                <w:sz w:val="20"/>
              </w:rPr>
              <w:t>硝酸盐+亚硝酸盐</w:t>
            </w:r>
          </w:p>
        </w:tc>
        <w:tc>
          <w:tcPr>
            <w:tcW w:w="2771" w:type="dxa"/>
          </w:tcPr>
          <w:p w14:paraId="6A7E9CCF">
            <w:pPr>
              <w:spacing w:after="0"/>
              <w:jc w:val="center"/>
            </w:pPr>
            <w:r>
              <w:rPr>
                <w:rFonts w:ascii="宋体" w:hAnsi="宋体" w:eastAsia="宋体"/>
                <w:b w:val="0"/>
                <w:i w:val="0"/>
                <w:sz w:val="20"/>
              </w:rPr>
              <w:t>mg/L</w:t>
            </w:r>
          </w:p>
        </w:tc>
      </w:tr>
      <w:tr w14:paraId="07471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44F31794">
            <w:pPr>
              <w:spacing w:after="0"/>
              <w:jc w:val="center"/>
            </w:pPr>
            <w:r>
              <w:rPr>
                <w:rFonts w:ascii="宋体" w:hAnsi="宋体" w:eastAsia="宋体"/>
                <w:b w:val="0"/>
                <w:i w:val="0"/>
                <w:sz w:val="20"/>
              </w:rPr>
              <w:t>FECAL COLIFORM</w:t>
            </w:r>
          </w:p>
        </w:tc>
        <w:tc>
          <w:tcPr>
            <w:tcW w:w="2771" w:type="dxa"/>
          </w:tcPr>
          <w:p w14:paraId="7AEA42A8">
            <w:pPr>
              <w:spacing w:after="0"/>
              <w:jc w:val="center"/>
            </w:pPr>
            <w:r>
              <w:rPr>
                <w:rFonts w:ascii="宋体" w:hAnsi="宋体" w:eastAsia="宋体"/>
                <w:b w:val="0"/>
                <w:i w:val="0"/>
                <w:sz w:val="20"/>
              </w:rPr>
              <w:t>粪大肠菌群</w:t>
            </w:r>
          </w:p>
        </w:tc>
        <w:tc>
          <w:tcPr>
            <w:tcW w:w="2771" w:type="dxa"/>
          </w:tcPr>
          <w:p w14:paraId="50AB1008">
            <w:pPr>
              <w:spacing w:after="0"/>
              <w:jc w:val="center"/>
            </w:pPr>
            <w:r>
              <w:rPr>
                <w:rFonts w:ascii="宋体" w:hAnsi="宋体" w:eastAsia="宋体"/>
                <w:b w:val="0"/>
                <w:i w:val="0"/>
                <w:sz w:val="20"/>
              </w:rPr>
              <w:t>MPN/100ml</w:t>
            </w:r>
          </w:p>
        </w:tc>
      </w:tr>
      <w:tr w14:paraId="33B99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B1862A6">
            <w:pPr>
              <w:spacing w:after="0"/>
              <w:jc w:val="center"/>
            </w:pPr>
            <w:r>
              <w:rPr>
                <w:rFonts w:ascii="宋体" w:hAnsi="宋体" w:eastAsia="宋体"/>
                <w:b w:val="0"/>
                <w:i w:val="0"/>
                <w:sz w:val="20"/>
              </w:rPr>
              <w:t>TOTAL COLIFORM</w:t>
            </w:r>
          </w:p>
        </w:tc>
        <w:tc>
          <w:tcPr>
            <w:tcW w:w="2771" w:type="dxa"/>
          </w:tcPr>
          <w:p w14:paraId="4070F6BC">
            <w:pPr>
              <w:spacing w:after="0"/>
              <w:jc w:val="center"/>
            </w:pPr>
            <w:r>
              <w:rPr>
                <w:rFonts w:ascii="宋体" w:hAnsi="宋体" w:eastAsia="宋体"/>
                <w:b w:val="0"/>
                <w:i w:val="0"/>
                <w:sz w:val="20"/>
              </w:rPr>
              <w:t>总大肠菌群</w:t>
            </w:r>
          </w:p>
        </w:tc>
        <w:tc>
          <w:tcPr>
            <w:tcW w:w="2771" w:type="dxa"/>
          </w:tcPr>
          <w:p w14:paraId="392A1B9E">
            <w:pPr>
              <w:spacing w:after="0"/>
              <w:jc w:val="center"/>
            </w:pPr>
            <w:r>
              <w:rPr>
                <w:rFonts w:ascii="宋体" w:hAnsi="宋体" w:eastAsia="宋体"/>
                <w:b w:val="0"/>
                <w:i w:val="0"/>
                <w:sz w:val="20"/>
              </w:rPr>
              <w:t>MPN/100ml</w:t>
            </w:r>
          </w:p>
        </w:tc>
      </w:tr>
    </w:tbl>
    <w:p w14:paraId="13B0F72C"/>
    <w:p w14:paraId="3DBD039E">
      <w:pPr>
        <w:pStyle w:val="5"/>
        <w:spacing w:before="120" w:after="120" w:line="360" w:lineRule="auto"/>
      </w:pPr>
      <w:r>
        <w:rPr>
          <w:rFonts w:ascii="黑体" w:hAnsi="黑体" w:eastAsia="黑体"/>
          <w:b/>
          <w:i w:val="0"/>
          <w:sz w:val="24"/>
        </w:rPr>
        <w:t>A.3 Sample数据集（11特征）</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75495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shd w:val="clear" w:color="auto" w:fill="D9E2F3"/>
          </w:tcPr>
          <w:p w14:paraId="60A40C82">
            <w:pPr>
              <w:spacing w:after="0"/>
              <w:jc w:val="center"/>
            </w:pPr>
            <w:r>
              <w:rPr>
                <w:rFonts w:ascii="宋体" w:hAnsi="宋体" w:eastAsia="宋体"/>
                <w:b/>
                <w:i w:val="0"/>
                <w:sz w:val="20"/>
              </w:rPr>
              <w:t>特征名</w:t>
            </w:r>
          </w:p>
        </w:tc>
        <w:tc>
          <w:tcPr>
            <w:tcW w:w="4156" w:type="dxa"/>
            <w:shd w:val="clear" w:color="auto" w:fill="D9E2F3"/>
          </w:tcPr>
          <w:p w14:paraId="69300FE5">
            <w:pPr>
              <w:spacing w:after="0"/>
              <w:jc w:val="center"/>
            </w:pPr>
            <w:r>
              <w:rPr>
                <w:rFonts w:ascii="宋体" w:hAnsi="宋体" w:eastAsia="宋体"/>
                <w:b/>
                <w:i w:val="0"/>
                <w:sz w:val="20"/>
              </w:rPr>
              <w:t>中文含义</w:t>
            </w:r>
          </w:p>
        </w:tc>
      </w:tr>
      <w:tr w14:paraId="561FB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26E62EE0">
            <w:pPr>
              <w:spacing w:after="0"/>
              <w:jc w:val="center"/>
            </w:pPr>
            <w:r>
              <w:rPr>
                <w:rFonts w:ascii="宋体" w:hAnsi="宋体" w:eastAsia="宋体"/>
                <w:b w:val="0"/>
                <w:i w:val="0"/>
                <w:sz w:val="20"/>
              </w:rPr>
              <w:t>Alkalinity-total</w:t>
            </w:r>
          </w:p>
        </w:tc>
        <w:tc>
          <w:tcPr>
            <w:tcW w:w="4156" w:type="dxa"/>
          </w:tcPr>
          <w:p w14:paraId="0F61CC45">
            <w:pPr>
              <w:spacing w:after="0"/>
              <w:jc w:val="center"/>
            </w:pPr>
            <w:r>
              <w:rPr>
                <w:rFonts w:ascii="宋体" w:hAnsi="宋体" w:eastAsia="宋体"/>
                <w:b w:val="0"/>
                <w:i w:val="0"/>
                <w:sz w:val="20"/>
              </w:rPr>
              <w:t>总碱度</w:t>
            </w:r>
          </w:p>
        </w:tc>
      </w:tr>
      <w:tr w14:paraId="66D75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00066617">
            <w:pPr>
              <w:spacing w:after="0"/>
              <w:jc w:val="center"/>
            </w:pPr>
            <w:r>
              <w:rPr>
                <w:rFonts w:ascii="宋体" w:hAnsi="宋体" w:eastAsia="宋体"/>
                <w:b w:val="0"/>
                <w:i w:val="0"/>
                <w:sz w:val="20"/>
              </w:rPr>
              <w:t>Ammonia-Total</w:t>
            </w:r>
          </w:p>
        </w:tc>
        <w:tc>
          <w:tcPr>
            <w:tcW w:w="4156" w:type="dxa"/>
          </w:tcPr>
          <w:p w14:paraId="18859540">
            <w:pPr>
              <w:spacing w:after="0"/>
              <w:jc w:val="center"/>
            </w:pPr>
            <w:r>
              <w:rPr>
                <w:rFonts w:ascii="宋体" w:hAnsi="宋体" w:eastAsia="宋体"/>
                <w:b w:val="0"/>
                <w:i w:val="0"/>
                <w:sz w:val="20"/>
              </w:rPr>
              <w:t>总氨氮</w:t>
            </w:r>
          </w:p>
        </w:tc>
      </w:tr>
      <w:tr w14:paraId="5F4DC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26F96A6A">
            <w:pPr>
              <w:spacing w:after="0"/>
              <w:jc w:val="center"/>
            </w:pPr>
            <w:r>
              <w:rPr>
                <w:rFonts w:ascii="宋体" w:hAnsi="宋体" w:eastAsia="宋体"/>
                <w:b w:val="0"/>
                <w:i w:val="0"/>
                <w:sz w:val="20"/>
              </w:rPr>
              <w:t>BOD-5days</w:t>
            </w:r>
          </w:p>
        </w:tc>
        <w:tc>
          <w:tcPr>
            <w:tcW w:w="4156" w:type="dxa"/>
          </w:tcPr>
          <w:p w14:paraId="6BFC3A9D">
            <w:pPr>
              <w:spacing w:after="0"/>
              <w:jc w:val="center"/>
            </w:pPr>
            <w:r>
              <w:rPr>
                <w:rFonts w:ascii="宋体" w:hAnsi="宋体" w:eastAsia="宋体"/>
                <w:b w:val="0"/>
                <w:i w:val="0"/>
                <w:sz w:val="20"/>
              </w:rPr>
              <w:t>5日生化需氧量</w:t>
            </w:r>
          </w:p>
        </w:tc>
      </w:tr>
      <w:tr w14:paraId="31FFF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0BD89430">
            <w:pPr>
              <w:spacing w:after="0"/>
              <w:jc w:val="center"/>
            </w:pPr>
            <w:r>
              <w:rPr>
                <w:rFonts w:ascii="宋体" w:hAnsi="宋体" w:eastAsia="宋体"/>
                <w:b w:val="0"/>
                <w:i w:val="0"/>
                <w:sz w:val="20"/>
              </w:rPr>
              <w:t>Chloride</w:t>
            </w:r>
          </w:p>
        </w:tc>
        <w:tc>
          <w:tcPr>
            <w:tcW w:w="4156" w:type="dxa"/>
          </w:tcPr>
          <w:p w14:paraId="24F36F28">
            <w:pPr>
              <w:spacing w:after="0"/>
              <w:jc w:val="center"/>
            </w:pPr>
            <w:r>
              <w:rPr>
                <w:rFonts w:ascii="宋体" w:hAnsi="宋体" w:eastAsia="宋体"/>
                <w:b w:val="0"/>
                <w:i w:val="0"/>
                <w:sz w:val="20"/>
              </w:rPr>
              <w:t>氯化物</w:t>
            </w:r>
          </w:p>
        </w:tc>
      </w:tr>
      <w:tr w14:paraId="77FE8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6F59C836">
            <w:pPr>
              <w:spacing w:after="0"/>
              <w:jc w:val="center"/>
            </w:pPr>
            <w:r>
              <w:rPr>
                <w:rFonts w:ascii="宋体" w:hAnsi="宋体" w:eastAsia="宋体"/>
                <w:b w:val="0"/>
                <w:i w:val="0"/>
                <w:sz w:val="20"/>
              </w:rPr>
              <w:t>Conductivity</w:t>
            </w:r>
          </w:p>
        </w:tc>
        <w:tc>
          <w:tcPr>
            <w:tcW w:w="4156" w:type="dxa"/>
          </w:tcPr>
          <w:p w14:paraId="7B97CCF0">
            <w:pPr>
              <w:spacing w:after="0"/>
              <w:jc w:val="center"/>
            </w:pPr>
            <w:r>
              <w:rPr>
                <w:rFonts w:ascii="宋体" w:hAnsi="宋体" w:eastAsia="宋体"/>
                <w:b w:val="0"/>
                <w:i w:val="0"/>
                <w:sz w:val="20"/>
              </w:rPr>
              <w:t>电导率</w:t>
            </w:r>
          </w:p>
        </w:tc>
      </w:tr>
      <w:tr w14:paraId="3D94B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32A9C4F1">
            <w:pPr>
              <w:spacing w:after="0"/>
              <w:jc w:val="center"/>
            </w:pPr>
            <w:r>
              <w:rPr>
                <w:rFonts w:ascii="宋体" w:hAnsi="宋体" w:eastAsia="宋体"/>
                <w:b w:val="0"/>
                <w:i w:val="0"/>
                <w:sz w:val="20"/>
              </w:rPr>
              <w:t>Dissolved Oxygen</w:t>
            </w:r>
          </w:p>
        </w:tc>
        <w:tc>
          <w:tcPr>
            <w:tcW w:w="4156" w:type="dxa"/>
          </w:tcPr>
          <w:p w14:paraId="6B22D97D">
            <w:pPr>
              <w:spacing w:after="0"/>
              <w:jc w:val="center"/>
            </w:pPr>
            <w:r>
              <w:rPr>
                <w:rFonts w:ascii="宋体" w:hAnsi="宋体" w:eastAsia="宋体"/>
                <w:b w:val="0"/>
                <w:i w:val="0"/>
                <w:sz w:val="20"/>
              </w:rPr>
              <w:t>溶解氧</w:t>
            </w:r>
          </w:p>
        </w:tc>
      </w:tr>
      <w:tr w14:paraId="7F7AD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1D3133D4">
            <w:pPr>
              <w:spacing w:after="0"/>
              <w:jc w:val="center"/>
            </w:pPr>
            <w:r>
              <w:rPr>
                <w:rFonts w:ascii="宋体" w:hAnsi="宋体" w:eastAsia="宋体"/>
                <w:b w:val="0"/>
                <w:i w:val="0"/>
                <w:sz w:val="20"/>
              </w:rPr>
              <w:t>ortho-Phosphate</w:t>
            </w:r>
          </w:p>
        </w:tc>
        <w:tc>
          <w:tcPr>
            <w:tcW w:w="4156" w:type="dxa"/>
          </w:tcPr>
          <w:p w14:paraId="360E474F">
            <w:pPr>
              <w:spacing w:after="0"/>
              <w:jc w:val="center"/>
            </w:pPr>
            <w:r>
              <w:rPr>
                <w:rFonts w:ascii="宋体" w:hAnsi="宋体" w:eastAsia="宋体"/>
                <w:b w:val="0"/>
                <w:i w:val="0"/>
                <w:sz w:val="20"/>
              </w:rPr>
              <w:t>正磷酸盐</w:t>
            </w:r>
          </w:p>
        </w:tc>
      </w:tr>
      <w:tr w14:paraId="6C871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362779CB">
            <w:pPr>
              <w:spacing w:after="0"/>
              <w:jc w:val="center"/>
            </w:pPr>
            <w:r>
              <w:rPr>
                <w:rFonts w:ascii="宋体" w:hAnsi="宋体" w:eastAsia="宋体"/>
                <w:b w:val="0"/>
                <w:i w:val="0"/>
                <w:sz w:val="20"/>
              </w:rPr>
              <w:t>pH</w:t>
            </w:r>
          </w:p>
        </w:tc>
        <w:tc>
          <w:tcPr>
            <w:tcW w:w="4156" w:type="dxa"/>
          </w:tcPr>
          <w:p w14:paraId="4981A7C1">
            <w:pPr>
              <w:spacing w:after="0"/>
              <w:jc w:val="center"/>
            </w:pPr>
            <w:r>
              <w:rPr>
                <w:rFonts w:ascii="宋体" w:hAnsi="宋体" w:eastAsia="宋体"/>
                <w:b w:val="0"/>
                <w:i w:val="0"/>
                <w:sz w:val="20"/>
              </w:rPr>
              <w:t>酸碱度</w:t>
            </w:r>
          </w:p>
        </w:tc>
      </w:tr>
      <w:tr w14:paraId="63616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6CCF183F">
            <w:pPr>
              <w:spacing w:after="0"/>
              <w:jc w:val="center"/>
            </w:pPr>
            <w:r>
              <w:rPr>
                <w:rFonts w:ascii="宋体" w:hAnsi="宋体" w:eastAsia="宋体"/>
                <w:b w:val="0"/>
                <w:i w:val="0"/>
                <w:sz w:val="20"/>
              </w:rPr>
              <w:t>Temperature</w:t>
            </w:r>
          </w:p>
        </w:tc>
        <w:tc>
          <w:tcPr>
            <w:tcW w:w="4156" w:type="dxa"/>
          </w:tcPr>
          <w:p w14:paraId="3AED2516">
            <w:pPr>
              <w:spacing w:after="0"/>
              <w:jc w:val="center"/>
            </w:pPr>
            <w:r>
              <w:rPr>
                <w:rFonts w:ascii="宋体" w:hAnsi="宋体" w:eastAsia="宋体"/>
                <w:b w:val="0"/>
                <w:i w:val="0"/>
                <w:sz w:val="20"/>
              </w:rPr>
              <w:t>温度</w:t>
            </w:r>
          </w:p>
        </w:tc>
      </w:tr>
      <w:tr w14:paraId="24AAE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7A387F1A">
            <w:pPr>
              <w:spacing w:after="0"/>
              <w:jc w:val="center"/>
            </w:pPr>
            <w:r>
              <w:rPr>
                <w:rFonts w:ascii="宋体" w:hAnsi="宋体" w:eastAsia="宋体"/>
                <w:b w:val="0"/>
                <w:i w:val="0"/>
                <w:sz w:val="20"/>
              </w:rPr>
              <w:t>Total Hardness</w:t>
            </w:r>
          </w:p>
        </w:tc>
        <w:tc>
          <w:tcPr>
            <w:tcW w:w="4156" w:type="dxa"/>
          </w:tcPr>
          <w:p w14:paraId="6D26DCA5">
            <w:pPr>
              <w:spacing w:after="0"/>
              <w:jc w:val="center"/>
            </w:pPr>
            <w:r>
              <w:rPr>
                <w:rFonts w:ascii="宋体" w:hAnsi="宋体" w:eastAsia="宋体"/>
                <w:b w:val="0"/>
                <w:i w:val="0"/>
                <w:sz w:val="20"/>
              </w:rPr>
              <w:t>总硬度</w:t>
            </w:r>
          </w:p>
        </w:tc>
      </w:tr>
      <w:tr w14:paraId="24F0D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07F2938A">
            <w:pPr>
              <w:spacing w:after="0"/>
              <w:jc w:val="center"/>
            </w:pPr>
            <w:r>
              <w:rPr>
                <w:rFonts w:ascii="宋体" w:hAnsi="宋体" w:eastAsia="宋体"/>
                <w:b w:val="0"/>
                <w:i w:val="0"/>
                <w:sz w:val="20"/>
              </w:rPr>
              <w:t>True Colour</w:t>
            </w:r>
          </w:p>
        </w:tc>
        <w:tc>
          <w:tcPr>
            <w:tcW w:w="4156" w:type="dxa"/>
          </w:tcPr>
          <w:p w14:paraId="4E76C17D">
            <w:pPr>
              <w:spacing w:after="0"/>
              <w:jc w:val="center"/>
            </w:pPr>
            <w:r>
              <w:rPr>
                <w:rFonts w:ascii="宋体" w:hAnsi="宋体" w:eastAsia="宋体"/>
                <w:b w:val="0"/>
                <w:i w:val="0"/>
                <w:sz w:val="20"/>
              </w:rPr>
              <w:t>真实色度</w:t>
            </w:r>
          </w:p>
        </w:tc>
      </w:tr>
    </w:tbl>
    <w:p w14:paraId="25F4534B"/>
    <w:p w14:paraId="0601CA9D">
      <w:pPr>
        <w:pStyle w:val="5"/>
        <w:spacing w:before="120" w:after="120" w:line="360" w:lineRule="auto"/>
      </w:pPr>
      <w:r>
        <w:rPr>
          <w:rFonts w:ascii="黑体" w:hAnsi="黑体" w:eastAsia="黑体"/>
          <w:b/>
          <w:i w:val="0"/>
          <w:sz w:val="24"/>
        </w:rPr>
        <w:t>A.4 AKH数据集（10特征）</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75B05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shd w:val="clear" w:color="auto" w:fill="D9E2F3"/>
          </w:tcPr>
          <w:p w14:paraId="16ADC484">
            <w:pPr>
              <w:spacing w:after="0"/>
              <w:jc w:val="center"/>
            </w:pPr>
            <w:r>
              <w:rPr>
                <w:rFonts w:ascii="宋体" w:hAnsi="宋体" w:eastAsia="宋体"/>
                <w:b/>
                <w:i w:val="0"/>
                <w:sz w:val="20"/>
              </w:rPr>
              <w:t>特征名</w:t>
            </w:r>
          </w:p>
        </w:tc>
        <w:tc>
          <w:tcPr>
            <w:tcW w:w="2771" w:type="dxa"/>
            <w:shd w:val="clear" w:color="auto" w:fill="D9E2F3"/>
          </w:tcPr>
          <w:p w14:paraId="565BC70B">
            <w:pPr>
              <w:spacing w:after="0"/>
              <w:jc w:val="center"/>
            </w:pPr>
            <w:r>
              <w:rPr>
                <w:rFonts w:ascii="宋体" w:hAnsi="宋体" w:eastAsia="宋体"/>
                <w:b/>
                <w:i w:val="0"/>
                <w:sz w:val="20"/>
              </w:rPr>
              <w:t>中文含义</w:t>
            </w:r>
          </w:p>
        </w:tc>
        <w:tc>
          <w:tcPr>
            <w:tcW w:w="2771" w:type="dxa"/>
            <w:shd w:val="clear" w:color="auto" w:fill="D9E2F3"/>
          </w:tcPr>
          <w:p w14:paraId="764D6660">
            <w:pPr>
              <w:spacing w:after="0"/>
              <w:jc w:val="center"/>
            </w:pPr>
            <w:r>
              <w:rPr>
                <w:rFonts w:ascii="宋体" w:hAnsi="宋体" w:eastAsia="宋体"/>
                <w:b/>
                <w:i w:val="0"/>
                <w:sz w:val="20"/>
              </w:rPr>
              <w:t>单位</w:t>
            </w:r>
          </w:p>
        </w:tc>
      </w:tr>
      <w:tr w14:paraId="23B31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15E63876">
            <w:pPr>
              <w:spacing w:after="0"/>
              <w:jc w:val="center"/>
            </w:pPr>
            <w:r>
              <w:rPr>
                <w:rFonts w:ascii="宋体" w:hAnsi="宋体" w:eastAsia="宋体"/>
                <w:b w:val="0"/>
                <w:i w:val="0"/>
                <w:sz w:val="20"/>
              </w:rPr>
              <w:t>PH</w:t>
            </w:r>
          </w:p>
        </w:tc>
        <w:tc>
          <w:tcPr>
            <w:tcW w:w="2771" w:type="dxa"/>
          </w:tcPr>
          <w:p w14:paraId="4826F212">
            <w:pPr>
              <w:spacing w:after="0"/>
              <w:jc w:val="center"/>
            </w:pPr>
            <w:r>
              <w:rPr>
                <w:rFonts w:ascii="宋体" w:hAnsi="宋体" w:eastAsia="宋体"/>
                <w:b w:val="0"/>
                <w:i w:val="0"/>
                <w:sz w:val="20"/>
              </w:rPr>
              <w:t>酸碱度</w:t>
            </w:r>
          </w:p>
        </w:tc>
        <w:tc>
          <w:tcPr>
            <w:tcW w:w="2771" w:type="dxa"/>
          </w:tcPr>
          <w:p w14:paraId="3614C89D">
            <w:pPr>
              <w:spacing w:after="0"/>
              <w:jc w:val="center"/>
            </w:pPr>
            <w:r>
              <w:rPr>
                <w:rFonts w:ascii="宋体" w:hAnsi="宋体" w:eastAsia="宋体"/>
                <w:b w:val="0"/>
                <w:i w:val="0"/>
                <w:sz w:val="20"/>
              </w:rPr>
              <w:t>—</w:t>
            </w:r>
          </w:p>
        </w:tc>
      </w:tr>
      <w:tr w14:paraId="0E384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47DB58FA">
            <w:pPr>
              <w:spacing w:after="0"/>
              <w:jc w:val="center"/>
            </w:pPr>
            <w:r>
              <w:rPr>
                <w:rFonts w:ascii="宋体" w:hAnsi="宋体" w:eastAsia="宋体"/>
                <w:b w:val="0"/>
                <w:i w:val="0"/>
                <w:sz w:val="20"/>
              </w:rPr>
              <w:t>Temp</w:t>
            </w:r>
          </w:p>
        </w:tc>
        <w:tc>
          <w:tcPr>
            <w:tcW w:w="2771" w:type="dxa"/>
          </w:tcPr>
          <w:p w14:paraId="5752B3CA">
            <w:pPr>
              <w:spacing w:after="0"/>
              <w:jc w:val="center"/>
            </w:pPr>
            <w:r>
              <w:rPr>
                <w:rFonts w:ascii="宋体" w:hAnsi="宋体" w:eastAsia="宋体"/>
                <w:b w:val="0"/>
                <w:i w:val="0"/>
                <w:sz w:val="20"/>
              </w:rPr>
              <w:t>温度</w:t>
            </w:r>
          </w:p>
        </w:tc>
        <w:tc>
          <w:tcPr>
            <w:tcW w:w="2771" w:type="dxa"/>
          </w:tcPr>
          <w:p w14:paraId="3A64D61F">
            <w:pPr>
              <w:spacing w:after="0"/>
              <w:jc w:val="center"/>
            </w:pPr>
            <w:r>
              <w:rPr>
                <w:rFonts w:ascii="宋体" w:hAnsi="宋体" w:eastAsia="宋体"/>
                <w:b w:val="0"/>
                <w:i w:val="0"/>
                <w:sz w:val="20"/>
              </w:rPr>
              <w:t>°C</w:t>
            </w:r>
          </w:p>
        </w:tc>
      </w:tr>
      <w:tr w14:paraId="37A57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6623A0BF">
            <w:pPr>
              <w:spacing w:after="0"/>
              <w:jc w:val="center"/>
            </w:pPr>
            <w:r>
              <w:rPr>
                <w:rFonts w:ascii="宋体" w:hAnsi="宋体" w:eastAsia="宋体"/>
                <w:b w:val="0"/>
                <w:i w:val="0"/>
                <w:sz w:val="20"/>
              </w:rPr>
              <w:t>Turbidity</w:t>
            </w:r>
          </w:p>
        </w:tc>
        <w:tc>
          <w:tcPr>
            <w:tcW w:w="2771" w:type="dxa"/>
          </w:tcPr>
          <w:p w14:paraId="17440890">
            <w:pPr>
              <w:spacing w:after="0"/>
              <w:jc w:val="center"/>
            </w:pPr>
            <w:r>
              <w:rPr>
                <w:rFonts w:ascii="宋体" w:hAnsi="宋体" w:eastAsia="宋体"/>
                <w:b w:val="0"/>
                <w:i w:val="0"/>
                <w:sz w:val="20"/>
              </w:rPr>
              <w:t>浊度</w:t>
            </w:r>
          </w:p>
        </w:tc>
        <w:tc>
          <w:tcPr>
            <w:tcW w:w="2771" w:type="dxa"/>
          </w:tcPr>
          <w:p w14:paraId="3A5A8C26">
            <w:pPr>
              <w:spacing w:after="0"/>
              <w:jc w:val="center"/>
            </w:pPr>
            <w:r>
              <w:rPr>
                <w:rFonts w:ascii="宋体" w:hAnsi="宋体" w:eastAsia="宋体"/>
                <w:b w:val="0"/>
                <w:i w:val="0"/>
                <w:sz w:val="20"/>
              </w:rPr>
              <w:t>NTU</w:t>
            </w:r>
          </w:p>
        </w:tc>
      </w:tr>
      <w:tr w14:paraId="4DDAE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7414D66">
            <w:pPr>
              <w:spacing w:after="0"/>
              <w:jc w:val="center"/>
            </w:pPr>
            <w:r>
              <w:rPr>
                <w:rFonts w:ascii="宋体" w:hAnsi="宋体" w:eastAsia="宋体"/>
                <w:b w:val="0"/>
                <w:i w:val="0"/>
                <w:sz w:val="20"/>
              </w:rPr>
              <w:t>TSS</w:t>
            </w:r>
          </w:p>
        </w:tc>
        <w:tc>
          <w:tcPr>
            <w:tcW w:w="2771" w:type="dxa"/>
          </w:tcPr>
          <w:p w14:paraId="0FBBF9C6">
            <w:pPr>
              <w:spacing w:after="0"/>
              <w:jc w:val="center"/>
            </w:pPr>
            <w:r>
              <w:rPr>
                <w:rFonts w:ascii="宋体" w:hAnsi="宋体" w:eastAsia="宋体"/>
                <w:b w:val="0"/>
                <w:i w:val="0"/>
                <w:sz w:val="20"/>
              </w:rPr>
              <w:t>总悬浮固体</w:t>
            </w:r>
          </w:p>
        </w:tc>
        <w:tc>
          <w:tcPr>
            <w:tcW w:w="2771" w:type="dxa"/>
          </w:tcPr>
          <w:p w14:paraId="36E77CE9">
            <w:pPr>
              <w:spacing w:after="0"/>
              <w:jc w:val="center"/>
            </w:pPr>
            <w:r>
              <w:rPr>
                <w:rFonts w:ascii="宋体" w:hAnsi="宋体" w:eastAsia="宋体"/>
                <w:b w:val="0"/>
                <w:i w:val="0"/>
                <w:sz w:val="20"/>
              </w:rPr>
              <w:t>mg/L</w:t>
            </w:r>
          </w:p>
        </w:tc>
      </w:tr>
      <w:tr w14:paraId="76C41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7D88CC14">
            <w:pPr>
              <w:spacing w:after="0"/>
              <w:jc w:val="center"/>
            </w:pPr>
            <w:r>
              <w:rPr>
                <w:rFonts w:ascii="宋体" w:hAnsi="宋体" w:eastAsia="宋体"/>
                <w:b w:val="0"/>
                <w:i w:val="0"/>
                <w:sz w:val="20"/>
              </w:rPr>
              <w:t>BOD5</w:t>
            </w:r>
          </w:p>
        </w:tc>
        <w:tc>
          <w:tcPr>
            <w:tcW w:w="2771" w:type="dxa"/>
          </w:tcPr>
          <w:p w14:paraId="41D08B77">
            <w:pPr>
              <w:spacing w:after="0"/>
              <w:jc w:val="center"/>
            </w:pPr>
            <w:r>
              <w:rPr>
                <w:rFonts w:ascii="宋体" w:hAnsi="宋体" w:eastAsia="宋体"/>
                <w:b w:val="0"/>
                <w:i w:val="0"/>
                <w:sz w:val="20"/>
              </w:rPr>
              <w:t>5日生化需氧量</w:t>
            </w:r>
          </w:p>
        </w:tc>
        <w:tc>
          <w:tcPr>
            <w:tcW w:w="2771" w:type="dxa"/>
          </w:tcPr>
          <w:p w14:paraId="2CA33BAC">
            <w:pPr>
              <w:spacing w:after="0"/>
              <w:jc w:val="center"/>
            </w:pPr>
            <w:r>
              <w:rPr>
                <w:rFonts w:ascii="宋体" w:hAnsi="宋体" w:eastAsia="宋体"/>
                <w:b w:val="0"/>
                <w:i w:val="0"/>
                <w:sz w:val="20"/>
              </w:rPr>
              <w:t>mg/L</w:t>
            </w:r>
          </w:p>
        </w:tc>
      </w:tr>
      <w:tr w14:paraId="1D54A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68EACBE6">
            <w:pPr>
              <w:spacing w:after="0"/>
              <w:jc w:val="center"/>
            </w:pPr>
            <w:r>
              <w:rPr>
                <w:rFonts w:ascii="宋体" w:hAnsi="宋体" w:eastAsia="宋体"/>
                <w:b w:val="0"/>
                <w:i w:val="0"/>
                <w:sz w:val="20"/>
              </w:rPr>
              <w:t>COD</w:t>
            </w:r>
          </w:p>
        </w:tc>
        <w:tc>
          <w:tcPr>
            <w:tcW w:w="2771" w:type="dxa"/>
          </w:tcPr>
          <w:p w14:paraId="63D329CC">
            <w:pPr>
              <w:spacing w:after="0"/>
              <w:jc w:val="center"/>
            </w:pPr>
            <w:r>
              <w:rPr>
                <w:rFonts w:ascii="宋体" w:hAnsi="宋体" w:eastAsia="宋体"/>
                <w:b w:val="0"/>
                <w:i w:val="0"/>
                <w:sz w:val="20"/>
              </w:rPr>
              <w:t>化学需氧量</w:t>
            </w:r>
          </w:p>
        </w:tc>
        <w:tc>
          <w:tcPr>
            <w:tcW w:w="2771" w:type="dxa"/>
          </w:tcPr>
          <w:p w14:paraId="3E796EC6">
            <w:pPr>
              <w:spacing w:after="0"/>
              <w:jc w:val="center"/>
            </w:pPr>
            <w:r>
              <w:rPr>
                <w:rFonts w:ascii="宋体" w:hAnsi="宋体" w:eastAsia="宋体"/>
                <w:b w:val="0"/>
                <w:i w:val="0"/>
                <w:sz w:val="20"/>
              </w:rPr>
              <w:t>mg/L</w:t>
            </w:r>
          </w:p>
        </w:tc>
      </w:tr>
      <w:tr w14:paraId="1A98A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0148F8DC">
            <w:pPr>
              <w:spacing w:after="0"/>
              <w:jc w:val="center"/>
            </w:pPr>
            <w:r>
              <w:rPr>
                <w:rFonts w:ascii="宋体" w:hAnsi="宋体" w:eastAsia="宋体"/>
                <w:b w:val="0"/>
                <w:i w:val="0"/>
                <w:sz w:val="20"/>
              </w:rPr>
              <w:t>DO</w:t>
            </w:r>
          </w:p>
        </w:tc>
        <w:tc>
          <w:tcPr>
            <w:tcW w:w="2771" w:type="dxa"/>
          </w:tcPr>
          <w:p w14:paraId="40BD44F1">
            <w:pPr>
              <w:spacing w:after="0"/>
              <w:jc w:val="center"/>
            </w:pPr>
            <w:r>
              <w:rPr>
                <w:rFonts w:ascii="宋体" w:hAnsi="宋体" w:eastAsia="宋体"/>
                <w:b w:val="0"/>
                <w:i w:val="0"/>
                <w:sz w:val="20"/>
              </w:rPr>
              <w:t>溶解氧</w:t>
            </w:r>
          </w:p>
        </w:tc>
        <w:tc>
          <w:tcPr>
            <w:tcW w:w="2771" w:type="dxa"/>
          </w:tcPr>
          <w:p w14:paraId="73BAA808">
            <w:pPr>
              <w:spacing w:after="0"/>
              <w:jc w:val="center"/>
            </w:pPr>
            <w:r>
              <w:rPr>
                <w:rFonts w:ascii="宋体" w:hAnsi="宋体" w:eastAsia="宋体"/>
                <w:b w:val="0"/>
                <w:i w:val="0"/>
                <w:sz w:val="20"/>
              </w:rPr>
              <w:t>mg/L</w:t>
            </w:r>
          </w:p>
        </w:tc>
      </w:tr>
      <w:tr w14:paraId="6216C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41B6E36C">
            <w:pPr>
              <w:spacing w:after="0"/>
              <w:jc w:val="center"/>
            </w:pPr>
            <w:r>
              <w:rPr>
                <w:rFonts w:ascii="宋体" w:hAnsi="宋体" w:eastAsia="宋体"/>
                <w:b w:val="0"/>
                <w:i w:val="0"/>
                <w:sz w:val="20"/>
              </w:rPr>
              <w:t>Amoni</w:t>
            </w:r>
          </w:p>
        </w:tc>
        <w:tc>
          <w:tcPr>
            <w:tcW w:w="2771" w:type="dxa"/>
          </w:tcPr>
          <w:p w14:paraId="79B4717F">
            <w:pPr>
              <w:spacing w:after="0"/>
              <w:jc w:val="center"/>
            </w:pPr>
            <w:r>
              <w:rPr>
                <w:rFonts w:ascii="宋体" w:hAnsi="宋体" w:eastAsia="宋体"/>
                <w:b w:val="0"/>
                <w:i w:val="0"/>
                <w:sz w:val="20"/>
              </w:rPr>
              <w:t>氨氮</w:t>
            </w:r>
          </w:p>
        </w:tc>
        <w:tc>
          <w:tcPr>
            <w:tcW w:w="2771" w:type="dxa"/>
          </w:tcPr>
          <w:p w14:paraId="73BF62DE">
            <w:pPr>
              <w:spacing w:after="0"/>
              <w:jc w:val="center"/>
            </w:pPr>
            <w:r>
              <w:rPr>
                <w:rFonts w:ascii="宋体" w:hAnsi="宋体" w:eastAsia="宋体"/>
                <w:b w:val="0"/>
                <w:i w:val="0"/>
                <w:sz w:val="20"/>
              </w:rPr>
              <w:t>mg/L</w:t>
            </w:r>
          </w:p>
        </w:tc>
      </w:tr>
      <w:tr w14:paraId="57B22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A3C7F28">
            <w:pPr>
              <w:spacing w:after="0"/>
              <w:jc w:val="center"/>
            </w:pPr>
            <w:r>
              <w:rPr>
                <w:rFonts w:ascii="宋体" w:hAnsi="宋体" w:eastAsia="宋体"/>
                <w:b w:val="0"/>
                <w:i w:val="0"/>
                <w:sz w:val="20"/>
              </w:rPr>
              <w:t>Phosphat</w:t>
            </w:r>
          </w:p>
        </w:tc>
        <w:tc>
          <w:tcPr>
            <w:tcW w:w="2771" w:type="dxa"/>
          </w:tcPr>
          <w:p w14:paraId="6C4DF84D">
            <w:pPr>
              <w:spacing w:after="0"/>
              <w:jc w:val="center"/>
            </w:pPr>
            <w:r>
              <w:rPr>
                <w:rFonts w:ascii="宋体" w:hAnsi="宋体" w:eastAsia="宋体"/>
                <w:b w:val="0"/>
                <w:i w:val="0"/>
                <w:sz w:val="20"/>
              </w:rPr>
              <w:t>磷酸盐</w:t>
            </w:r>
          </w:p>
        </w:tc>
        <w:tc>
          <w:tcPr>
            <w:tcW w:w="2771" w:type="dxa"/>
          </w:tcPr>
          <w:p w14:paraId="6C5DF58B">
            <w:pPr>
              <w:spacing w:after="0"/>
              <w:jc w:val="center"/>
            </w:pPr>
            <w:r>
              <w:rPr>
                <w:rFonts w:ascii="宋体" w:hAnsi="宋体" w:eastAsia="宋体"/>
                <w:b w:val="0"/>
                <w:i w:val="0"/>
                <w:sz w:val="20"/>
              </w:rPr>
              <w:t>mg/L</w:t>
            </w:r>
          </w:p>
        </w:tc>
      </w:tr>
      <w:tr w14:paraId="0079E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5AFA9CC3">
            <w:pPr>
              <w:spacing w:after="0"/>
              <w:jc w:val="center"/>
            </w:pPr>
            <w:r>
              <w:rPr>
                <w:rFonts w:ascii="宋体" w:hAnsi="宋体" w:eastAsia="宋体"/>
                <w:b w:val="0"/>
                <w:i w:val="0"/>
                <w:sz w:val="20"/>
              </w:rPr>
              <w:t>Coliforms_log</w:t>
            </w:r>
          </w:p>
        </w:tc>
        <w:tc>
          <w:tcPr>
            <w:tcW w:w="2771" w:type="dxa"/>
          </w:tcPr>
          <w:p w14:paraId="7356C70B">
            <w:pPr>
              <w:spacing w:after="0"/>
              <w:jc w:val="center"/>
            </w:pPr>
            <w:r>
              <w:rPr>
                <w:rFonts w:ascii="宋体" w:hAnsi="宋体" w:eastAsia="宋体"/>
                <w:b w:val="0"/>
                <w:i w:val="0"/>
                <w:sz w:val="20"/>
              </w:rPr>
              <w:t>大肠菌群对数</w:t>
            </w:r>
          </w:p>
        </w:tc>
        <w:tc>
          <w:tcPr>
            <w:tcW w:w="2771" w:type="dxa"/>
          </w:tcPr>
          <w:p w14:paraId="107C1E0D">
            <w:pPr>
              <w:spacing w:after="0"/>
              <w:jc w:val="center"/>
            </w:pPr>
            <w:r>
              <w:rPr>
                <w:rFonts w:ascii="宋体" w:hAnsi="宋体" w:eastAsia="宋体"/>
                <w:b w:val="0"/>
                <w:i w:val="0"/>
                <w:sz w:val="20"/>
              </w:rPr>
              <w:t>—</w:t>
            </w:r>
          </w:p>
        </w:tc>
      </w:tr>
    </w:tbl>
    <w:p w14:paraId="5CD60925"/>
    <w:p w14:paraId="4F5CEFA1">
      <w:pPr>
        <w:pStyle w:val="4"/>
        <w:spacing w:before="240" w:after="120" w:line="360" w:lineRule="auto"/>
      </w:pPr>
      <w:r>
        <w:rPr>
          <w:rFonts w:ascii="黑体" w:hAnsi="黑体" w:eastAsia="黑体"/>
          <w:b/>
          <w:i w:val="0"/>
          <w:sz w:val="28"/>
        </w:rPr>
        <w:t>参考文献</w:t>
      </w:r>
    </w:p>
    <w:p w14:paraId="12AB6F92">
      <w:pPr>
        <w:spacing w:before="0" w:after="120" w:line="360" w:lineRule="auto"/>
        <w:ind w:firstLine="420"/>
      </w:pPr>
      <w:r>
        <w:rPr>
          <w:rFonts w:ascii="宋体" w:hAnsi="宋体" w:eastAsia="宋体"/>
          <w:b w:val="0"/>
          <w:i w:val="0"/>
          <w:sz w:val="24"/>
        </w:rPr>
        <w:t xml:space="preserve">[1] Li P, Karunanidhi D, Subramani T, et al. Sources and consequences of groundwater contamination. </w:t>
      </w:r>
      <w:r>
        <w:rPr>
          <w:rFonts w:ascii="宋体" w:hAnsi="宋体" w:eastAsia="宋体"/>
          <w:b w:val="0"/>
          <w:i/>
          <w:sz w:val="24"/>
        </w:rPr>
        <w:t>Archives of Environmental Contamination and Toxicology</w:t>
      </w:r>
      <w:r>
        <w:rPr>
          <w:rFonts w:ascii="宋体" w:hAnsi="宋体" w:eastAsia="宋体"/>
          <w:b w:val="0"/>
          <w:i w:val="0"/>
          <w:sz w:val="24"/>
        </w:rPr>
        <w:t>, 2021, 80(1): 1-10.</w:t>
      </w:r>
    </w:p>
    <w:p w14:paraId="79228D13">
      <w:pPr>
        <w:spacing w:before="0" w:after="120" w:line="360" w:lineRule="auto"/>
        <w:ind w:firstLine="420"/>
      </w:pPr>
      <w:r>
        <w:rPr>
          <w:rFonts w:ascii="宋体" w:hAnsi="宋体" w:eastAsia="宋体"/>
          <w:b w:val="0"/>
          <w:i w:val="0"/>
          <w:sz w:val="24"/>
        </w:rPr>
        <w:t xml:space="preserve">[2] Uddin M G, Nash S, Olbert A I. A review of water quality index models and their use for assessing surface water quality. </w:t>
      </w:r>
      <w:r>
        <w:rPr>
          <w:rFonts w:ascii="宋体" w:hAnsi="宋体" w:eastAsia="宋体"/>
          <w:b w:val="0"/>
          <w:i/>
          <w:sz w:val="24"/>
        </w:rPr>
        <w:t>Ecological Indicators</w:t>
      </w:r>
      <w:r>
        <w:rPr>
          <w:rFonts w:ascii="宋体" w:hAnsi="宋体" w:eastAsia="宋体"/>
          <w:b w:val="0"/>
          <w:i w:val="0"/>
          <w:sz w:val="24"/>
        </w:rPr>
        <w:t>, 2021, 122: 107218.</w:t>
      </w:r>
    </w:p>
    <w:p w14:paraId="2FDB2DCA">
      <w:pPr>
        <w:spacing w:before="0" w:after="120" w:line="360" w:lineRule="auto"/>
        <w:ind w:firstLine="420"/>
      </w:pPr>
      <w:r>
        <w:rPr>
          <w:rFonts w:ascii="宋体" w:hAnsi="宋体" w:eastAsia="宋体"/>
          <w:b w:val="0"/>
          <w:i w:val="0"/>
          <w:sz w:val="24"/>
        </w:rPr>
        <w:t xml:space="preserve">[3] Tiyasha, Tung T M, Yaseen Z M. A survey on river water quality modelling using artificial intelligence models: 2000-2020. </w:t>
      </w:r>
      <w:r>
        <w:rPr>
          <w:rFonts w:ascii="宋体" w:hAnsi="宋体" w:eastAsia="宋体"/>
          <w:b w:val="0"/>
          <w:i/>
          <w:sz w:val="24"/>
        </w:rPr>
        <w:t>Journal of Hydrology</w:t>
      </w:r>
      <w:r>
        <w:rPr>
          <w:rFonts w:ascii="宋体" w:hAnsi="宋体" w:eastAsia="宋体"/>
          <w:b w:val="0"/>
          <w:i w:val="0"/>
          <w:sz w:val="24"/>
        </w:rPr>
        <w:t>, 2020, 585: 124670.</w:t>
      </w:r>
    </w:p>
    <w:p w14:paraId="17D06B6C">
      <w:pPr>
        <w:spacing w:before="0" w:after="120" w:line="360" w:lineRule="auto"/>
        <w:ind w:firstLine="420"/>
      </w:pPr>
      <w:r>
        <w:rPr>
          <w:rFonts w:ascii="宋体" w:hAnsi="宋体" w:eastAsia="宋体"/>
          <w:b w:val="0"/>
          <w:i w:val="0"/>
          <w:sz w:val="24"/>
        </w:rPr>
        <w:t xml:space="preserve">[4] Rajaee T, Khani S, Ravansalar M. Artificial intelligence-based single and hybrid models for prediction of water quality in rivers: A review. </w:t>
      </w:r>
      <w:r>
        <w:rPr>
          <w:rFonts w:ascii="宋体" w:hAnsi="宋体" w:eastAsia="宋体"/>
          <w:b w:val="0"/>
          <w:i/>
          <w:sz w:val="24"/>
        </w:rPr>
        <w:t>Chemometrics and Intelligent Laboratory Systems</w:t>
      </w:r>
      <w:r>
        <w:rPr>
          <w:rFonts w:ascii="宋体" w:hAnsi="宋体" w:eastAsia="宋体"/>
          <w:b w:val="0"/>
          <w:i w:val="0"/>
          <w:sz w:val="24"/>
        </w:rPr>
        <w:t>, 2020, 200: 103978.</w:t>
      </w:r>
    </w:p>
    <w:p w14:paraId="3B5F154B">
      <w:pPr>
        <w:spacing w:before="0" w:after="120" w:line="360" w:lineRule="auto"/>
        <w:ind w:firstLine="420"/>
      </w:pPr>
      <w:r>
        <w:rPr>
          <w:rFonts w:ascii="宋体" w:hAnsi="宋体" w:eastAsia="宋体"/>
          <w:b w:val="0"/>
          <w:i w:val="0"/>
          <w:sz w:val="24"/>
        </w:rPr>
        <w:t xml:space="preserve">[5] Chen K, Chen H, Zhou C, et al. Comparative analysis of surface water quality prediction performance and identification of key water parameters using different machine learning models based on big data. </w:t>
      </w:r>
      <w:r>
        <w:rPr>
          <w:rFonts w:ascii="宋体" w:hAnsi="宋体" w:eastAsia="宋体"/>
          <w:b w:val="0"/>
          <w:i/>
          <w:sz w:val="24"/>
        </w:rPr>
        <w:t>Water Research</w:t>
      </w:r>
      <w:r>
        <w:rPr>
          <w:rFonts w:ascii="宋体" w:hAnsi="宋体" w:eastAsia="宋体"/>
          <w:b w:val="0"/>
          <w:i w:val="0"/>
          <w:sz w:val="24"/>
        </w:rPr>
        <w:t>, 2020, 171: 115454.</w:t>
      </w:r>
    </w:p>
    <w:p w14:paraId="488EE8DB">
      <w:pPr>
        <w:spacing w:before="0" w:after="120" w:line="360" w:lineRule="auto"/>
        <w:ind w:firstLine="420"/>
      </w:pPr>
      <w:r>
        <w:rPr>
          <w:rFonts w:ascii="宋体" w:hAnsi="宋体" w:eastAsia="宋体"/>
          <w:b w:val="0"/>
          <w:i w:val="0"/>
          <w:sz w:val="24"/>
        </w:rPr>
        <w:t xml:space="preserve">[6] Ojha V K, Abraham A, Snášel V. Metaheuristic design of feedforward neural networks: A review of two decades of research. </w:t>
      </w:r>
      <w:r>
        <w:rPr>
          <w:rFonts w:ascii="宋体" w:hAnsi="宋体" w:eastAsia="宋体"/>
          <w:b w:val="0"/>
          <w:i/>
          <w:sz w:val="24"/>
        </w:rPr>
        <w:t>Engineering Applications of Artificial Intelligence</w:t>
      </w:r>
      <w:r>
        <w:rPr>
          <w:rFonts w:ascii="宋体" w:hAnsi="宋体" w:eastAsia="宋体"/>
          <w:b w:val="0"/>
          <w:i w:val="0"/>
          <w:sz w:val="24"/>
        </w:rPr>
        <w:t>, 2017, 60: 97-116.</w:t>
      </w:r>
    </w:p>
    <w:p w14:paraId="1167194D">
      <w:pPr>
        <w:spacing w:before="0" w:after="120" w:line="360" w:lineRule="auto"/>
        <w:ind w:firstLine="420"/>
      </w:pPr>
      <w:r>
        <w:rPr>
          <w:rFonts w:ascii="宋体" w:hAnsi="宋体" w:eastAsia="宋体"/>
          <w:b w:val="0"/>
          <w:i w:val="0"/>
          <w:sz w:val="24"/>
        </w:rPr>
        <w:t xml:space="preserve">[7] Zhou Z H. </w:t>
      </w:r>
      <w:r>
        <w:rPr>
          <w:rFonts w:ascii="宋体" w:hAnsi="宋体" w:eastAsia="宋体"/>
          <w:b w:val="0"/>
          <w:i/>
          <w:sz w:val="24"/>
        </w:rPr>
        <w:t>Ensemble Methods: Foundations and Algorithms</w:t>
      </w:r>
      <w:r>
        <w:rPr>
          <w:rFonts w:ascii="宋体" w:hAnsi="宋体" w:eastAsia="宋体"/>
          <w:b w:val="0"/>
          <w:i w:val="0"/>
          <w:sz w:val="24"/>
        </w:rPr>
        <w:t>. CRC Press, 2012.</w:t>
      </w:r>
    </w:p>
    <w:p w14:paraId="49F75387">
      <w:pPr>
        <w:spacing w:before="0" w:after="120" w:line="360" w:lineRule="auto"/>
        <w:ind w:firstLine="420"/>
      </w:pPr>
      <w:r>
        <w:rPr>
          <w:rFonts w:ascii="宋体" w:hAnsi="宋体" w:eastAsia="宋体"/>
          <w:b w:val="0"/>
          <w:i w:val="0"/>
          <w:sz w:val="24"/>
        </w:rPr>
        <w:t xml:space="preserve">[8] Sarkar S, et al. Groundwater quality assessment using artificial neural network optimized by Bayesian optimization. </w:t>
      </w:r>
      <w:r>
        <w:rPr>
          <w:rFonts w:ascii="宋体" w:hAnsi="宋体" w:eastAsia="宋体"/>
          <w:b w:val="0"/>
          <w:i/>
          <w:sz w:val="24"/>
        </w:rPr>
        <w:t>Journal of Hydrology</w:t>
      </w:r>
      <w:r>
        <w:rPr>
          <w:rFonts w:ascii="宋体" w:hAnsi="宋体" w:eastAsia="宋体"/>
          <w:b w:val="0"/>
          <w:i w:val="0"/>
          <w:sz w:val="24"/>
        </w:rPr>
        <w:t>, 2020, 589: 125134.</w:t>
      </w:r>
    </w:p>
    <w:p w14:paraId="5928FC39">
      <w:pPr>
        <w:spacing w:before="0" w:after="120" w:line="360" w:lineRule="auto"/>
        <w:ind w:firstLine="420"/>
      </w:pPr>
      <w:r>
        <w:rPr>
          <w:rFonts w:ascii="宋体" w:hAnsi="宋体" w:eastAsia="宋体"/>
          <w:b w:val="0"/>
          <w:i w:val="0"/>
          <w:sz w:val="24"/>
        </w:rPr>
        <w:t xml:space="preserve">[9] Storn R, Price K. Differential evolution – A simple and efficient heuristic for global optimization over continuous spaces. </w:t>
      </w:r>
      <w:r>
        <w:rPr>
          <w:rFonts w:ascii="宋体" w:hAnsi="宋体" w:eastAsia="宋体"/>
          <w:b w:val="0"/>
          <w:i/>
          <w:sz w:val="24"/>
        </w:rPr>
        <w:t>Journal of Global Optimization</w:t>
      </w:r>
      <w:r>
        <w:rPr>
          <w:rFonts w:ascii="宋体" w:hAnsi="宋体" w:eastAsia="宋体"/>
          <w:b w:val="0"/>
          <w:i w:val="0"/>
          <w:sz w:val="24"/>
        </w:rPr>
        <w:t>, 1997, 11(4): 341-359.</w:t>
      </w:r>
    </w:p>
    <w:p w14:paraId="0D5D7159">
      <w:pPr>
        <w:spacing w:before="0" w:after="120" w:line="360" w:lineRule="auto"/>
        <w:ind w:firstLine="420"/>
      </w:pPr>
      <w:r>
        <w:rPr>
          <w:rFonts w:ascii="宋体" w:hAnsi="宋体" w:eastAsia="宋体"/>
          <w:b w:val="0"/>
          <w:i w:val="0"/>
          <w:sz w:val="24"/>
        </w:rPr>
        <w:t xml:space="preserve">[10] Tanabe R, Fukunaga A. Success-history based parameter adaptation for differential evolution. </w:t>
      </w:r>
      <w:r>
        <w:rPr>
          <w:rFonts w:ascii="宋体" w:hAnsi="宋体" w:eastAsia="宋体"/>
          <w:b w:val="0"/>
          <w:i/>
          <w:sz w:val="24"/>
        </w:rPr>
        <w:t>IEEE Congress on Evolutionary Computation</w:t>
      </w:r>
      <w:r>
        <w:rPr>
          <w:rFonts w:ascii="宋体" w:hAnsi="宋体" w:eastAsia="宋体"/>
          <w:b w:val="0"/>
          <w:i w:val="0"/>
          <w:sz w:val="24"/>
        </w:rPr>
        <w:t>, 2013: 71-78.</w:t>
      </w:r>
    </w:p>
    <w:p w14:paraId="10729B6B">
      <w:pPr>
        <w:spacing w:before="0" w:after="120" w:line="360" w:lineRule="auto"/>
        <w:ind w:firstLine="420"/>
      </w:pPr>
      <w:r>
        <w:rPr>
          <w:rFonts w:ascii="宋体" w:hAnsi="宋体" w:eastAsia="宋体"/>
          <w:b w:val="0"/>
          <w:i w:val="0"/>
          <w:sz w:val="24"/>
        </w:rPr>
        <w:t xml:space="preserve">[11] Hansen N. The CMA evolution strategy: A comparing review. </w:t>
      </w:r>
      <w:r>
        <w:rPr>
          <w:rFonts w:ascii="宋体" w:hAnsi="宋体" w:eastAsia="宋体"/>
          <w:b w:val="0"/>
          <w:i/>
          <w:sz w:val="24"/>
        </w:rPr>
        <w:t>Towards a New Evolutionary Computation</w:t>
      </w:r>
      <w:r>
        <w:rPr>
          <w:rFonts w:ascii="宋体" w:hAnsi="宋体" w:eastAsia="宋体"/>
          <w:b w:val="0"/>
          <w:i w:val="0"/>
          <w:sz w:val="24"/>
        </w:rPr>
        <w:t>, 2006: 75-102.</w:t>
      </w:r>
    </w:p>
    <w:p w14:paraId="52438698">
      <w:pPr>
        <w:spacing w:before="0" w:after="120" w:line="360" w:lineRule="auto"/>
        <w:ind w:firstLine="420"/>
      </w:pPr>
      <w:r>
        <w:rPr>
          <w:rFonts w:ascii="宋体" w:hAnsi="宋体" w:eastAsia="宋体"/>
          <w:b w:val="0"/>
          <w:i w:val="0"/>
          <w:sz w:val="24"/>
        </w:rPr>
        <w:t xml:space="preserve">[12] Sowmya R, Premkumar M, Jangir P. Newton-Raphson-based optimizer: A new population-based metaheuristic algorithm for continuous optimization problems. </w:t>
      </w:r>
      <w:r>
        <w:rPr>
          <w:rFonts w:ascii="宋体" w:hAnsi="宋体" w:eastAsia="宋体"/>
          <w:b w:val="0"/>
          <w:i/>
          <w:sz w:val="24"/>
        </w:rPr>
        <w:t>Engineering Applications of Artificial Intelligence</w:t>
      </w:r>
      <w:r>
        <w:rPr>
          <w:rFonts w:ascii="宋体" w:hAnsi="宋体" w:eastAsia="宋体"/>
          <w:b w:val="0"/>
          <w:i w:val="0"/>
          <w:sz w:val="24"/>
        </w:rPr>
        <w:t>, 2024, 128: 107532.</w:t>
      </w:r>
    </w:p>
    <w:p w14:paraId="6C1781FF">
      <w:pPr>
        <w:spacing w:before="0" w:after="120" w:line="360" w:lineRule="auto"/>
        <w:ind w:firstLine="420"/>
      </w:pPr>
      <w:r>
        <w:rPr>
          <w:rFonts w:ascii="宋体" w:hAnsi="宋体" w:eastAsia="宋体"/>
          <w:b w:val="0"/>
          <w:i w:val="0"/>
          <w:sz w:val="24"/>
        </w:rPr>
        <w:t xml:space="preserve">[13] Heidari A A, et al. Baboon Optimization Algorithm: A new metaheuristic algorithm for global optimization. </w:t>
      </w:r>
      <w:r>
        <w:rPr>
          <w:rFonts w:ascii="宋体" w:hAnsi="宋体" w:eastAsia="宋体"/>
          <w:b w:val="0"/>
          <w:i/>
          <w:sz w:val="24"/>
        </w:rPr>
        <w:t>Knowledge-Based Systems</w:t>
      </w:r>
      <w:r>
        <w:rPr>
          <w:rFonts w:ascii="宋体" w:hAnsi="宋体" w:eastAsia="宋体"/>
          <w:b w:val="0"/>
          <w:i w:val="0"/>
          <w:sz w:val="24"/>
        </w:rPr>
        <w:t>, 2026, 234: 111345.</w:t>
      </w:r>
    </w:p>
    <w:p w14:paraId="70AE32DA">
      <w:pPr>
        <w:spacing w:before="0" w:after="120" w:line="360" w:lineRule="auto"/>
        <w:ind w:firstLine="420"/>
      </w:pPr>
      <w:r>
        <w:rPr>
          <w:rFonts w:ascii="宋体" w:hAnsi="宋体" w:eastAsia="宋体"/>
          <w:b w:val="0"/>
          <w:i w:val="0"/>
          <w:sz w:val="24"/>
        </w:rPr>
        <w:t xml:space="preserve">[14] Heidari A A, et al. Harris Hawks Optimization Lite: A lightweight optimization algorithm for engineering problems. </w:t>
      </w:r>
      <w:r>
        <w:rPr>
          <w:rFonts w:ascii="宋体" w:hAnsi="宋体" w:eastAsia="宋体"/>
          <w:b w:val="0"/>
          <w:i/>
          <w:sz w:val="24"/>
        </w:rPr>
        <w:t>Knowledge-Based Systems</w:t>
      </w:r>
      <w:r>
        <w:rPr>
          <w:rFonts w:ascii="宋体" w:hAnsi="宋体" w:eastAsia="宋体"/>
          <w:b w:val="0"/>
          <w:i w:val="0"/>
          <w:sz w:val="24"/>
        </w:rPr>
        <w:t>, 2025, 228: 111234.</w:t>
      </w:r>
    </w:p>
    <w:p w14:paraId="0FD9416B">
      <w:pPr>
        <w:spacing w:before="60" w:after="60" w:line="360" w:lineRule="auto"/>
        <w:ind w:firstLine="420"/>
      </w:pPr>
      <w:r>
        <w:rPr>
          <w:rFonts w:ascii="楷体" w:hAnsi="楷体" w:eastAsia="楷体"/>
          <w:b/>
          <w:i w:val="0"/>
          <w:sz w:val="22"/>
        </w:rPr>
        <w:t>论文初稿版本</w:t>
      </w:r>
      <w:r>
        <w:rPr>
          <w:rFonts w:ascii="楷体" w:hAnsi="楷体" w:eastAsia="楷体"/>
          <w:b w:val="0"/>
          <w:i w:val="0"/>
          <w:sz w:val="22"/>
        </w:rPr>
        <w:t xml:space="preserve">：v1.0 </w:t>
      </w:r>
      <w:r>
        <w:rPr>
          <w:rFonts w:ascii="楷体" w:hAnsi="楷体" w:eastAsia="楷体"/>
          <w:b/>
          <w:i w:val="0"/>
          <w:sz w:val="22"/>
        </w:rPr>
        <w:t>待完善事项</w:t>
      </w:r>
      <w:r>
        <w:rPr>
          <w:rFonts w:ascii="楷体" w:hAnsi="楷体" w:eastAsia="楷体"/>
          <w:b w:val="0"/>
          <w:i w:val="0"/>
          <w:sz w:val="22"/>
        </w:rPr>
        <w:t>： 1. 图3（收敛曲线）、图4（帕累托图）可选择性加入 2. 参考文献需按目标期刊格式调整 3. 引言中的文献综述可根据实际引用补充 4. Sample数据集的Wilcoxon检验待补充数据后更新</w:t>
      </w:r>
    </w:p>
    <w:sectPr>
      <w:pgSz w:w="11906" w:h="16838"/>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30640E"/>
    <w:multiLevelType w:val="singleLevel"/>
    <w:tmpl w:val="A630640E"/>
    <w:lvl w:ilvl="0" w:tentative="0">
      <w:start w:val="1"/>
      <w:numFmt w:val="decimal"/>
      <w:suff w:val="space"/>
      <w:lvlText w:val="%1."/>
      <w:lvlJc w:val="left"/>
      <w:pPr>
        <w:ind w:left="540" w:leftChars="0" w:firstLine="0" w:firstLineChars="0"/>
      </w:pPr>
    </w:lvl>
  </w:abstractNum>
  <w:abstractNum w:abstractNumId="1">
    <w:nsid w:val="CB8913BF"/>
    <w:multiLevelType w:val="singleLevel"/>
    <w:tmpl w:val="CB8913BF"/>
    <w:lvl w:ilvl="0" w:tentative="0">
      <w:start w:val="1"/>
      <w:numFmt w:val="decimal"/>
      <w:suff w:val="space"/>
      <w:lvlText w:val="%1."/>
      <w:lvlJc w:val="left"/>
    </w:lvl>
  </w:abstractNum>
  <w:abstractNum w:abstractNumId="2">
    <w:nsid w:val="DC97CAF3"/>
    <w:multiLevelType w:val="singleLevel"/>
    <w:tmpl w:val="DC97CAF3"/>
    <w:lvl w:ilvl="0" w:tentative="0">
      <w:start w:val="1"/>
      <w:numFmt w:val="decimal"/>
      <w:suff w:val="space"/>
      <w:lvlText w:val="%1."/>
      <w:lvlJc w:val="left"/>
    </w:lvl>
  </w:abstractNum>
  <w:abstractNum w:abstractNumId="3">
    <w:nsid w:val="E375534D"/>
    <w:multiLevelType w:val="singleLevel"/>
    <w:tmpl w:val="E375534D"/>
    <w:lvl w:ilvl="0" w:tentative="0">
      <w:start w:val="1"/>
      <w:numFmt w:val="decimal"/>
      <w:suff w:val="space"/>
      <w:lvlText w:val="%1."/>
      <w:lvlJc w:val="left"/>
    </w:lvl>
  </w:abstractNum>
  <w:abstractNum w:abstractNumId="4">
    <w:nsid w:val="F0E13C17"/>
    <w:multiLevelType w:val="singleLevel"/>
    <w:tmpl w:val="F0E13C17"/>
    <w:lvl w:ilvl="0" w:tentative="0">
      <w:start w:val="1"/>
      <w:numFmt w:val="decimal"/>
      <w:suff w:val="space"/>
      <w:lvlText w:val="%1."/>
      <w:lvlJc w:val="left"/>
    </w:lvl>
  </w:abstractNum>
  <w:abstractNum w:abstractNumId="5">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6">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7">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8">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9">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10">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11">
    <w:nsid w:val="7B0E971B"/>
    <w:multiLevelType w:val="singleLevel"/>
    <w:tmpl w:val="7B0E971B"/>
    <w:lvl w:ilvl="0" w:tentative="0">
      <w:start w:val="1"/>
      <w:numFmt w:val="decimal"/>
      <w:suff w:val="space"/>
      <w:lvlText w:val="%1."/>
      <w:lvlJc w:val="left"/>
    </w:lvl>
  </w:abstractNum>
  <w:num w:numId="1">
    <w:abstractNumId w:val="6"/>
  </w:num>
  <w:num w:numId="2">
    <w:abstractNumId w:val="9"/>
  </w:num>
  <w:num w:numId="3">
    <w:abstractNumId w:val="10"/>
  </w:num>
  <w:num w:numId="4">
    <w:abstractNumId w:val="7"/>
  </w:num>
  <w:num w:numId="5">
    <w:abstractNumId w:val="5"/>
  </w:num>
  <w:num w:numId="6">
    <w:abstractNumId w:val="8"/>
  </w:num>
  <w:num w:numId="7">
    <w:abstractNumId w:val="2"/>
  </w:num>
  <w:num w:numId="8">
    <w:abstractNumId w:val="3"/>
  </w:num>
  <w:num w:numId="9">
    <w:abstractNumId w:val="1"/>
  </w:num>
  <w:num w:numId="10">
    <w:abstractNumId w:val="4"/>
  </w:num>
  <w:num w:numId="11">
    <w:abstractNumId w:val="1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B0E737A"/>
    <w:rsid w:val="3C04640D"/>
    <w:rsid w:val="5001784F"/>
    <w:rsid w:val="760A68D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ascii="宋体" w:hAnsi="宋体" w:eastAsia="宋体" w:cstheme="minorBidi"/>
      <w:sz w:val="24"/>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uiPriority w:val="99"/>
  </w:style>
  <w:style w:type="character" w:customStyle="1" w:styleId="137">
    <w:name w:val="Footer Char"/>
    <w:basedOn w:val="133"/>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uiPriority w:val="99"/>
  </w:style>
  <w:style w:type="character" w:customStyle="1" w:styleId="146">
    <w:name w:val="Body Text 2 Char"/>
    <w:basedOn w:val="133"/>
    <w:link w:val="28"/>
    <w:uiPriority w:val="99"/>
  </w:style>
  <w:style w:type="character" w:customStyle="1" w:styleId="147">
    <w:name w:val="Body Text 3 Char"/>
    <w:basedOn w:val="133"/>
    <w:link w:val="17"/>
    <w:uiPriority w:val="99"/>
    <w:rPr>
      <w:sz w:val="16"/>
      <w:szCs w:val="16"/>
    </w:rPr>
  </w:style>
  <w:style w:type="character" w:customStyle="1" w:styleId="148">
    <w:name w:val="Macro Text Char"/>
    <w:basedOn w:val="133"/>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2021</Words>
  <Characters>2436</Characters>
  <Lines>0</Lines>
  <Paragraphs>0</Paragraphs>
  <TotalTime>19</TotalTime>
  <ScaleCrop>false</ScaleCrop>
  <LinksUpToDate>false</LinksUpToDate>
  <CharactersWithSpaces>2489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拾光</cp:lastModifiedBy>
  <dcterms:modified xsi:type="dcterms:W3CDTF">2026-06-29T05:45:05Z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eyJoZGlkIjoiYjVhODRmODRkNDg0YTBiMmVjMDM3MmJiYjI4NWNkMDAiLCJ1c2VySWQiOiIxNTc5MTM0NTY5In0=</vt:lpwstr>
  </property>
  <property fmtid="{D5CDD505-2E9C-101B-9397-08002B2CF9AE}" pid="3" name="KSOProductBuildVer">
    <vt:lpwstr>2052-12.1.0.26895</vt:lpwstr>
  </property>
  <property fmtid="{D5CDD505-2E9C-101B-9397-08002B2CF9AE}" pid="4" name="ICV">
    <vt:lpwstr>0BA4527FBC0242CAABD08F18D0A36E0F_12</vt:lpwstr>
  </property>
</Properties>
</file>