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81597">
      <w:pPr>
        <w:spacing w:before="60" w:after="60"/>
        <w:jc w:val="both"/>
        <w:rPr>
          <w:rFonts w:eastAsia="楷体_GB2312"/>
          <w:b/>
          <w:spacing w:val="40"/>
          <w:sz w:val="36"/>
        </w:rPr>
      </w:pPr>
    </w:p>
    <w:p w14:paraId="3ED0F329">
      <w:pPr>
        <w:spacing w:before="60" w:after="60"/>
        <w:ind w:firstLine="883"/>
        <w:jc w:val="center"/>
        <w:rPr>
          <w:rFonts w:eastAsia="楷体_GB2312"/>
          <w:b/>
          <w:spacing w:val="40"/>
          <w:sz w:val="36"/>
        </w:rPr>
      </w:pPr>
    </w:p>
    <w:p w14:paraId="710D334C">
      <w:pPr>
        <w:spacing w:before="60" w:after="60"/>
        <w:jc w:val="center"/>
        <w:rPr>
          <w:rFonts w:eastAsia="楷体_GB2312"/>
          <w:b/>
          <w:spacing w:val="40"/>
          <w:sz w:val="36"/>
        </w:rPr>
      </w:pPr>
      <w:r>
        <w:rPr>
          <w:rFonts w:eastAsia="楷体_GB2312"/>
          <w:b/>
          <w:spacing w:val="40"/>
          <w:sz w:val="36"/>
        </w:rPr>
        <w:drawing>
          <wp:inline distT="0" distB="0" distL="114300" distR="114300">
            <wp:extent cx="2131060" cy="398145"/>
            <wp:effectExtent l="0" t="0" r="2540" b="13335"/>
            <wp:docPr id="3" name="图片 1"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it04"/>
                    <pic:cNvPicPr>
                      <a:picLocks noChangeAspect="1"/>
                    </pic:cNvPicPr>
                  </pic:nvPicPr>
                  <pic:blipFill>
                    <a:blip r:embed="rId8"/>
                    <a:stretch>
                      <a:fillRect/>
                    </a:stretch>
                  </pic:blipFill>
                  <pic:spPr>
                    <a:xfrm>
                      <a:off x="0" y="0"/>
                      <a:ext cx="2131060" cy="398145"/>
                    </a:xfrm>
                    <a:prstGeom prst="rect">
                      <a:avLst/>
                    </a:prstGeom>
                    <a:noFill/>
                    <a:ln>
                      <a:noFill/>
                    </a:ln>
                  </pic:spPr>
                </pic:pic>
              </a:graphicData>
            </a:graphic>
          </wp:inline>
        </w:drawing>
      </w:r>
    </w:p>
    <w:p w14:paraId="2275EEC9">
      <w:pPr>
        <w:spacing w:before="60" w:after="60"/>
        <w:ind w:firstLine="883"/>
        <w:jc w:val="center"/>
        <w:rPr>
          <w:rFonts w:eastAsia="楷体_GB2312"/>
          <w:b/>
          <w:spacing w:val="40"/>
          <w:sz w:val="36"/>
        </w:rPr>
      </w:pPr>
    </w:p>
    <w:p w14:paraId="21565862">
      <w:pPr>
        <w:spacing w:before="60" w:after="60"/>
        <w:jc w:val="center"/>
        <w:rPr>
          <w:b/>
          <w:spacing w:val="40"/>
          <w:sz w:val="48"/>
        </w:rPr>
      </w:pPr>
      <w:r>
        <w:rPr>
          <w:rFonts w:hint="eastAsia" w:hAnsi="Roman PS"/>
          <w:b/>
          <w:spacing w:val="40"/>
          <w:sz w:val="48"/>
        </w:rPr>
        <w:t>本科</w:t>
      </w:r>
      <w:r>
        <w:rPr>
          <w:rFonts w:hAnsi="Roman PS"/>
          <w:b/>
          <w:spacing w:val="40"/>
          <w:sz w:val="48"/>
        </w:rPr>
        <w:t>毕业论文（设计）开题报告</w:t>
      </w:r>
    </w:p>
    <w:p w14:paraId="08896665">
      <w:pPr>
        <w:spacing w:before="60" w:after="60"/>
        <w:ind w:firstLine="643"/>
        <w:rPr>
          <w:b/>
          <w:sz w:val="32"/>
        </w:rPr>
      </w:pPr>
    </w:p>
    <w:p w14:paraId="1A29EC69">
      <w:pPr>
        <w:spacing w:before="60" w:after="60"/>
        <w:rPr>
          <w:b/>
          <w:sz w:val="32"/>
        </w:rPr>
      </w:pPr>
    </w:p>
    <w:p w14:paraId="555F4911">
      <w:pPr>
        <w:spacing w:before="60" w:after="60"/>
        <w:ind w:firstLine="723" w:firstLineChars="200"/>
        <w:jc w:val="center"/>
        <w:rPr>
          <w:b/>
          <w:sz w:val="36"/>
        </w:rPr>
      </w:pPr>
      <w:r>
        <w:rPr>
          <w:b/>
          <w:sz w:val="36"/>
        </w:rPr>
        <w:t>题 目：</w:t>
      </w:r>
      <w:r>
        <w:rPr>
          <w:rFonts w:hint="eastAsia"/>
          <w:b/>
          <w:sz w:val="32"/>
          <w:szCs w:val="18"/>
        </w:rPr>
        <w:t>基于RAG检索的智能代码问答系统设计与实现</w:t>
      </w:r>
    </w:p>
    <w:p w14:paraId="4382F19C">
      <w:pPr>
        <w:spacing w:before="60" w:after="60" w:line="360" w:lineRule="auto"/>
        <w:ind w:firstLine="643"/>
        <w:rPr>
          <w:rFonts w:hint="eastAsia" w:eastAsia="宋体"/>
          <w:b/>
          <w:sz w:val="32"/>
          <w:u w:val="single"/>
          <w:lang w:eastAsia="zh-CN"/>
        </w:rPr>
      </w:pPr>
    </w:p>
    <w:p w14:paraId="2484D484">
      <w:pPr>
        <w:spacing w:before="60" w:after="60" w:line="360" w:lineRule="auto"/>
        <w:ind w:firstLine="643"/>
        <w:rPr>
          <w:rFonts w:hint="eastAsia" w:eastAsia="宋体"/>
          <w:b/>
          <w:sz w:val="32"/>
          <w:u w:val="single"/>
          <w:lang w:eastAsia="zh-CN"/>
        </w:rPr>
      </w:pPr>
    </w:p>
    <w:p w14:paraId="117BBEBF">
      <w:pPr>
        <w:spacing w:before="60" w:after="60" w:line="360" w:lineRule="auto"/>
        <w:rPr>
          <w:b/>
          <w:sz w:val="32"/>
          <w:u w:val="single"/>
        </w:rPr>
      </w:pPr>
    </w:p>
    <w:p w14:paraId="53516D64">
      <w:pPr>
        <w:spacing w:before="249" w:beforeLines="80" w:after="60" w:line="360" w:lineRule="auto"/>
        <w:ind w:right="-9" w:firstLine="2204" w:firstLineChars="686"/>
        <w:rPr>
          <w:b/>
          <w:sz w:val="32"/>
          <w:u w:val="single"/>
        </w:rPr>
      </w:pPr>
      <w:r>
        <w:rPr>
          <w:b/>
          <w:sz w:val="32"/>
        </w:rPr>
        <w:t xml:space="preserve">专    业 </w:t>
      </w:r>
      <w:r>
        <w:rPr>
          <w:b/>
          <w:sz w:val="32"/>
          <w:u w:val="single"/>
        </w:rPr>
        <w:t xml:space="preserve">      </w:t>
      </w:r>
      <w:r>
        <w:rPr>
          <w:rFonts w:hint="eastAsia"/>
          <w:b/>
          <w:sz w:val="32"/>
          <w:u w:val="single"/>
        </w:rPr>
        <w:t>软件工程</w:t>
      </w:r>
      <w:r>
        <w:rPr>
          <w:b/>
          <w:sz w:val="32"/>
          <w:u w:val="single"/>
        </w:rPr>
        <w:t xml:space="preserve">       </w:t>
      </w:r>
    </w:p>
    <w:p w14:paraId="75DE8485">
      <w:pPr>
        <w:spacing w:before="249" w:beforeLines="80" w:after="60" w:line="360" w:lineRule="auto"/>
        <w:ind w:firstLine="2204" w:firstLineChars="686"/>
        <w:rPr>
          <w:b/>
          <w:sz w:val="32"/>
          <w:u w:val="single"/>
        </w:rPr>
      </w:pPr>
      <w:r>
        <w:rPr>
          <w:b/>
          <w:sz w:val="32"/>
        </w:rPr>
        <w:t xml:space="preserve">学    生 </w:t>
      </w:r>
      <w:r>
        <w:rPr>
          <w:b/>
          <w:sz w:val="32"/>
          <w:u w:val="single"/>
        </w:rPr>
        <w:t xml:space="preserve">       </w:t>
      </w:r>
      <w:r>
        <w:rPr>
          <w:rFonts w:hint="eastAsia"/>
          <w:b/>
          <w:sz w:val="32"/>
          <w:u w:val="single"/>
        </w:rPr>
        <w:t>李栋梁</w:t>
      </w:r>
      <w:r>
        <w:rPr>
          <w:b/>
          <w:sz w:val="32"/>
          <w:u w:val="single"/>
        </w:rPr>
        <w:t xml:space="preserve">        </w:t>
      </w:r>
    </w:p>
    <w:p w14:paraId="748ED16F">
      <w:pPr>
        <w:spacing w:before="249" w:beforeLines="80" w:after="60" w:line="360" w:lineRule="auto"/>
        <w:ind w:right="-9" w:firstLine="2204" w:firstLineChars="686"/>
        <w:rPr>
          <w:b/>
          <w:sz w:val="32"/>
          <w:u w:val="single"/>
        </w:rPr>
      </w:pPr>
      <w:r>
        <w:rPr>
          <w:b/>
          <w:sz w:val="32"/>
        </w:rPr>
        <w:t xml:space="preserve">学    号 </w:t>
      </w:r>
      <w:r>
        <w:rPr>
          <w:b/>
          <w:sz w:val="32"/>
          <w:u w:val="single"/>
        </w:rPr>
        <w:t xml:space="preserve">     </w:t>
      </w:r>
      <w:r>
        <w:rPr>
          <w:rFonts w:hint="eastAsia"/>
          <w:b/>
          <w:sz w:val="32"/>
          <w:u w:val="single"/>
        </w:rPr>
        <w:t>2022212021</w:t>
      </w:r>
      <w:r>
        <w:rPr>
          <w:b/>
          <w:sz w:val="32"/>
          <w:u w:val="single"/>
        </w:rPr>
        <w:t xml:space="preserve">      </w:t>
      </w:r>
    </w:p>
    <w:p w14:paraId="2605778D">
      <w:pPr>
        <w:spacing w:before="249" w:beforeLines="80" w:after="60" w:line="360" w:lineRule="auto"/>
        <w:ind w:firstLine="2204" w:firstLineChars="686"/>
        <w:rPr>
          <w:b/>
          <w:sz w:val="32"/>
          <w:u w:val="single"/>
        </w:rPr>
      </w:pPr>
      <w:r>
        <w:rPr>
          <w:b/>
          <w:sz w:val="32"/>
        </w:rPr>
        <w:t xml:space="preserve">指导教师 </w:t>
      </w:r>
      <w:r>
        <w:rPr>
          <w:b/>
          <w:sz w:val="32"/>
          <w:u w:val="single"/>
        </w:rPr>
        <w:t xml:space="preserve">       </w:t>
      </w:r>
      <w:r>
        <w:rPr>
          <w:rFonts w:hint="eastAsia"/>
          <w:b/>
          <w:sz w:val="32"/>
          <w:u w:val="single"/>
        </w:rPr>
        <w:t xml:space="preserve">王金宝 </w:t>
      </w:r>
      <w:r>
        <w:rPr>
          <w:b/>
          <w:sz w:val="32"/>
          <w:u w:val="single"/>
        </w:rPr>
        <w:t xml:space="preserve">       </w:t>
      </w:r>
    </w:p>
    <w:p w14:paraId="3AC8292D">
      <w:pPr>
        <w:spacing w:before="249" w:beforeLines="80" w:after="60" w:line="360" w:lineRule="auto"/>
        <w:ind w:firstLine="2204" w:firstLineChars="686"/>
        <w:rPr>
          <w:b/>
          <w:sz w:val="32"/>
          <w:u w:val="single"/>
        </w:rPr>
      </w:pPr>
      <w:r>
        <w:rPr>
          <w:b/>
          <w:sz w:val="32"/>
        </w:rPr>
        <w:t xml:space="preserve">日    期 </w:t>
      </w:r>
      <w:r>
        <w:rPr>
          <w:b/>
          <w:sz w:val="32"/>
          <w:u w:val="single"/>
        </w:rPr>
        <w:t xml:space="preserve">  </w:t>
      </w:r>
      <w:r>
        <w:rPr>
          <w:rFonts w:hint="eastAsia"/>
          <w:b/>
          <w:sz w:val="32"/>
          <w:u w:val="single"/>
        </w:rPr>
        <w:t xml:space="preserve"> 2025年11月08日</w:t>
      </w:r>
      <w:r>
        <w:rPr>
          <w:b/>
          <w:sz w:val="32"/>
          <w:u w:val="single"/>
        </w:rPr>
        <w:t xml:space="preserve">  </w:t>
      </w:r>
    </w:p>
    <w:p w14:paraId="2BE06BBB">
      <w:pPr>
        <w:snapToGrid w:val="0"/>
        <w:spacing w:before="60" w:after="60"/>
        <w:ind w:firstLine="643"/>
        <w:rPr>
          <w:b/>
          <w:sz w:val="32"/>
        </w:rPr>
      </w:pPr>
    </w:p>
    <w:p w14:paraId="5B91AA3E">
      <w:pPr>
        <w:snapToGrid w:val="0"/>
        <w:spacing w:before="60" w:after="60"/>
        <w:ind w:firstLine="643"/>
        <w:rPr>
          <w:b/>
          <w:sz w:val="32"/>
        </w:rPr>
      </w:pPr>
    </w:p>
    <w:p w14:paraId="7E3CE709">
      <w:pPr>
        <w:snapToGrid w:val="0"/>
        <w:spacing w:before="60" w:after="60"/>
        <w:jc w:val="center"/>
        <w:rPr>
          <w:rFonts w:eastAsia="隶书"/>
          <w:b/>
          <w:sz w:val="36"/>
          <w:szCs w:val="36"/>
        </w:rPr>
      </w:pPr>
      <w:r>
        <w:rPr>
          <w:rFonts w:eastAsia="隶书"/>
          <w:b/>
          <w:sz w:val="36"/>
          <w:szCs w:val="36"/>
        </w:rPr>
        <w:t>哈尔滨工业大学教务处制</w:t>
      </w:r>
    </w:p>
    <w:p w14:paraId="01782E4C">
      <w:pPr>
        <w:pStyle w:val="2"/>
      </w:pPr>
      <w:r>
        <w:br w:type="page"/>
      </w:r>
      <w:r>
        <w:rPr>
          <w:rFonts w:hint="eastAsia"/>
        </w:rPr>
        <w:t>1</w:t>
      </w:r>
      <w:r>
        <w:t>．课题来源及研究的目的和意义</w:t>
      </w:r>
    </w:p>
    <w:p w14:paraId="7A94CDFB">
      <w:pPr>
        <w:pStyle w:val="3"/>
      </w:pPr>
      <w:r>
        <w:rPr>
          <w:rFonts w:hint="eastAsia"/>
        </w:rPr>
        <w:t>1.1课题背景</w:t>
      </w:r>
    </w:p>
    <w:p w14:paraId="39AF151D">
      <w:pPr>
        <w:ind w:firstLine="420"/>
      </w:pPr>
      <w:r>
        <w:t>随着软件系统规模与复杂度持续攀升，文档滞后与知识碎片化已成为普遍痛点：一方面，跨语言、跨模块、跨仓库协作日趋常态化，代码更迭频繁导致"文档—代码"长期失配；另一方面，开发者在跨文件定位函数职责、依赖关系与调用链时成本高、效率低，影响知识传承与研发协同</w:t>
      </w:r>
      <w:r>
        <w:rPr>
          <w:vertAlign w:val="superscript"/>
        </w:rPr>
        <w:t>[2]</w:t>
      </w:r>
      <w:r>
        <w:t>。现实工程中，传统的人工撰写与维护文档方式难以跟上迭代速度，迫切需要一种能够"自动生成、可追溯、可持续更新"的工程知识库方案，以降低维护成本、提升可用性与可信度。</w:t>
      </w:r>
    </w:p>
    <w:p w14:paraId="0CC9D361">
      <w:pPr>
        <w:ind w:firstLine="420"/>
      </w:pPr>
      <w:r>
        <w:t>近年来，检索增强生成（Retrieval-Augmented Generation, RAG）在知识密集型任务中被证明可以显著降低幻觉并提升事实一致性，为"先定位证据、再生成答案"的范式提供了基础</w:t>
      </w:r>
      <w:r>
        <w:rPr>
          <w:vertAlign w:val="superscript"/>
        </w:rPr>
        <w:t>[1]</w:t>
      </w:r>
      <w:r>
        <w:t>。向量数据库作为 RAG 架构的核心组件，通过高效的相似度检索支撑大规模知识库的实时查询</w:t>
      </w:r>
      <w:r>
        <w:rPr>
          <w:vertAlign w:val="superscript"/>
        </w:rPr>
        <w:t>[3]</w:t>
      </w:r>
      <w:r>
        <w:t>。在代码层面，以函数/语法结构为边界进行切片更有利于保持语义完整性，亦与主流评测数据集的实践相契合</w:t>
      </w:r>
      <w:r>
        <w:rPr>
          <w:vertAlign w:val="superscript"/>
        </w:rPr>
        <w:t>[4]</w:t>
      </w:r>
      <w:r>
        <w:t>。Tree-sitter 作为增量式语法解析器，支持多语言代码的高效解析与 AST 构建，为函数级切分提供了技术基础</w:t>
      </w:r>
      <w:r>
        <w:rPr>
          <w:vertAlign w:val="superscript"/>
        </w:rPr>
        <w:t>[5]</w:t>
      </w:r>
      <w:r>
        <w:t>。在推理层面，多轮</w:t>
      </w:r>
      <w:r>
        <w:rPr>
          <w:rFonts w:hint="eastAsia"/>
          <w:lang w:val="en-US" w:eastAsia="zh-CN"/>
        </w:rPr>
        <w:t>迭代</w:t>
      </w:r>
      <w:r>
        <w:t>与工具化推理（如将问题拆分、在检索证据基础上逐步归纳与验证）可以提升跨文件问题的可解释性与完成率</w:t>
      </w:r>
      <w:r>
        <w:rPr>
          <w:vertAlign w:val="superscript"/>
        </w:rPr>
        <w:t>[6][7]</w:t>
      </w:r>
      <w:r>
        <w:t>。大语言模型的涌现进一步推动了代码理解与生成任务的发展，为智能问答系统提供了强大的语义理解能力</w:t>
      </w:r>
      <w:r>
        <w:rPr>
          <w:vertAlign w:val="superscript"/>
        </w:rPr>
        <w:t>[8]</w:t>
      </w:r>
      <w:r>
        <w:t>。基于上述趋势与可行性，本项目聚焦：使用 tree-sitter 进行函数级语义切割；将切片向量化并存入 Qdrant 向量数据库以支持检索增强；通过定时任务与增量索引保证文档与代码版本一致；并以多轮智能推理实现"定位—检索—聚合—生成"的闭环，输出绑定函数签名、文件路径知识产物（工程 Wiki、API 文档与交互式问答）。</w:t>
      </w:r>
    </w:p>
    <w:p w14:paraId="35BEDB8C">
      <w:pPr>
        <w:pStyle w:val="3"/>
      </w:pPr>
      <w:r>
        <w:t>1.2 研究目的</w:t>
      </w:r>
    </w:p>
    <w:p w14:paraId="51594575">
      <w:pPr>
        <w:bidi w:val="0"/>
      </w:pPr>
      <w:r>
        <w:rPr>
          <w:rFonts w:hint="default"/>
        </w:rPr>
        <w:t>本课题旨在构建一个基于检索增强生成（RAG）的代码知识智能问答系统，针对大型软件项目中文档滞后、知识碎片化、跨文件理解成本高等问题，实现代码仓库知识的自动提取、持续更新与高质量问答，从而提升开发者的代码理解效率、降低知识传承成本、增强跨团队协作能力。</w:t>
      </w:r>
    </w:p>
    <w:p w14:paraId="414B635D">
      <w:pPr>
        <w:bidi w:val="0"/>
        <w:rPr>
          <w:rFonts w:hint="default"/>
        </w:rPr>
      </w:pPr>
      <w:r>
        <w:rPr>
          <w:rFonts w:hint="default"/>
        </w:rPr>
        <w:t>核心研究目标如下：</w:t>
      </w:r>
    </w:p>
    <w:p w14:paraId="1D8880DD">
      <w:pPr>
        <w:bidi w:val="0"/>
        <w:rPr>
          <w:rFonts w:hint="default"/>
        </w:rPr>
      </w:pPr>
      <w:r>
        <w:rPr>
          <w:rFonts w:hint="default"/>
        </w:rPr>
        <w:t>（1）构建函数级代码知识库：研发基于 tree-sitter 的多语言代码语法解析与函数级语义切分模块</w:t>
      </w:r>
      <w:r>
        <w:rPr>
          <w:rFonts w:hint="default"/>
          <w:vertAlign w:val="superscript"/>
        </w:rPr>
        <w:t>[5]</w:t>
      </w:r>
      <w:r>
        <w:rPr>
          <w:rFonts w:hint="default"/>
        </w:rPr>
        <w:t>，支持 Python、TypeScript、JavaScript、Java 等主流语言，自动提取函数签名、参数列表、返回类型、起止行号、文档注释（docstring/JSDoc）完整元数据。通过 qwen-embedding 嵌入模型将函数级代码片段向量化</w:t>
      </w:r>
      <w:r>
        <w:rPr>
          <w:rFonts w:hint="default"/>
          <w:vertAlign w:val="superscript"/>
        </w:rPr>
        <w:t>[9]</w:t>
      </w:r>
      <w:r>
        <w:rPr>
          <w:rFonts w:hint="default"/>
        </w:rPr>
        <w:t>，存入 Qdrant 向量数据库</w:t>
      </w:r>
      <w:r>
        <w:rPr>
          <w:rFonts w:hint="default"/>
          <w:vertAlign w:val="superscript"/>
        </w:rPr>
        <w:t>[3]</w:t>
      </w:r>
      <w:r>
        <w:rPr>
          <w:rFonts w:hint="default"/>
        </w:rPr>
        <w:t>，建立支持多仓库、多语言、可按元数据过滤的高效检索知识库，为后续智能问答提供结构化、可追溯的</w:t>
      </w:r>
      <w:r>
        <w:rPr>
          <w:rFonts w:hint="eastAsia"/>
          <w:lang w:val="en-US" w:eastAsia="zh-CN"/>
        </w:rPr>
        <w:t>基础</w:t>
      </w:r>
      <w:r>
        <w:rPr>
          <w:rFonts w:hint="default"/>
        </w:rPr>
        <w:t>。</w:t>
      </w:r>
    </w:p>
    <w:p w14:paraId="1FB8AA96">
      <w:pPr>
        <w:bidi w:val="0"/>
        <w:rPr>
          <w:rFonts w:hint="default"/>
        </w:rPr>
      </w:pPr>
      <w:r>
        <w:rPr>
          <w:rFonts w:hint="default"/>
        </w:rPr>
        <w:t>（2）实现增量索引与版本一致性机制：设计基于定时任务的仓库监听与增量索引</w:t>
      </w:r>
      <w:r>
        <w:rPr>
          <w:rFonts w:hint="eastAsia"/>
          <w:lang w:val="en-US" w:eastAsia="zh-CN"/>
        </w:rPr>
        <w:t>更新策略</w:t>
      </w:r>
      <w:r>
        <w:rPr>
          <w:rFonts w:hint="default"/>
        </w:rPr>
        <w:t>，通过周期性执行 </w:t>
      </w:r>
      <w:r>
        <w:t>git pull</w:t>
      </w:r>
      <w:r>
        <w:rPr>
          <w:rFonts w:hint="default"/>
        </w:rPr>
        <w:t> 并解析变更文件列表（新增、修改、删除），触发更新流程，仅对受影响文件重新解析与向量化，未变更文件保持</w:t>
      </w:r>
      <w:r>
        <w:rPr>
          <w:rFonts w:hint="eastAsia"/>
          <w:lang w:val="en-US" w:eastAsia="zh-CN"/>
        </w:rPr>
        <w:t>不变</w:t>
      </w:r>
      <w:r>
        <w:rPr>
          <w:rFonts w:hint="default"/>
          <w:vertAlign w:val="superscript"/>
        </w:rPr>
        <w:t>[11]</w:t>
      </w:r>
      <w:r>
        <w:rPr>
          <w:rFonts w:hint="default"/>
        </w:rPr>
        <w:t>。增量索引机制相比全量重建</w:t>
      </w:r>
      <w:r>
        <w:rPr>
          <w:rFonts w:hint="eastAsia"/>
          <w:lang w:val="en-US" w:eastAsia="zh-CN"/>
        </w:rPr>
        <w:t>可以</w:t>
      </w:r>
      <w:r>
        <w:rPr>
          <w:rFonts w:hint="default"/>
        </w:rPr>
        <w:t>大幅降低耗时，确保知识库与代码版本实时同步，避免因文档滞后造成的信息失真与误导。</w:t>
      </w:r>
    </w:p>
    <w:p w14:paraId="5020314A">
      <w:pPr>
        <w:bidi w:val="0"/>
        <w:rPr>
          <w:rFonts w:hint="default"/>
        </w:rPr>
      </w:pPr>
      <w:r>
        <w:rPr>
          <w:rFonts w:hint="default"/>
        </w:rPr>
        <w:t>（3）实现检索增强的智能问答系统：设计用户查询的向量化与检索流程，将自然语言查询转换为向量后在 Qdrant 中执行相似度检索</w:t>
      </w:r>
      <w:r>
        <w:rPr>
          <w:rFonts w:hint="default"/>
          <w:vertAlign w:val="superscript"/>
        </w:rPr>
        <w:t>[3]</w:t>
      </w:r>
      <w:r>
        <w:rPr>
          <w:rFonts w:hint="default"/>
        </w:rPr>
        <w:t>，召回高相关函数片段作为证据集。结合结构化提示模板（System Prompt）与大语言模型（LLM），</w:t>
      </w:r>
      <w:r>
        <w:rPr>
          <w:rFonts w:hint="eastAsia"/>
          <w:lang w:val="en-US" w:eastAsia="zh-CN"/>
        </w:rPr>
        <w:t>限定大</w:t>
      </w:r>
      <w:r>
        <w:rPr>
          <w:rFonts w:hint="default"/>
        </w:rPr>
        <w:t>模型输出格式（先结论、再步骤、附证据引用：文件路径/行号/提交哈希），确保答案可验证、可回溯，有效降低幻觉答案比例，提升答案</w:t>
      </w:r>
      <w:r>
        <w:rPr>
          <w:rFonts w:hint="eastAsia"/>
          <w:lang w:val="en-US" w:eastAsia="zh-CN"/>
        </w:rPr>
        <w:t>与</w:t>
      </w:r>
      <w:r>
        <w:rPr>
          <w:rFonts w:hint="default"/>
        </w:rPr>
        <w:t>事实</w:t>
      </w:r>
      <w:r>
        <w:rPr>
          <w:rFonts w:hint="eastAsia"/>
          <w:lang w:val="en-US" w:eastAsia="zh-CN"/>
        </w:rPr>
        <w:t>的</w:t>
      </w:r>
      <w:r>
        <w:rPr>
          <w:rFonts w:hint="default"/>
        </w:rPr>
        <w:t>一致性与可信度</w:t>
      </w:r>
      <w:r>
        <w:rPr>
          <w:rFonts w:hint="default"/>
          <w:vertAlign w:val="superscript"/>
        </w:rPr>
        <w:t>[1][10]</w:t>
      </w:r>
      <w:r>
        <w:rPr>
          <w:rFonts w:hint="default"/>
        </w:rPr>
        <w:t>。</w:t>
      </w:r>
    </w:p>
    <w:p w14:paraId="4AFC5936">
      <w:pPr>
        <w:bidi w:val="0"/>
        <w:rPr>
          <w:rFonts w:hint="default"/>
        </w:rPr>
      </w:pPr>
      <w:r>
        <w:rPr>
          <w:rFonts w:hint="default"/>
        </w:rPr>
        <w:t>（4）支持多轮推理与复杂问题分解：针对跨文件、跨模块的复杂问题（如"用户登录流程涉及哪些模块"、"支付模块与订单模块如何交互"），采用链式思考（Chain-of-Thought）与工具化推理（ReAct）策略</w:t>
      </w:r>
      <w:r>
        <w:rPr>
          <w:rFonts w:hint="default"/>
          <w:vertAlign w:val="superscript"/>
        </w:rPr>
        <w:t>[6][7]</w:t>
      </w:r>
      <w:r>
        <w:rPr>
          <w:rFonts w:hint="default"/>
        </w:rPr>
        <w:t>，将复杂问题拆解为多个子问题，分别检索证据并逐步聚合生成答案。形成"检索—推理—验证"的闭环迭代，提升</w:t>
      </w:r>
      <w:r>
        <w:rPr>
          <w:rFonts w:hint="eastAsia"/>
          <w:lang w:val="en-US" w:eastAsia="zh-CN"/>
        </w:rPr>
        <w:t>对</w:t>
      </w:r>
      <w:r>
        <w:rPr>
          <w:rFonts w:hint="default"/>
        </w:rPr>
        <w:t>复杂问题</w:t>
      </w:r>
      <w:r>
        <w:rPr>
          <w:rFonts w:hint="eastAsia"/>
          <w:lang w:val="en-US" w:eastAsia="zh-CN"/>
        </w:rPr>
        <w:t>的回答效果与准确性</w:t>
      </w:r>
      <w:r>
        <w:rPr>
          <w:rFonts w:hint="default"/>
        </w:rPr>
        <w:t>，增强系统的实用性。</w:t>
      </w:r>
    </w:p>
    <w:p w14:paraId="1F0E0087">
      <w:pPr>
        <w:bidi w:val="0"/>
      </w:pPr>
      <w:r>
        <w:rPr>
          <w:rFonts w:hint="default"/>
        </w:rPr>
        <w:t>预期效果：系统在检索质量上达到较高的召回率与排名精度，在答案质量上保证良好的事实一致性与准确性，在系统性能上实现快速的端到端响应时间与高效的增量索引速度。通过本系统，预期显著降低工程文档维护成本、缩短新成员上手周期、提升跨团队协作效率，为大型软件项目的知识管理与团队协作提供可落地的技术方案。</w:t>
      </w:r>
    </w:p>
    <w:p w14:paraId="7736EF1D">
      <w:pPr>
        <w:pStyle w:val="3"/>
      </w:pPr>
      <w:r>
        <w:t>1.3 研究意义</w:t>
      </w:r>
    </w:p>
    <w:p w14:paraId="118034F5">
      <w:pPr>
        <w:ind w:firstLine="420"/>
      </w:pPr>
      <w:r>
        <w:t>在大型微服务体系中，代码分散在多个仓库、语言各异、版本快速演进，传统的人工撰写文档与知识传递方式难以及时统一，研发与运维团队在新成员上手、跨服务联调、线上故障处置与合规审计中经常遭遇"找不到、找不准、追不全"的</w:t>
      </w:r>
      <w:r>
        <w:rPr>
          <w:rFonts w:hint="eastAsia"/>
          <w:lang w:val="en-US" w:eastAsia="zh-CN"/>
        </w:rPr>
        <w:t>问题</w:t>
      </w:r>
      <w:r>
        <w:rPr>
          <w:rFonts w:hint="default"/>
          <w:vertAlign w:val="superscript"/>
        </w:rPr>
        <w:t>[2]</w:t>
      </w:r>
      <w:r>
        <w:t>。本系统以"prepare/use"两阶段为主线，把源码</w:t>
      </w:r>
      <w:r>
        <w:rPr>
          <w:rFonts w:hint="eastAsia"/>
          <w:lang w:val="en-US" w:eastAsia="zh-CN"/>
        </w:rPr>
        <w:t>进行函数级别的切分</w:t>
      </w:r>
      <w:r>
        <w:t>，并通过向量化入库与检索增强生成，将开发知识</w:t>
      </w:r>
      <w:r>
        <w:rPr>
          <w:rFonts w:hint="eastAsia"/>
          <w:lang w:val="en-US" w:eastAsia="zh-CN"/>
        </w:rPr>
        <w:t>变位</w:t>
      </w:r>
      <w:r>
        <w:t>为可检索、可引用、可审计的</w:t>
      </w:r>
      <w:r>
        <w:rPr>
          <w:rFonts w:hint="eastAsia"/>
          <w:lang w:val="en-US" w:eastAsia="zh-CN"/>
        </w:rPr>
        <w:t>数字</w:t>
      </w:r>
      <w:r>
        <w:t>资产：一方面，开发与运维人员在排障和变更评审时可以直接检索到与问题最相关的函数级证据，答案同步附带文件路径、行号，便于回溯到具体</w:t>
      </w:r>
      <w:r>
        <w:rPr>
          <w:rFonts w:hint="eastAsia"/>
          <w:lang w:val="en-US" w:eastAsia="zh-CN"/>
        </w:rPr>
        <w:t>位置</w:t>
      </w:r>
      <w:r>
        <w:t>，显著降低沟通</w:t>
      </w:r>
      <w:r>
        <w:rPr>
          <w:rFonts w:hint="eastAsia"/>
          <w:lang w:val="en-US" w:eastAsia="zh-CN"/>
        </w:rPr>
        <w:t>与</w:t>
      </w:r>
      <w:r>
        <w:t>定位</w:t>
      </w:r>
      <w:r>
        <w:rPr>
          <w:rFonts w:hint="eastAsia"/>
          <w:lang w:val="en-US" w:eastAsia="zh-CN"/>
        </w:rPr>
        <w:t>的</w:t>
      </w:r>
      <w:r>
        <w:t>时间</w:t>
      </w:r>
      <w:r>
        <w:rPr>
          <w:rFonts w:hint="eastAsia"/>
          <w:lang w:val="en-US" w:eastAsia="zh-CN"/>
        </w:rPr>
        <w:t>成本</w:t>
      </w:r>
      <w:r>
        <w:t>；另一方面，随着仓库的持续集成与迭代，通过定时任务自动增量更新索引</w:t>
      </w:r>
      <w:r>
        <w:rPr>
          <w:rFonts w:hint="default"/>
          <w:vertAlign w:val="superscript"/>
        </w:rPr>
        <w:t>[11]</w:t>
      </w:r>
      <w:r>
        <w:t>，使"文档—代码—版本"保持一致，避免因文档滞后造成的误判。对于人员流动频繁、服务边界复杂</w:t>
      </w:r>
      <w:r>
        <w:rPr>
          <w:rFonts w:hint="eastAsia"/>
          <w:lang w:eastAsia="zh-CN"/>
        </w:rPr>
        <w:t>、</w:t>
      </w:r>
      <w:r>
        <w:rPr>
          <w:rFonts w:hint="eastAsia"/>
          <w:lang w:val="en-US" w:eastAsia="zh-CN"/>
        </w:rPr>
        <w:t>对回答效果</w:t>
      </w:r>
      <w:r>
        <w:t>有严格要求的团队而言，这种以函数为最小知识单元的</w:t>
      </w:r>
      <w:r>
        <w:rPr>
          <w:rFonts w:hint="eastAsia"/>
          <w:lang w:val="en-US" w:eastAsia="zh-CN"/>
        </w:rPr>
        <w:t>增量更新</w:t>
      </w:r>
      <w:r>
        <w:t>，能够</w:t>
      </w:r>
      <w:r>
        <w:rPr>
          <w:rFonts w:hint="eastAsia"/>
          <w:lang w:val="en-US" w:eastAsia="zh-CN"/>
        </w:rPr>
        <w:t>不断减少</w:t>
      </w:r>
      <w:r>
        <w:t>新人成熟周期、提高团队协作效率，并在代码</w:t>
      </w:r>
      <w:r>
        <w:rPr>
          <w:rFonts w:hint="eastAsia"/>
          <w:lang w:val="en-US" w:eastAsia="zh-CN"/>
        </w:rPr>
        <w:t>测试</w:t>
      </w:r>
      <w:r>
        <w:t>中提供证据链。</w:t>
      </w:r>
    </w:p>
    <w:p w14:paraId="7E7C5392">
      <w:pPr>
        <w:pStyle w:val="2"/>
      </w:pPr>
      <w:r>
        <w:t>2．国内外在该方向的研究现状及分析</w:t>
      </w:r>
    </w:p>
    <w:p w14:paraId="029F0D91">
      <w:pPr>
        <w:pStyle w:val="3"/>
      </w:pPr>
      <w:r>
        <w:t>2.1 国内现状及分析</w:t>
      </w:r>
    </w:p>
    <w:p w14:paraId="2AD81B2A">
      <w:pPr>
        <w:ind w:firstLine="420"/>
      </w:pPr>
      <w:r>
        <w:t>近几年，国内围绕"代码知识库与智能问答"的研究与工程化落地</w:t>
      </w:r>
      <w:r>
        <w:rPr>
          <w:rFonts w:hint="eastAsia"/>
          <w:lang w:val="en-US" w:eastAsia="zh-CN"/>
        </w:rPr>
        <w:t>方面不断加速</w:t>
      </w:r>
      <w:r>
        <w:t>，整体路线逐渐从"纯生成式代码模型"转向"检索增强的代码理解与问答系统"。在产业侧，出于私有化部署、数据安全与合规的要求，企业更偏好基于自建或托管的向量数据库构建</w:t>
      </w:r>
      <w:r>
        <w:rPr>
          <w:rFonts w:hint="eastAsia"/>
          <w:lang w:val="en-US" w:eastAsia="zh-CN"/>
        </w:rPr>
        <w:t>领域代码知识库</w:t>
      </w:r>
      <w:r>
        <w:rPr>
          <w:rFonts w:hint="default"/>
          <w:vertAlign w:val="superscript"/>
        </w:rPr>
        <w:t>[3]</w:t>
      </w:r>
      <w:r>
        <w:t>，并以相似度检索，再结合结构化提示模版完成答案生成与可追溯展示。典型实践包括：以语法树为</w:t>
      </w:r>
      <w:r>
        <w:rPr>
          <w:rFonts w:hint="eastAsia"/>
          <w:lang w:val="en-US" w:eastAsia="zh-CN"/>
        </w:rPr>
        <w:t>基础</w:t>
      </w:r>
      <w:r>
        <w:t>的函数级切分</w:t>
      </w:r>
      <w:r>
        <w:rPr>
          <w:rFonts w:hint="default"/>
          <w:vertAlign w:val="superscript"/>
        </w:rPr>
        <w:t>[5]</w:t>
      </w:r>
      <w:r>
        <w:t>，用以减少固定窗口切分带来的语义断裂；以中文友好且对代码语义具备较强表征力的</w:t>
      </w:r>
      <w:r>
        <w:rPr>
          <w:rFonts w:hint="eastAsia"/>
          <w:lang w:val="en-US" w:eastAsia="zh-CN"/>
        </w:rPr>
        <w:t>向量化模型</w:t>
      </w:r>
      <w:r>
        <w:t>完成向量化</w:t>
      </w:r>
      <w:r>
        <w:rPr>
          <w:rFonts w:hint="default"/>
          <w:vertAlign w:val="superscript"/>
        </w:rPr>
        <w:t>[9]</w:t>
      </w:r>
      <w:r>
        <w:t>；在问答阶段对证据进行严格的来源绑定（路径、行号、提交哈希），以满足审计需求</w:t>
      </w:r>
      <w:r>
        <w:rPr>
          <w:rFonts w:hint="eastAsia"/>
          <w:lang w:val="en-US" w:eastAsia="zh-CN"/>
        </w:rPr>
        <w:t>与回答的准确性</w:t>
      </w:r>
      <w:r>
        <w:t>。</w:t>
      </w:r>
    </w:p>
    <w:p w14:paraId="3F96E989">
      <w:pPr>
        <w:ind w:firstLine="420"/>
      </w:pPr>
      <w:r>
        <w:t>从模型与方法角度看，国内大模型体系在代码方向持续演进：以通用多语言能力为基础的模型</w:t>
      </w:r>
      <w:r>
        <w:rPr>
          <w:rFonts w:hint="eastAsia"/>
          <w:lang w:val="en-US" w:eastAsia="zh-CN"/>
        </w:rPr>
        <w:t>系列</w:t>
      </w:r>
      <w:r>
        <w:t>（如 Qwen 系列）持续提升对中文语境与工程文本的理解、指令跟随与工具化</w:t>
      </w:r>
      <w:r>
        <w:rPr>
          <w:rFonts w:hint="eastAsia"/>
          <w:lang w:val="en-US" w:eastAsia="zh-CN"/>
        </w:rPr>
        <w:t>的</w:t>
      </w:r>
      <w:r>
        <w:t>能力</w:t>
      </w:r>
      <w:r>
        <w:rPr>
          <w:rFonts w:hint="default"/>
          <w:vertAlign w:val="superscript"/>
        </w:rPr>
        <w:t>[8]</w:t>
      </w:r>
      <w:r>
        <w:t>，为检索增强生成（RAG）提供稳定的编码与生成底座。在</w:t>
      </w:r>
      <w:r>
        <w:rPr>
          <w:rFonts w:hint="eastAsia"/>
          <w:lang w:val="en-US" w:eastAsia="zh-CN"/>
        </w:rPr>
        <w:t>学术与研发</w:t>
      </w:r>
      <w:r>
        <w:t>结合层面，行业普遍借鉴国际上关于检索增强与代码预训练的成熟成果，并将其与本土工程实践融合，用多轮</w:t>
      </w:r>
      <w:r>
        <w:rPr>
          <w:rFonts w:hint="eastAsia"/>
          <w:lang w:val="en-US" w:eastAsia="zh-CN"/>
        </w:rPr>
        <w:t>迭代</w:t>
      </w:r>
      <w:r>
        <w:t>与结构化 Prompt 控制生成边界，降低幻觉、提升事实一致性与可解释性</w:t>
      </w:r>
      <w:r>
        <w:rPr>
          <w:rFonts w:hint="default"/>
          <w:vertAlign w:val="superscript"/>
        </w:rPr>
        <w:t>[6][7][10]</w:t>
      </w:r>
      <w:r>
        <w:t>。总体而言，国内研究的特点是工程落地，强调私有化、可追溯与增量更新</w:t>
      </w:r>
      <w:r>
        <w:rPr>
          <w:rFonts w:hint="default"/>
          <w:vertAlign w:val="superscript"/>
        </w:rPr>
        <w:t>[11]</w:t>
      </w:r>
      <w:r>
        <w:t>，对"文档—代码—版本一致性"的治理投入更高，但在公开</w:t>
      </w:r>
      <w:r>
        <w:rPr>
          <w:rFonts w:hint="eastAsia"/>
          <w:lang w:val="en-US" w:eastAsia="zh-CN"/>
        </w:rPr>
        <w:t>的测试</w:t>
      </w:r>
      <w:r>
        <w:t>集（特别是中文语境下的函数级检索与跨文件问答）方面仍有改进空间。</w:t>
      </w:r>
    </w:p>
    <w:p w14:paraId="1B89FDFF">
      <w:pPr>
        <w:pStyle w:val="3"/>
      </w:pPr>
      <w:r>
        <w:t>2.2 国外现状及分析</w:t>
      </w:r>
    </w:p>
    <w:p w14:paraId="17E1CF38">
      <w:pPr>
        <w:ind w:firstLine="420"/>
      </w:pPr>
      <w:r>
        <w:t>国际上围绕"代码理解、检索与生成"的研究体系较为完备：一方面，检索增强生成（RAG）在知识密集型任务中被系统性验证可显著降低幻觉并提升事实一致性，成为面向工程知识问答的核心范式</w:t>
      </w:r>
      <w:r>
        <w:rPr>
          <w:rFonts w:hint="default"/>
          <w:vertAlign w:val="superscript"/>
        </w:rPr>
        <w:t>[1]</w:t>
      </w:r>
      <w:r>
        <w:t>；另一方面，围绕代码的预训练与表示学习形成了从表征到生成的系统化谱系。以 CodeSearchNet 为代表的基准推动了函数级语义检索与评测规范化，为"以函数为最小</w:t>
      </w:r>
      <w:r>
        <w:rPr>
          <w:rFonts w:hint="eastAsia"/>
          <w:lang w:val="en-US" w:eastAsia="zh-CN"/>
        </w:rPr>
        <w:t>的</w:t>
      </w:r>
      <w:r>
        <w:t>证据单元"的系统设计奠定了数据与指标基础</w:t>
      </w:r>
      <w:r>
        <w:rPr>
          <w:rFonts w:hint="default"/>
          <w:vertAlign w:val="superscript"/>
        </w:rPr>
        <w:t>[4]</w:t>
      </w:r>
      <w:r>
        <w:t>；在代码表征方面，CodeBERT、GraphCodeBERT、CodeT5 等工作分别从跨模态预训练、数据流/结构约束与统一编解码建模等维度提升了代码语义对齐</w:t>
      </w:r>
      <w:r>
        <w:rPr>
          <w:rFonts w:hint="eastAsia"/>
          <w:lang w:val="en-US" w:eastAsia="zh-CN"/>
        </w:rPr>
        <w:t>的</w:t>
      </w:r>
      <w:r>
        <w:t>能力，为函数级检索与问答提供了</w:t>
      </w:r>
      <w:r>
        <w:rPr>
          <w:rFonts w:hint="eastAsia"/>
          <w:lang w:val="en-US" w:eastAsia="zh-CN"/>
        </w:rPr>
        <w:t>强大且健全</w:t>
      </w:r>
      <w:r>
        <w:t>的编码器选择</w:t>
      </w:r>
      <w:r>
        <w:rPr>
          <w:rFonts w:hint="default"/>
          <w:vertAlign w:val="superscript"/>
        </w:rPr>
        <w:t>[12][13][14]</w:t>
      </w:r>
      <w:r>
        <w:t>；在大规模代码模型方面，开源</w:t>
      </w:r>
      <w:r>
        <w:rPr>
          <w:rFonts w:hint="eastAsia"/>
          <w:lang w:val="en-US" w:eastAsia="zh-CN"/>
        </w:rPr>
        <w:t>社区和</w:t>
      </w:r>
      <w:r>
        <w:t>产业界以 StarCoder/The Stack 等为代表的工作推动了多语言代码语料与可复现实验的标准化</w:t>
      </w:r>
      <w:r>
        <w:rPr>
          <w:rFonts w:hint="default"/>
          <w:vertAlign w:val="superscript"/>
        </w:rPr>
        <w:t>[15]</w:t>
      </w:r>
      <w:r>
        <w:t>，同时也促成了对多轮推理、工具调度与结构化提示的探索</w:t>
      </w:r>
      <w:r>
        <w:rPr>
          <w:rFonts w:hint="default"/>
          <w:vertAlign w:val="superscript"/>
        </w:rPr>
        <w:t>[7]</w:t>
      </w:r>
      <w:r>
        <w:t>。大语言模型的涌现为代码生成与理解任务带来了新的突破，</w:t>
      </w:r>
      <w:r>
        <w:rPr>
          <w:rFonts w:hint="eastAsia"/>
          <w:lang w:val="en-US" w:eastAsia="zh-CN"/>
        </w:rPr>
        <w:t>可以实现</w:t>
      </w:r>
      <w:r>
        <w:t>更复杂的代码问答与推理场景</w:t>
      </w:r>
      <w:r>
        <w:rPr>
          <w:rFonts w:hint="default"/>
          <w:vertAlign w:val="superscript"/>
        </w:rPr>
        <w:t>[8]</w:t>
      </w:r>
      <w:r>
        <w:t>。国际研究的总体趋势是以开放基准与大规模语料为抓手，结合严谨的实验与可复现</w:t>
      </w:r>
      <w:r>
        <w:rPr>
          <w:rFonts w:hint="eastAsia"/>
          <w:lang w:val="en-US" w:eastAsia="zh-CN"/>
        </w:rPr>
        <w:t>的路径</w:t>
      </w:r>
      <w:r>
        <w:t>，持续优化检索质量</w:t>
      </w:r>
      <w:r>
        <w:rPr>
          <w:rFonts w:hint="eastAsia"/>
          <w:lang w:val="en-US" w:eastAsia="zh-CN"/>
        </w:rPr>
        <w:t>和</w:t>
      </w:r>
      <w:r>
        <w:t>生成稳定性。</w:t>
      </w:r>
    </w:p>
    <w:p w14:paraId="4CD757EE">
      <w:pPr>
        <w:ind w:firstLine="420"/>
      </w:pPr>
      <w:r>
        <w:t>对比来看，国外在公开数据集、评测规范与多语言覆盖方面更成熟，利于横向对比与方法迭代；国内在工程落地、私有化与合规约束下的系统治理更强调可追溯与可控性。围绕"函数级切分 + 向量检索 + 结构化 Prompt + 多轮推理"的组合</w:t>
      </w:r>
      <w:r>
        <w:rPr>
          <w:rFonts w:hint="eastAsia"/>
          <w:lang w:val="en-US" w:eastAsia="zh-CN"/>
        </w:rPr>
        <w:t>模式</w:t>
      </w:r>
      <w:r>
        <w:t>，两者在技术路径上高度契合：国际侧以开放基准促进</w:t>
      </w:r>
      <w:r>
        <w:rPr>
          <w:rFonts w:hint="eastAsia"/>
          <w:lang w:val="en-US" w:eastAsia="zh-CN"/>
        </w:rPr>
        <w:t>可测试、可对比</w:t>
      </w:r>
      <w:r>
        <w:t>，国内侧以真实场景推进</w:t>
      </w:r>
      <w:r>
        <w:rPr>
          <w:rFonts w:hint="eastAsia"/>
          <w:lang w:val="en-US" w:eastAsia="zh-CN"/>
        </w:rPr>
        <w:t>可使用、可管理</w:t>
      </w:r>
      <w:r>
        <w:t>。因此，面向实际应用的系统往往需要在国际通行方法上</w:t>
      </w:r>
      <w:r>
        <w:rPr>
          <w:rFonts w:hint="eastAsia"/>
          <w:lang w:val="en-US" w:eastAsia="zh-CN"/>
        </w:rPr>
        <w:t>与国内研究结果进行结合，实现</w:t>
      </w:r>
      <w:r>
        <w:t>在证据引用的</w:t>
      </w:r>
      <w:r>
        <w:rPr>
          <w:rFonts w:hint="eastAsia"/>
          <w:lang w:val="en-US" w:eastAsia="zh-CN"/>
        </w:rPr>
        <w:t>颗粒度</w:t>
      </w:r>
      <w:r>
        <w:t>与格式上更</w:t>
      </w:r>
      <w:r>
        <w:rPr>
          <w:rFonts w:hint="eastAsia"/>
          <w:lang w:val="en-US" w:eastAsia="zh-CN"/>
        </w:rPr>
        <w:t>加</w:t>
      </w:r>
      <w:r>
        <w:t>严格、在增量索引</w:t>
      </w:r>
      <w:r>
        <w:rPr>
          <w:rFonts w:hint="eastAsia"/>
          <w:lang w:val="en-US" w:eastAsia="zh-CN"/>
        </w:rPr>
        <w:t>的更新</w:t>
      </w:r>
      <w:r>
        <w:t>与版本一致性上更</w:t>
      </w:r>
      <w:r>
        <w:rPr>
          <w:rFonts w:hint="eastAsia"/>
          <w:lang w:val="en-US" w:eastAsia="zh-CN"/>
        </w:rPr>
        <w:t>严格</w:t>
      </w:r>
      <w:r>
        <w:rPr>
          <w:rFonts w:hint="default"/>
          <w:vertAlign w:val="superscript"/>
        </w:rPr>
        <w:t>[11]</w:t>
      </w:r>
      <w:r>
        <w:t>，并以多轮</w:t>
      </w:r>
      <w:r>
        <w:rPr>
          <w:rFonts w:hint="eastAsia"/>
          <w:lang w:val="en-US" w:eastAsia="zh-CN"/>
        </w:rPr>
        <w:t>迭代</w:t>
      </w:r>
      <w:r>
        <w:t>保证</w:t>
      </w:r>
      <w:r>
        <w:rPr>
          <w:rFonts w:hint="eastAsia"/>
          <w:lang w:val="en-US" w:eastAsia="zh-CN"/>
        </w:rPr>
        <w:t>心痛对</w:t>
      </w:r>
      <w:r>
        <w:t>复杂跨文件问题的</w:t>
      </w:r>
      <w:r>
        <w:rPr>
          <w:rFonts w:hint="eastAsia"/>
          <w:lang w:val="en-US" w:eastAsia="zh-CN"/>
        </w:rPr>
        <w:t>回答效果与准确性</w:t>
      </w:r>
      <w:r>
        <w:t>。</w:t>
      </w:r>
    </w:p>
    <w:p w14:paraId="7C553553">
      <w:pPr>
        <w:pStyle w:val="2"/>
      </w:pPr>
      <w:r>
        <w:t>3．主要研究内容</w:t>
      </w:r>
    </w:p>
    <w:p w14:paraId="6BEBB89F">
      <w:pPr>
        <w:pStyle w:val="3"/>
      </w:pPr>
      <w:r>
        <w:t>3.1 系统需求分析</w:t>
      </w:r>
    </w:p>
    <w:p w14:paraId="4D16952F">
      <w:pPr>
        <w:ind w:firstLine="420"/>
      </w:pPr>
      <w:r>
        <w:rPr>
          <w:rFonts w:hint="eastAsia"/>
          <w:lang w:val="en-US" w:eastAsia="zh-CN"/>
        </w:rPr>
        <w:t>通过对</w:t>
      </w:r>
      <w:r>
        <w:rPr>
          <w:rFonts w:hint="eastAsia"/>
        </w:rPr>
        <w:t>代码仓库知识自动化生产与智能问答的实际需求进行分析，</w:t>
      </w:r>
      <w:r>
        <w:rPr>
          <w:rFonts w:hint="eastAsia"/>
          <w:lang w:val="en-US" w:eastAsia="zh-CN"/>
        </w:rPr>
        <w:t>发现功能需求</w:t>
      </w:r>
      <w:r>
        <w:rPr>
          <w:rFonts w:hint="eastAsia"/>
        </w:rPr>
        <w:t>包括仓库接入与解析、函数级语义切分与向量化、增量索引</w:t>
      </w:r>
      <w:r>
        <w:rPr>
          <w:rFonts w:hint="eastAsia"/>
          <w:lang w:val="en-US" w:eastAsia="zh-CN"/>
        </w:rPr>
        <w:t>更新</w:t>
      </w:r>
      <w:r>
        <w:rPr>
          <w:rFonts w:hint="eastAsia"/>
        </w:rPr>
        <w:t>、检索增强问答、多轮推理与证据追溯需求，非功能需求</w:t>
      </w:r>
      <w:r>
        <w:rPr>
          <w:rFonts w:hint="eastAsia"/>
          <w:lang w:val="en-US" w:eastAsia="zh-CN"/>
        </w:rPr>
        <w:t>包括</w:t>
      </w:r>
      <w:r>
        <w:rPr>
          <w:rFonts w:hint="eastAsia"/>
        </w:rPr>
        <w:t>，系统可靠性、可扩展性、可追溯性等。</w:t>
      </w:r>
    </w:p>
    <w:p w14:paraId="76661BCA">
      <w:r>
        <w:rPr>
          <w:rFonts w:hint="eastAsia"/>
        </w:rPr>
        <w:t>(1) 功能需求分析</w:t>
      </w:r>
    </w:p>
    <w:p w14:paraId="46450DEB">
      <w:pPr>
        <w:ind w:firstLine="420"/>
      </w:pPr>
      <w:r>
        <w:rPr>
          <w:rFonts w:hint="eastAsia"/>
        </w:rPr>
        <w:t>本系统的功能主要可以分为仓库接入与清洗、函数级代码切分、向量化与知识库构建、增量索引与自动更新、检索增强问答、多轮智能推理。</w:t>
      </w:r>
    </w:p>
    <w:p w14:paraId="6233BBD2">
      <w:r>
        <w:rPr>
          <w:rFonts w:hint="eastAsia"/>
        </w:rPr>
        <w:t>仓库接入与清洗功能支持通过 Git URL自动拉取目标仓库，并对二进制文件、编译产物、第三方依赖目录</w:t>
      </w:r>
      <w:r>
        <w:rPr>
          <w:rFonts w:hint="eastAsia"/>
          <w:lang w:val="en-US" w:eastAsia="zh-CN"/>
        </w:rPr>
        <w:t>等</w:t>
      </w:r>
      <w:r>
        <w:rPr>
          <w:rFonts w:hint="eastAsia"/>
        </w:rPr>
        <w:t>进行过滤，形成可解析源码集</w:t>
      </w:r>
      <w:r>
        <w:rPr>
          <w:rFonts w:hint="eastAsia"/>
          <w:lang w:val="en-US" w:eastAsia="zh-CN"/>
        </w:rPr>
        <w:t>合</w:t>
      </w:r>
      <w:r>
        <w:rPr>
          <w:rFonts w:hint="eastAsia"/>
        </w:rPr>
        <w:t>。系统自动识别代码语言并记录文件路径等元数据，确保后续检索与答案可追溯到具体文件位置。</w:t>
      </w:r>
    </w:p>
    <w:p w14:paraId="75B9641E">
      <w:pPr>
        <w:ind w:firstLine="420"/>
      </w:pPr>
      <w:r>
        <w:rPr>
          <w:rFonts w:hint="eastAsia"/>
        </w:rPr>
        <w:t>函数级代码切分功能采用 tree-sitter 语法解析器，按函数、类、方法等</w:t>
      </w:r>
      <w:r>
        <w:rPr>
          <w:rFonts w:hint="eastAsia"/>
          <w:lang w:val="en-US" w:eastAsia="zh-CN"/>
        </w:rPr>
        <w:t>结构</w:t>
      </w:r>
      <w:r>
        <w:rPr>
          <w:rFonts w:hint="eastAsia"/>
        </w:rPr>
        <w:t>对源文件进行结构化切分，保留函数签名、参数列表、起止行号、文档注释等完整元数据。与固定窗口切分相比，函数级</w:t>
      </w:r>
      <w:r>
        <w:rPr>
          <w:rFonts w:hint="eastAsia"/>
          <w:lang w:val="en-US" w:eastAsia="zh-CN"/>
        </w:rPr>
        <w:t>的颗</w:t>
      </w:r>
      <w:r>
        <w:rPr>
          <w:rFonts w:hint="eastAsia"/>
        </w:rPr>
        <w:t>粒度能够保持语义完整性，避免</w:t>
      </w:r>
      <w:r>
        <w:rPr>
          <w:rFonts w:hint="eastAsia"/>
          <w:lang w:val="en-US" w:eastAsia="zh-CN"/>
        </w:rPr>
        <w:t>切分结果</w:t>
      </w:r>
      <w:r>
        <w:rPr>
          <w:rFonts w:hint="eastAsia"/>
        </w:rPr>
        <w:t>的语义断裂，同时为后续的精确引用与调用链追踪</w:t>
      </w:r>
      <w:r>
        <w:rPr>
          <w:rFonts w:hint="eastAsia"/>
          <w:lang w:val="en-US" w:eastAsia="zh-CN"/>
        </w:rPr>
        <w:t>奠定了基础</w:t>
      </w:r>
      <w:r>
        <w:rPr>
          <w:rFonts w:hint="eastAsia"/>
          <w:vertAlign w:val="superscript"/>
        </w:rPr>
        <w:t>[2]</w:t>
      </w:r>
      <w:r>
        <w:rPr>
          <w:rFonts w:hint="eastAsia"/>
        </w:rPr>
        <w:t>。</w:t>
      </w:r>
    </w:p>
    <w:p w14:paraId="6442C443">
      <w:pPr>
        <w:ind w:firstLine="420"/>
      </w:pPr>
      <w:r>
        <w:rPr>
          <w:rFonts w:hint="eastAsia"/>
        </w:rPr>
        <w:t>向量化与知识库构建功能将</w:t>
      </w:r>
      <w:r>
        <w:rPr>
          <w:rFonts w:hint="eastAsia"/>
          <w:lang w:val="en-US" w:eastAsia="zh-CN"/>
        </w:rPr>
        <w:t>切分获得的</w:t>
      </w:r>
      <w:r>
        <w:rPr>
          <w:rFonts w:hint="eastAsia"/>
        </w:rPr>
        <w:t>函数级代码片段输入</w:t>
      </w:r>
      <w:r>
        <w:rPr>
          <w:rFonts w:hint="eastAsia"/>
          <w:lang w:val="en-US" w:eastAsia="zh-CN"/>
        </w:rPr>
        <w:t>向量化</w:t>
      </w:r>
      <w:r>
        <w:rPr>
          <w:rFonts w:hint="eastAsia"/>
        </w:rPr>
        <w:t>模型（qwen-embedding），生成向量表示，并将向量及其元数据（文件路径、函数名、行号、语言类型、分支名）写入 Qdrant 向量数据库。</w:t>
      </w:r>
    </w:p>
    <w:p w14:paraId="707037CC">
      <w:pPr>
        <w:ind w:firstLine="420"/>
      </w:pPr>
      <w:r>
        <w:rPr>
          <w:rFonts w:hint="eastAsia"/>
        </w:rPr>
        <w:t>增量索引与自动更新功能面向</w:t>
      </w:r>
      <w:r>
        <w:rPr>
          <w:rFonts w:hint="eastAsia"/>
          <w:lang w:val="en-US" w:eastAsia="zh-CN"/>
        </w:rPr>
        <w:t>代码</w:t>
      </w:r>
      <w:r>
        <w:rPr>
          <w:rFonts w:hint="eastAsia"/>
        </w:rPr>
        <w:t>持续</w:t>
      </w:r>
      <w:r>
        <w:rPr>
          <w:rFonts w:hint="eastAsia"/>
          <w:lang w:val="en-US" w:eastAsia="zh-CN"/>
        </w:rPr>
        <w:t>更新的</w:t>
      </w:r>
      <w:r>
        <w:rPr>
          <w:rFonts w:hint="eastAsia"/>
        </w:rPr>
        <w:t>场景，系统通过定时任务对仓库进行git pull，自动触发增量更新：拉取变更文件列表，对新增、修改的文件重新解析与向量化，对删除的文件从 Qdrant 中移除对应向量，对未变更文件保持索引不变。增量策略保证"文档—代码—版本"三者的一致性，适配高频</w:t>
      </w:r>
      <w:r>
        <w:rPr>
          <w:rFonts w:hint="eastAsia"/>
          <w:lang w:val="en-US" w:eastAsia="zh-CN"/>
        </w:rPr>
        <w:t>更新</w:t>
      </w:r>
      <w:r>
        <w:rPr>
          <w:rFonts w:hint="eastAsia"/>
        </w:rPr>
        <w:t>与多分支并行开发</w:t>
      </w:r>
      <w:r>
        <w:rPr>
          <w:rFonts w:hint="eastAsia"/>
          <w:lang w:val="en-US" w:eastAsia="zh-CN"/>
        </w:rPr>
        <w:t>的</w:t>
      </w:r>
      <w:r>
        <w:rPr>
          <w:rFonts w:hint="eastAsia"/>
        </w:rPr>
        <w:t>场景。</w:t>
      </w:r>
    </w:p>
    <w:p w14:paraId="1C1977CF">
      <w:pPr>
        <w:ind w:firstLine="420"/>
      </w:pPr>
      <w:r>
        <w:rPr>
          <w:rFonts w:hint="eastAsia"/>
        </w:rPr>
        <w:t>检索增强问答功能，用户输入自然语言问题后，系统将</w:t>
      </w:r>
      <w:r>
        <w:rPr>
          <w:rFonts w:hint="eastAsia"/>
          <w:lang w:val="en-US" w:eastAsia="zh-CN"/>
        </w:rPr>
        <w:t>用户问题</w:t>
      </w:r>
      <w:r>
        <w:rPr>
          <w:rFonts w:hint="eastAsia"/>
        </w:rPr>
        <w:t>向量化并在 Qdrant 中执行相似度检索，结合元数据过滤召回 Top-k 高相关函数片段作为证据集</w:t>
      </w:r>
      <w:r>
        <w:rPr>
          <w:rFonts w:hint="eastAsia"/>
          <w:vertAlign w:val="superscript"/>
        </w:rPr>
        <w:t>[1][2]</w:t>
      </w:r>
      <w:r>
        <w:rPr>
          <w:rFonts w:hint="eastAsia"/>
        </w:rPr>
        <w:t>。系统将证据集与结构化 System Prompt 结合，</w:t>
      </w:r>
      <w:r>
        <w:rPr>
          <w:rFonts w:hint="eastAsia"/>
          <w:lang w:val="en-US" w:eastAsia="zh-CN"/>
        </w:rPr>
        <w:t>限定大</w:t>
      </w:r>
      <w:r>
        <w:rPr>
          <w:rFonts w:hint="eastAsia"/>
        </w:rPr>
        <w:t>模型输出格式（先结论、再步骤、附证据引用：文件路径/行号），降低幻觉并提升事实一致性</w:t>
      </w:r>
      <w:r>
        <w:rPr>
          <w:rFonts w:hint="eastAsia"/>
          <w:vertAlign w:val="superscript"/>
        </w:rPr>
        <w:t>[1]</w:t>
      </w:r>
      <w:r>
        <w:rPr>
          <w:rFonts w:hint="eastAsia"/>
        </w:rPr>
        <w:t>。用户可跳转到源文件</w:t>
      </w:r>
      <w:r>
        <w:rPr>
          <w:rFonts w:hint="eastAsia"/>
          <w:lang w:val="en-US" w:eastAsia="zh-CN"/>
        </w:rPr>
        <w:t>的</w:t>
      </w:r>
      <w:r>
        <w:rPr>
          <w:rFonts w:hint="eastAsia"/>
        </w:rPr>
        <w:t>对应行</w:t>
      </w:r>
      <w:r>
        <w:rPr>
          <w:rFonts w:hint="eastAsia"/>
          <w:lang w:val="en-US" w:eastAsia="zh-CN"/>
        </w:rPr>
        <w:t>进行检查</w:t>
      </w:r>
      <w:r>
        <w:rPr>
          <w:rFonts w:hint="eastAsia"/>
        </w:rPr>
        <w:t>。</w:t>
      </w:r>
    </w:p>
    <w:p w14:paraId="18160CDB">
      <w:pPr>
        <w:ind w:firstLine="420"/>
      </w:pPr>
      <w:r>
        <w:rPr>
          <w:rFonts w:hint="eastAsia"/>
        </w:rPr>
        <w:t>多轮智能推理功能面向复杂问题，系统采用"检索—推理—验证"循环：对用户问题进行回答，并交由大模型判断回答效果，若不足，则生成Next Question，继续迭代；针对每个子问题执行检索，汇聚证据片段，并生成结构化答案</w:t>
      </w:r>
      <w:r>
        <w:rPr>
          <w:rFonts w:hint="eastAsia"/>
          <w:vertAlign w:val="superscript"/>
        </w:rPr>
        <w:t>[3][4]</w:t>
      </w:r>
      <w:r>
        <w:rPr>
          <w:rFonts w:hint="eastAsia"/>
        </w:rPr>
        <w:t>。</w:t>
      </w:r>
    </w:p>
    <w:p w14:paraId="20F7DA11">
      <w:r>
        <w:rPr>
          <w:rFonts w:hint="eastAsia"/>
        </w:rPr>
        <w:t>(2) 非功能需求</w:t>
      </w:r>
    </w:p>
    <w:p w14:paraId="5F7593F8">
      <w:pPr>
        <w:ind w:firstLine="420"/>
      </w:pPr>
      <w:r>
        <w:rPr>
          <w:rFonts w:hint="eastAsia"/>
        </w:rPr>
        <w:t>系统性能要求：对于用户的查询请求，系统端到端响应时间应控制在 3 秒以内，支持多用户并发访问；增量索引流程应在</w:t>
      </w:r>
      <w:r>
        <w:rPr>
          <w:rFonts w:hint="eastAsia"/>
          <w:lang w:val="en-US" w:eastAsia="zh-CN"/>
        </w:rPr>
        <w:t>触发自动更新后</w:t>
      </w:r>
      <w:r>
        <w:rPr>
          <w:rFonts w:hint="eastAsia"/>
        </w:rPr>
        <w:t xml:space="preserve"> 5 分钟内完成，确保知识库的实时性。</w:t>
      </w:r>
    </w:p>
    <w:p w14:paraId="3CBA6A1C">
      <w:pPr>
        <w:ind w:firstLine="420"/>
      </w:pPr>
      <w:r>
        <w:rPr>
          <w:rFonts w:hint="eastAsia"/>
        </w:rPr>
        <w:t>可扩展性要求：系统采用模块化架构，解析、向量化、检索、生成等模块解耦，支持水平扩展；Qdrant 支持多集合与命名空间</w:t>
      </w:r>
      <w:r>
        <w:rPr>
          <w:rFonts w:hint="eastAsia"/>
          <w:lang w:val="en-US" w:eastAsia="zh-CN"/>
        </w:rPr>
        <w:t>相互</w:t>
      </w:r>
      <w:r>
        <w:rPr>
          <w:rFonts w:hint="eastAsia"/>
        </w:rPr>
        <w:t>隔离，便于多</w:t>
      </w:r>
      <w:r>
        <w:rPr>
          <w:rFonts w:hint="eastAsia"/>
          <w:lang w:val="en-US" w:eastAsia="zh-CN"/>
        </w:rPr>
        <w:t>用户</w:t>
      </w:r>
      <w:r>
        <w:rPr>
          <w:rFonts w:hint="eastAsia"/>
        </w:rPr>
        <w:t>、多项目</w:t>
      </w:r>
      <w:r>
        <w:rPr>
          <w:rFonts w:hint="eastAsia"/>
          <w:lang w:val="en-US" w:eastAsia="zh-CN"/>
        </w:rPr>
        <w:t>的</w:t>
      </w:r>
      <w:r>
        <w:rPr>
          <w:rFonts w:hint="eastAsia"/>
        </w:rPr>
        <w:t>管理；生成模型支持热插拔，可根据任务需求切换。</w:t>
      </w:r>
    </w:p>
    <w:p w14:paraId="256FCF7B">
      <w:pPr>
        <w:ind w:firstLine="420"/>
        <w:rPr>
          <w:rFonts w:hint="eastAsia"/>
        </w:rPr>
      </w:pPr>
      <w:r>
        <w:rPr>
          <w:rFonts w:hint="eastAsia"/>
        </w:rPr>
        <w:t>可追溯性与可信度要求</w:t>
      </w:r>
      <w:r>
        <w:rPr>
          <w:rFonts w:hint="default"/>
        </w:rPr>
        <w:t>：系统生成的所有答案必须绑定具体证据来源，包括源文件路径、函数名称、起止行号，确保答案的每一个论断都可回溯到代码仓库的特定版本与位置。用户界面需支持</w:t>
      </w:r>
      <w:r>
        <w:rPr>
          <w:rFonts w:hint="eastAsia"/>
          <w:lang w:val="en-US" w:eastAsia="zh-CN"/>
        </w:rPr>
        <w:t>展示</w:t>
      </w:r>
      <w:r>
        <w:rPr>
          <w:rFonts w:hint="default"/>
        </w:rPr>
        <w:t>源码对应行，便于开发者快速验证答案的准确性与时效性。此外，系统需记录每次查询的完整生命周期，包括用户原始问题、向量检索返回的Top-k证据片段、生成模型的输出结果、用户反馈（点赞/标记错误/补充说明）以及系统响应时间等关键指标，形成完整的审计日志（audit log），以支持后续的质量分析、模型优化与合规审查需求。</w:t>
      </w:r>
    </w:p>
    <w:p w14:paraId="4CDEF125">
      <w:pPr>
        <w:ind w:firstLine="420"/>
        <w:rPr>
          <w:rFonts w:hint="default"/>
        </w:rPr>
      </w:pPr>
      <w:r>
        <w:rPr>
          <w:rFonts w:hint="eastAsia"/>
        </w:rPr>
        <w:t>易用性要求</w:t>
      </w:r>
      <w:r>
        <w:rPr>
          <w:rFonts w:hint="default"/>
        </w:rPr>
        <w:t>：系统界面设计需遵循简洁清晰的原则，操作流程应符合开发者的日常工作习惯，降低学习成本。具体而言，仓库管理界面</w:t>
      </w:r>
      <w:r>
        <w:rPr>
          <w:rFonts w:hint="eastAsia"/>
          <w:lang w:val="en-US" w:eastAsia="zh-CN"/>
        </w:rPr>
        <w:t>支持</w:t>
      </w:r>
      <w:r>
        <w:rPr>
          <w:rFonts w:hint="default"/>
        </w:rPr>
        <w:t>可视化展示索引进度与同步状态；问答交互界面需提供即时搜索建议与历史查询记录，便于用户快速定位常见问题。检索结果与答案展示采用结构化布局，包括Markdown格式的答案正文、代码片段的语法高亮、证据引用</w:t>
      </w:r>
      <w:r>
        <w:rPr>
          <w:rFonts w:hint="eastAsia"/>
          <w:lang w:val="en-US" w:eastAsia="zh-CN"/>
        </w:rPr>
        <w:t>信息</w:t>
      </w:r>
      <w:r>
        <w:rPr>
          <w:rFonts w:hint="default"/>
        </w:rPr>
        <w:t>（指向源文件具体行号），以及支持一键复制代码片段与导出答案为PDF或Markdown文档的功能。</w:t>
      </w:r>
    </w:p>
    <w:p w14:paraId="63474526">
      <w:pPr>
        <w:ind w:left="0" w:leftChars="0" w:firstLine="0" w:firstLineChars="0"/>
        <w:rPr>
          <w:rFonts w:hint="eastAsia" w:eastAsia="宋体"/>
          <w:lang w:eastAsia="zh-CN"/>
        </w:rPr>
      </w:pPr>
      <w:r>
        <w:rPr>
          <w:rFonts w:hint="eastAsia" w:eastAsia="宋体"/>
          <w:lang w:eastAsia="zh-CN"/>
        </w:rPr>
        <w:drawing>
          <wp:inline distT="0" distB="0" distL="114300" distR="114300">
            <wp:extent cx="5750560" cy="1518285"/>
            <wp:effectExtent l="0" t="0" r="10160" b="5715"/>
            <wp:docPr id="1" name="图片 1" descr="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图"/>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750560" cy="1518285"/>
                    </a:xfrm>
                    <a:prstGeom prst="rect">
                      <a:avLst/>
                    </a:prstGeom>
                  </pic:spPr>
                </pic:pic>
              </a:graphicData>
            </a:graphic>
          </wp:inline>
        </w:drawing>
      </w:r>
    </w:p>
    <w:p w14:paraId="19105D70">
      <w:pPr>
        <w:bidi w:val="0"/>
        <w:jc w:val="center"/>
        <w:rPr>
          <w:rFonts w:hint="eastAsia"/>
        </w:rPr>
      </w:pPr>
      <w:r>
        <w:rPr>
          <w:rFonts w:hint="eastAsia"/>
        </w:rPr>
        <w:t>图</w:t>
      </w:r>
      <w:r>
        <w:rPr>
          <w:rFonts w:hint="eastAsia"/>
          <w:lang w:val="en-US" w:eastAsia="zh-CN"/>
        </w:rPr>
        <w:t>1</w:t>
      </w:r>
      <w:r>
        <w:rPr>
          <w:rFonts w:hint="eastAsia"/>
        </w:rPr>
        <w:t xml:space="preserve"> 系统</w:t>
      </w:r>
      <w:r>
        <w:rPr>
          <w:rFonts w:hint="eastAsia"/>
          <w:lang w:val="en-US" w:eastAsia="zh-CN"/>
        </w:rPr>
        <w:t>功能</w:t>
      </w:r>
      <w:r>
        <w:rPr>
          <w:rFonts w:hint="eastAsia"/>
        </w:rPr>
        <w:t>图</w:t>
      </w:r>
    </w:p>
    <w:p w14:paraId="5C119809">
      <w:pPr>
        <w:pStyle w:val="3"/>
      </w:pPr>
      <w:r>
        <w:t>3.2 系统用例分析</w:t>
      </w:r>
    </w:p>
    <w:p w14:paraId="2A0283C3">
      <w:pPr>
        <w:ind w:firstLine="420"/>
      </w:pPr>
      <w:r>
        <w:rPr>
          <w:rFonts w:hint="eastAsia"/>
        </w:rPr>
        <w:t>本系统面向所有注册用户开放，用户注册登录后即可完整使用系统的全部功能，包括仓库管理、知识检索、问答交互与系统配置。系统采用"一人一账号"的自主管理模式，每个用户在自己的账号下独立管理仓库、配置参数与查看历史记录，无需管理员审批与权限分配。</w:t>
      </w:r>
    </w:p>
    <w:p w14:paraId="3D85984C">
      <w:pPr>
        <w:ind w:firstLine="420"/>
      </w:pPr>
      <w:r>
        <w:rPr>
          <w:rFonts w:hint="eastAsia"/>
        </w:rPr>
        <w:t>用户即系统的唯一使用角色，涵盖开发者、运维人员、技术负责人等所有需要进行代码理解与知识检索的人员。用户注册登录后，可以在自己的账号下添加、删除或更新代码仓库，语言过滤规则与定时同步策略（设置定时任务周期，如每 5 分钟、每小时等）；可以查看已接入仓库的代码知识库信息，包括仓库名称、Wiki信息等元数据；可以通过自然语言输入查询问题，系统自动进行向量检索并返回高相关的函数级代码片段作为证据，同时生成结构化答案并附带文件路径、行号等可追溯引用；用户可以跳转到源文件对应位置进行验证，也可以对答案进行追问、澄清或纠错；用户可以查看系统运行状态，包括定时同步日志、解析失败的文件列表与错误日志，并可手动触发全量重建或增量索引任务；用户可以配置系统参数，包括</w:t>
      </w:r>
      <w:r>
        <w:rPr>
          <w:rFonts w:hint="eastAsia"/>
          <w:lang w:val="en-US" w:eastAsia="zh-CN"/>
        </w:rPr>
        <w:t>向量化</w:t>
      </w:r>
      <w:r>
        <w:rPr>
          <w:rFonts w:hint="eastAsia"/>
        </w:rPr>
        <w:t>模型选择、生成模型选择、检索 Top-k 值、提示模板编辑、相似度阈值等；用户可以查看自己的查询历史、反馈记录等;用户可以对检索结果与生成答案进行反馈（点赞、标记错误、补充说明）。</w:t>
      </w:r>
    </w:p>
    <w:p w14:paraId="493067E3">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26205" cy="3975100"/>
            <wp:effectExtent l="0" t="0" r="5715" b="2540"/>
            <wp:docPr id="6" name="图片 6"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例图"/>
                    <pic:cNvPicPr>
                      <a:picLocks noChangeAspect="1"/>
                    </pic:cNvPicPr>
                  </pic:nvPicPr>
                  <pic:blipFill>
                    <a:blip r:embed="rId11"/>
                    <a:stretch>
                      <a:fillRect/>
                    </a:stretch>
                  </pic:blipFill>
                  <pic:spPr>
                    <a:xfrm>
                      <a:off x="0" y="0"/>
                      <a:ext cx="3926205" cy="3975100"/>
                    </a:xfrm>
                    <a:prstGeom prst="rect">
                      <a:avLst/>
                    </a:prstGeom>
                  </pic:spPr>
                </pic:pic>
              </a:graphicData>
            </a:graphic>
          </wp:inline>
        </w:drawing>
      </w:r>
    </w:p>
    <w:p w14:paraId="610E45DB">
      <w:pPr>
        <w:bidi w:val="0"/>
        <w:jc w:val="center"/>
        <w:rPr>
          <w:rFonts w:hint="eastAsia"/>
        </w:rPr>
      </w:pPr>
      <w:r>
        <w:rPr>
          <w:rFonts w:hint="eastAsia"/>
        </w:rPr>
        <w:t>图</w:t>
      </w:r>
      <w:r>
        <w:rPr>
          <w:rFonts w:hint="eastAsia"/>
          <w:lang w:val="en-US" w:eastAsia="zh-CN"/>
        </w:rPr>
        <w:t>2</w:t>
      </w:r>
      <w:r>
        <w:rPr>
          <w:rFonts w:hint="eastAsia"/>
        </w:rPr>
        <w:t xml:space="preserve"> 系统用例图</w:t>
      </w:r>
    </w:p>
    <w:p w14:paraId="7B9ACCF4">
      <w:pPr>
        <w:ind w:left="0" w:leftChars="0" w:firstLine="0" w:firstLineChars="0"/>
      </w:pPr>
      <w:r>
        <w:t>用例交互流程说明：</w:t>
      </w:r>
    </w:p>
    <w:p w14:paraId="5631ECC5">
      <w:pPr>
        <w:bidi w:val="0"/>
      </w:pPr>
      <w:r>
        <w:rPr>
          <w:rFonts w:hint="default"/>
        </w:rPr>
        <w:t>用户注册与登录流程步骤如下：（1）新用户访问系统，进入注册页面填写用户名、邮箱与密码；（2）系统验证信息并创建账号；（3）用户使用账号密码登录系统；（4）系统验证身份并分配会话令牌；（5）用户进入个人工作台。</w:t>
      </w:r>
    </w:p>
    <w:p w14:paraId="08B502AD">
      <w:pPr>
        <w:bidi w:val="0"/>
        <w:rPr>
          <w:rFonts w:hint="default"/>
        </w:rPr>
      </w:pPr>
      <w:r>
        <w:rPr>
          <w:rFonts w:hint="default"/>
        </w:rPr>
        <w:t>仓库管理与知识库构建流程步骤如下：（1）用户登录后进入仓库管理界面，点击"添加仓库"，输入 Git URL（GitHub</w:t>
      </w:r>
      <w:r>
        <w:rPr>
          <w:rFonts w:hint="eastAsia"/>
          <w:lang w:val="en-US" w:eastAsia="zh-CN"/>
        </w:rPr>
        <w:t>或本地</w:t>
      </w:r>
      <w:r>
        <w:rPr>
          <w:rFonts w:hint="default"/>
        </w:rPr>
        <w:t>）；（2）系统自动执行 git clone 拉取仓库并触发首次全量索引；（3）系统使用 tree-sitter 按函数级切分代码，生成向量并写入 Qdrant；（4）用户查看索引进度与解析日志；（5）索引完成后，系统定时任务定期执行 git pull 检查仓库更新；（6）系统根据 git pull 返回的变更信息（新增、修改、删除的文件列表）触发增量索引，仅对变更文件重新解析与向量化；（7）用户可在同步日志中查看最新拉取时间、变更文件数、增量索引耗时；（8）用户可随时手动触发全量重建或增量索引，或删除不再需要的仓库。</w:t>
      </w:r>
    </w:p>
    <w:p w14:paraId="1F659CB2">
      <w:pPr>
        <w:bidi w:val="0"/>
        <w:rPr>
          <w:rFonts w:hint="default"/>
        </w:rPr>
      </w:pPr>
      <w:r>
        <w:rPr>
          <w:rFonts w:hint="default"/>
        </w:rPr>
        <w:t>知识检索与问答流程步骤如下：（1）用户在工作台选择目标仓库，输入自然语言查询（如"用户认证流程如何实现"、"支付模块依赖哪些服务"）；（2）系统向量化查询并在 Qdrant 中检索 Top-k 高相关函数片段；（3）系统将证据集与结构化提示结合，调用生成模型生成答案；（4）用户查看答案与证据引用（文件路径、行号）；（5）用户可以跳转到源文件对应行进行验证；（6）用户对答案进行反馈（点赞表示满意，或标记错误并补充说明）；（7）系统记录反馈并更新质量评分；（8）用户可在查询历史中查看所有历史问答记录与反馈。</w:t>
      </w:r>
    </w:p>
    <w:p w14:paraId="5325C3DA">
      <w:pPr>
        <w:bidi w:val="0"/>
      </w:pPr>
      <w:r>
        <w:rPr>
          <w:rFonts w:hint="default"/>
        </w:rPr>
        <w:t>系统配置与个性化流程步骤如下：（1）用户进入系统配置界面，选择嵌入模型与生成模型；（2）调整检索 Top-k 值（如从 5 调整到 10）与相似度阈值（如从 0.7 调整到 0.8）；（3）保存配置并应用到后续查询。</w:t>
      </w:r>
      <w:bookmarkStart w:id="0" w:name="_GoBack"/>
      <w:bookmarkEnd w:id="0"/>
      <w:r>
        <w:rPr>
          <w:rFonts w:hint="default"/>
        </w:rPr>
        <w:br w:type="textWrapping"/>
      </w:r>
      <w:r>
        <w:rPr>
          <w:rStyle w:val="41"/>
        </w:rPr>
        <w:t>3.3 系统架构设计</w:t>
      </w:r>
    </w:p>
    <w:p w14:paraId="71462305">
      <w:pPr>
        <w:bidi w:val="0"/>
      </w:pPr>
      <w:r>
        <w:rPr>
          <w:rFonts w:hint="default"/>
        </w:rPr>
        <w:t>本系统采用前后端分离的三层架构，包括前端界面层（HTTP 服务）、后端 API 层（Restful API）、领域代码仓库层，实现从代码仓库接入、预处理、向量化存储到自然语言问答与 Wiki 生成的完整闭环。架构设计遵循模块化与可扩展原则，各层职责清晰、接口标准化，支持独立部署与弹性扩展。</w:t>
      </w:r>
    </w:p>
    <w:p w14:paraId="31BFBB66">
      <w:pPr>
        <w:ind w:left="0" w:leftChars="0" w:firstLine="0" w:firstLineChars="0"/>
        <w:jc w:val="center"/>
        <w:rPr>
          <w:rFonts w:hint="eastAsia"/>
          <w:lang w:eastAsia="zh-CN"/>
        </w:rPr>
      </w:pPr>
      <w:r>
        <w:rPr>
          <w:rFonts w:hint="eastAsia"/>
          <w:lang w:eastAsia="zh-CN"/>
        </w:rPr>
        <w:drawing>
          <wp:inline distT="0" distB="0" distL="114300" distR="114300">
            <wp:extent cx="5491480" cy="5709285"/>
            <wp:effectExtent l="0" t="0" r="10160" b="5715"/>
            <wp:docPr id="2" name="图片 2" descr="架构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架构图SVG"/>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491480" cy="5709285"/>
                    </a:xfrm>
                    <a:prstGeom prst="rect">
                      <a:avLst/>
                    </a:prstGeom>
                  </pic:spPr>
                </pic:pic>
              </a:graphicData>
            </a:graphic>
          </wp:inline>
        </w:drawing>
      </w:r>
    </w:p>
    <w:p w14:paraId="5E74B507">
      <w:pPr>
        <w:jc w:val="center"/>
        <w:rPr>
          <w:rFonts w:hint="eastAsia" w:ascii="宋体" w:hAnsi="宋体" w:cs="宋体"/>
          <w:sz w:val="21"/>
          <w:szCs w:val="21"/>
        </w:rPr>
      </w:pPr>
      <w:r>
        <w:rPr>
          <w:rFonts w:hint="eastAsia" w:ascii="宋体" w:hAnsi="宋体" w:cs="宋体"/>
          <w:sz w:val="21"/>
          <w:szCs w:val="21"/>
        </w:rPr>
        <w:t>图2 系统架构图</w:t>
      </w:r>
    </w:p>
    <w:p w14:paraId="3E51B47F">
      <w:pPr>
        <w:pStyle w:val="2"/>
      </w:pPr>
      <w:r>
        <w:t>4．研究方案</w:t>
      </w:r>
    </w:p>
    <w:p w14:paraId="5F8635A4">
      <w:pPr>
        <w:pStyle w:val="3"/>
      </w:pPr>
      <w:r>
        <w:rPr>
          <w:rFonts w:hint="eastAsia"/>
        </w:rPr>
        <w:t>4.1  研究方法</w:t>
      </w:r>
    </w:p>
    <w:p w14:paraId="3AC4B5B0">
      <w:pPr>
        <w:ind w:firstLine="420"/>
      </w:pPr>
      <w:r>
        <w:t>项目开发的总体流程遵循需求分析 → 系统设计 → 原型实现 → 实验评测 → 优化迭代的过程。需求分析阶段通过文献调研与用户调研，明确系统的功能需求（仓库管理、检索问答、多轮推理、增量索引）和非功能需求（响应时间、可追溯性、可扩展性）。系统设计阶段确定技术选型（tree-sitter 函数级解析、qwen-embedding 向量化、Qdrant 检索、定时 git pull 增量索引），设计分层解耦的微服务架构，划分预处理模块、检索问答模块、定时调度模块等核心组件，并设计模块间的接口与数据流。原型实现阶段采用敏捷开发方法，按模块逐步实现并集成，所有服务容器化部署以保证跨环境一致性。实验评测阶段构建测试数据集（开源仓库 + 人工标注问题集），从检索质量、答案质量、系统性能三个维度进行定量评估。优化迭代阶段根据评测结果调整检索参数、提示模板与索引策略，持续提升系统性能与用户体验。</w:t>
      </w:r>
    </w:p>
    <w:p w14:paraId="277AE400">
      <w:pPr>
        <w:pStyle w:val="3"/>
      </w:pPr>
      <w:r>
        <w:t>4.2 技术路线</w:t>
      </w:r>
    </w:p>
    <w:p w14:paraId="30899D48">
      <w:pPr>
        <w:ind w:firstLine="420"/>
      </w:pPr>
      <w:r>
        <w:t>本系统开发采用前后端分离的开发方式，前端使用 React/Vue.js 框架构建用户界面，支持用户注册登录、仓库管理、自然语言查询、查询历史与系统配置等功能，采用 Markdown 渲染与代码高亮展示答案，证据引用支持一键跳转到源文件对应行。后端选用 FastAPI 作为 API Gateway，提供 RESTful 接口、用户认证（JWT）、请求路由与错误处理等功能，并集成预处理模块（File Filter → Tree-Sitter → Function Filter → LLM 向量化）、检索问答模块（DB Retrieval → System Prompt → LLM 生成 → 多轮推理）与定时调度模块。</w:t>
      </w:r>
    </w:p>
    <w:p w14:paraId="2A639F5C">
      <w:pPr>
        <w:ind w:firstLine="420"/>
      </w:pPr>
      <w:r>
        <w:t>代码解析采用 tree-sitter 多语言语法解析器，按函数级边界切分代码并提取元数据（函数名、行号、</w:t>
      </w:r>
      <w:r>
        <w:rPr>
          <w:rFonts w:hint="eastAsia"/>
          <w:lang w:val="en-US" w:eastAsia="zh-CN"/>
        </w:rPr>
        <w:t>调用信息</w:t>
      </w:r>
      <w:r>
        <w:t xml:space="preserve">）；向量化采用 qwen-embedding 嵌入模型，生成 </w:t>
      </w:r>
      <w:r>
        <w:rPr>
          <w:rFonts w:hint="eastAsia"/>
        </w:rPr>
        <w:t xml:space="preserve">4096 </w:t>
      </w:r>
      <w:r>
        <w:t>维向量并批量写入 Qdrant 向量数据库，支持相似度检索与元数据过滤。</w:t>
      </w:r>
    </w:p>
    <w:p w14:paraId="4AE55BD8">
      <w:r>
        <w:t>数据库选用 MySQL 和 Qdrant 的组合方案：MySQL 作为关系型数据库管理系统，存储用户账号信息、仓库配置、查询历史、反馈记录与同步日志等结构化数据，MySQL 具有成熟稳定、事务支持强、社区活跃等优势，能够确保数据的可靠性和一致性；Qdrant 作为向量数据库，存储函数级代码片段的向量表示与元数据，支持高效的向量相似度检索与多维度元数据过滤。</w:t>
      </w:r>
    </w:p>
    <w:p w14:paraId="5C015BFD">
      <w:pPr>
        <w:ind w:firstLine="420"/>
      </w:pPr>
      <w:r>
        <w:t>定时任务通过周期性执行 git pull 并解析返回信息（变更文件列表）触发增量索引，仅对新增、修改的文件重新解析与向量化，对删除的文件从 Qdrant 中移除对应向量，保证知识库与代码版本实时一致。</w:t>
      </w:r>
    </w:p>
    <w:p w14:paraId="3B32CFAE">
      <w:r>
        <w:br w:type="page"/>
      </w:r>
    </w:p>
    <w:p w14:paraId="275606BA">
      <w:pPr>
        <w:pStyle w:val="2"/>
      </w:pPr>
      <w:r>
        <w:t>5．进度安排，预期达到的目标</w:t>
      </w:r>
    </w:p>
    <w:p w14:paraId="2A4CD01C">
      <w:pPr>
        <w:pStyle w:val="3"/>
      </w:pPr>
      <w:r>
        <w:t>5.1 进度安排</w:t>
      </w:r>
    </w:p>
    <w:p w14:paraId="5FD88109">
      <w:pPr>
        <w:ind w:firstLine="420"/>
      </w:pPr>
      <w:r>
        <w:t>本课题研究周期为 2025 年 11 月至 2026 年 5 月，共 7 个月，按照需求分析、系统设计、核心开发、集成测试、实验评测、论文撰写六个阶段推进，具体安排如下</w:t>
      </w:r>
      <w:r>
        <w:rPr>
          <w:rFonts w:hint="eastAsia"/>
        </w:rPr>
        <w:t>表</w:t>
      </w:r>
      <w:r>
        <w:t>：</w:t>
      </w:r>
    </w:p>
    <w:tbl>
      <w:tblPr>
        <w:tblStyle w:val="16"/>
        <w:tblW w:w="9401" w:type="dxa"/>
        <w:jc w:val="center"/>
        <w:shd w:val="clear" w:color="auto" w:fill="FFFFFF"/>
        <w:tblLayout w:type="fixed"/>
        <w:tblCellMar>
          <w:top w:w="56" w:type="dxa"/>
          <w:left w:w="96" w:type="dxa"/>
          <w:bottom w:w="56" w:type="dxa"/>
          <w:right w:w="96" w:type="dxa"/>
        </w:tblCellMar>
      </w:tblPr>
      <w:tblGrid>
        <w:gridCol w:w="1575"/>
        <w:gridCol w:w="1213"/>
        <w:gridCol w:w="4749"/>
        <w:gridCol w:w="1864"/>
      </w:tblGrid>
      <w:tr w14:paraId="28B28177">
        <w:tblPrEx>
          <w:shd w:val="clear" w:color="auto" w:fill="FFFFFF"/>
          <w:tblCellMar>
            <w:top w:w="56" w:type="dxa"/>
            <w:left w:w="96" w:type="dxa"/>
            <w:bottom w:w="56" w:type="dxa"/>
            <w:right w:w="96" w:type="dxa"/>
          </w:tblCellMar>
        </w:tblPrEx>
        <w:trPr>
          <w:tblHeader/>
          <w:jc w:val="center"/>
        </w:trPr>
        <w:tc>
          <w:tcPr>
            <w:tcW w:w="1575" w:type="dxa"/>
            <w:tcBorders>
              <w:top w:val="single" w:color="auto" w:sz="12" w:space="0"/>
              <w:left w:val="nil"/>
              <w:bottom w:val="single" w:color="auto" w:sz="4" w:space="0"/>
              <w:right w:val="nil"/>
            </w:tcBorders>
            <w:shd w:val="clear" w:color="auto" w:fill="FFFFFF"/>
            <w:vAlign w:val="center"/>
          </w:tcPr>
          <w:p w14:paraId="0FDB1F52">
            <w:pPr>
              <w:snapToGrid w:val="0"/>
              <w:ind w:left="0" w:leftChars="0" w:firstLine="0" w:firstLineChars="0"/>
              <w:jc w:val="center"/>
              <w:rPr>
                <w:b/>
              </w:rPr>
            </w:pPr>
            <w:r>
              <w:rPr>
                <w:rFonts w:hint="eastAsia"/>
                <w:b/>
              </w:rPr>
              <w:t>阶段</w:t>
            </w:r>
          </w:p>
        </w:tc>
        <w:tc>
          <w:tcPr>
            <w:tcW w:w="1213" w:type="dxa"/>
            <w:tcBorders>
              <w:top w:val="single" w:color="auto" w:sz="12" w:space="0"/>
              <w:left w:val="nil"/>
              <w:bottom w:val="single" w:color="auto" w:sz="4" w:space="0"/>
              <w:right w:val="nil"/>
            </w:tcBorders>
            <w:shd w:val="clear" w:color="auto" w:fill="FFFFFF"/>
            <w:vAlign w:val="center"/>
          </w:tcPr>
          <w:p w14:paraId="644D5997">
            <w:pPr>
              <w:snapToGrid w:val="0"/>
              <w:ind w:left="0" w:leftChars="0" w:firstLine="0" w:firstLineChars="0"/>
              <w:jc w:val="center"/>
              <w:rPr>
                <w:b/>
              </w:rPr>
            </w:pPr>
            <w:r>
              <w:rPr>
                <w:rFonts w:hint="eastAsia"/>
                <w:b/>
              </w:rPr>
              <w:t>时间</w:t>
            </w:r>
          </w:p>
        </w:tc>
        <w:tc>
          <w:tcPr>
            <w:tcW w:w="4749" w:type="dxa"/>
            <w:tcBorders>
              <w:top w:val="single" w:color="auto" w:sz="12" w:space="0"/>
              <w:left w:val="nil"/>
              <w:bottom w:val="single" w:color="auto" w:sz="4" w:space="0"/>
              <w:right w:val="nil"/>
            </w:tcBorders>
            <w:shd w:val="clear" w:color="auto" w:fill="FFFFFF"/>
            <w:vAlign w:val="center"/>
          </w:tcPr>
          <w:p w14:paraId="0672D6AB">
            <w:pPr>
              <w:snapToGrid w:val="0"/>
              <w:ind w:left="0" w:leftChars="0" w:firstLine="0" w:firstLineChars="0"/>
              <w:jc w:val="center"/>
              <w:rPr>
                <w:b/>
              </w:rPr>
            </w:pPr>
            <w:r>
              <w:rPr>
                <w:rFonts w:hint="eastAsia"/>
                <w:b/>
              </w:rPr>
              <w:t>主要任务</w:t>
            </w:r>
          </w:p>
        </w:tc>
        <w:tc>
          <w:tcPr>
            <w:tcW w:w="1864" w:type="dxa"/>
            <w:tcBorders>
              <w:top w:val="single" w:color="auto" w:sz="12" w:space="0"/>
              <w:left w:val="nil"/>
              <w:bottom w:val="single" w:color="auto" w:sz="4" w:space="0"/>
              <w:right w:val="nil"/>
            </w:tcBorders>
            <w:shd w:val="clear" w:color="auto" w:fill="FFFFFF"/>
            <w:vAlign w:val="center"/>
          </w:tcPr>
          <w:p w14:paraId="7EA2054E">
            <w:pPr>
              <w:snapToGrid w:val="0"/>
              <w:ind w:left="0" w:leftChars="0" w:firstLine="0" w:firstLineChars="0"/>
              <w:jc w:val="center"/>
              <w:rPr>
                <w:b/>
              </w:rPr>
            </w:pPr>
            <w:r>
              <w:rPr>
                <w:rFonts w:hint="eastAsia"/>
                <w:b/>
              </w:rPr>
              <w:t>预期成果</w:t>
            </w:r>
          </w:p>
        </w:tc>
      </w:tr>
      <w:tr w14:paraId="7C698576">
        <w:tblPrEx>
          <w:tblCellMar>
            <w:top w:w="56" w:type="dxa"/>
            <w:left w:w="96" w:type="dxa"/>
            <w:bottom w:w="56" w:type="dxa"/>
            <w:right w:w="96" w:type="dxa"/>
          </w:tblCellMar>
        </w:tblPrEx>
        <w:trPr>
          <w:jc w:val="center"/>
        </w:trPr>
        <w:tc>
          <w:tcPr>
            <w:tcW w:w="1575" w:type="dxa"/>
            <w:tcBorders>
              <w:top w:val="single" w:color="auto" w:sz="4" w:space="0"/>
              <w:left w:val="nil"/>
              <w:bottom w:val="nil"/>
              <w:right w:val="nil"/>
            </w:tcBorders>
            <w:shd w:val="clear" w:color="auto" w:fill="FFFFFF"/>
            <w:vAlign w:val="center"/>
          </w:tcPr>
          <w:p w14:paraId="631D7D15">
            <w:pPr>
              <w:snapToGrid w:val="0"/>
              <w:ind w:left="0" w:leftChars="0" w:firstLine="0" w:firstLineChars="0"/>
              <w:jc w:val="both"/>
            </w:pPr>
            <w:r>
              <w:t>需求分析与系统设计</w:t>
            </w:r>
          </w:p>
        </w:tc>
        <w:tc>
          <w:tcPr>
            <w:tcW w:w="1213" w:type="dxa"/>
            <w:tcBorders>
              <w:top w:val="single" w:color="auto" w:sz="4" w:space="0"/>
              <w:left w:val="nil"/>
              <w:bottom w:val="nil"/>
              <w:right w:val="nil"/>
            </w:tcBorders>
            <w:shd w:val="clear" w:color="auto" w:fill="FFFFFF"/>
            <w:vAlign w:val="center"/>
          </w:tcPr>
          <w:p w14:paraId="7D547A13">
            <w:pPr>
              <w:snapToGrid w:val="0"/>
              <w:ind w:left="0" w:leftChars="0" w:firstLine="0" w:firstLineChars="0"/>
              <w:jc w:val="both"/>
              <w:rPr>
                <w:rFonts w:hint="default" w:eastAsia="宋体"/>
                <w:lang w:val="en-US" w:eastAsia="zh-CN"/>
              </w:rPr>
            </w:pPr>
            <w:r>
              <w:t>2025.11</w:t>
            </w:r>
            <w:r>
              <w:rPr>
                <w:rStyle w:val="25"/>
                <w:rFonts w:hint="eastAsia"/>
                <w:lang w:val="en-US" w:eastAsia="zh-CN"/>
              </w:rPr>
              <w:t xml:space="preserve">- </w:t>
            </w:r>
            <w:r>
              <w:rPr>
                <w:rFonts w:hint="eastAsia"/>
                <w:lang w:val="en-US" w:eastAsia="zh-CN"/>
              </w:rPr>
              <w:t>2026.12</w:t>
            </w:r>
          </w:p>
        </w:tc>
        <w:tc>
          <w:tcPr>
            <w:tcW w:w="4749" w:type="dxa"/>
            <w:tcBorders>
              <w:top w:val="single" w:color="auto" w:sz="4" w:space="0"/>
              <w:left w:val="nil"/>
              <w:bottom w:val="nil"/>
              <w:right w:val="nil"/>
            </w:tcBorders>
            <w:shd w:val="clear" w:color="auto" w:fill="FFFFFF"/>
            <w:vAlign w:val="center"/>
          </w:tcPr>
          <w:p w14:paraId="2CDC16E0">
            <w:pPr>
              <w:snapToGrid w:val="0"/>
              <w:ind w:left="0" w:leftChars="0" w:firstLine="0" w:firstLineChars="0"/>
              <w:jc w:val="left"/>
            </w:pPr>
            <w:r>
              <w:t>文献调研、需求分析、技术选型、架构设计</w:t>
            </w:r>
          </w:p>
        </w:tc>
        <w:tc>
          <w:tcPr>
            <w:tcW w:w="1864" w:type="dxa"/>
            <w:tcBorders>
              <w:top w:val="single" w:color="auto" w:sz="4" w:space="0"/>
              <w:left w:val="nil"/>
              <w:bottom w:val="nil"/>
              <w:right w:val="nil"/>
            </w:tcBorders>
            <w:shd w:val="clear" w:color="auto" w:fill="FFFFFF"/>
            <w:vAlign w:val="center"/>
          </w:tcPr>
          <w:p w14:paraId="12665F7A">
            <w:pPr>
              <w:snapToGrid w:val="0"/>
              <w:ind w:left="0" w:leftChars="0" w:firstLine="0" w:firstLineChars="0"/>
              <w:jc w:val="both"/>
            </w:pPr>
            <w:r>
              <w:t>需求规格说明书、系统架构设计文档</w:t>
            </w:r>
          </w:p>
        </w:tc>
      </w:tr>
      <w:tr w14:paraId="1BEC24A2">
        <w:tblPrEx>
          <w:tblCellMar>
            <w:top w:w="56" w:type="dxa"/>
            <w:left w:w="96" w:type="dxa"/>
            <w:bottom w:w="56" w:type="dxa"/>
            <w:right w:w="96" w:type="dxa"/>
          </w:tblCellMar>
        </w:tblPrEx>
        <w:trPr>
          <w:jc w:val="center"/>
        </w:trPr>
        <w:tc>
          <w:tcPr>
            <w:tcW w:w="1575" w:type="dxa"/>
            <w:tcBorders>
              <w:top w:val="nil"/>
              <w:left w:val="nil"/>
              <w:bottom w:val="nil"/>
              <w:right w:val="nil"/>
            </w:tcBorders>
            <w:shd w:val="clear" w:color="auto" w:fill="FFFFFF"/>
            <w:vAlign w:val="center"/>
          </w:tcPr>
          <w:p w14:paraId="7731FE45">
            <w:pPr>
              <w:snapToGrid w:val="0"/>
              <w:ind w:left="0" w:leftChars="0" w:firstLine="0" w:firstLineChars="0"/>
              <w:jc w:val="both"/>
            </w:pPr>
            <w:r>
              <w:t>预处理模块开发</w:t>
            </w:r>
          </w:p>
        </w:tc>
        <w:tc>
          <w:tcPr>
            <w:tcW w:w="1213" w:type="dxa"/>
            <w:tcBorders>
              <w:top w:val="nil"/>
              <w:left w:val="nil"/>
              <w:bottom w:val="nil"/>
              <w:right w:val="nil"/>
            </w:tcBorders>
            <w:shd w:val="clear" w:color="auto" w:fill="FFFFFF"/>
            <w:vAlign w:val="center"/>
          </w:tcPr>
          <w:p w14:paraId="53F48764">
            <w:pPr>
              <w:snapToGrid w:val="0"/>
              <w:ind w:left="0" w:leftChars="0" w:firstLine="0" w:firstLineChars="0"/>
              <w:jc w:val="both"/>
            </w:pPr>
            <w:r>
              <w:t>2025.12</w:t>
            </w:r>
          </w:p>
        </w:tc>
        <w:tc>
          <w:tcPr>
            <w:tcW w:w="4749" w:type="dxa"/>
            <w:tcBorders>
              <w:top w:val="nil"/>
              <w:left w:val="nil"/>
              <w:bottom w:val="nil"/>
              <w:right w:val="nil"/>
            </w:tcBorders>
            <w:shd w:val="clear" w:color="auto" w:fill="FFFFFF"/>
            <w:vAlign w:val="center"/>
          </w:tcPr>
          <w:p w14:paraId="66FAD793">
            <w:pPr>
              <w:snapToGrid w:val="0"/>
              <w:ind w:left="0" w:leftChars="0" w:firstLine="0" w:firstLineChars="0"/>
              <w:jc w:val="left"/>
            </w:pPr>
            <w:r>
              <w:t>预处理模块开发（File Filter、Tree-Sitter、Function Filter、向量化）、MySQL/Qdrant 数据库设计与部署</w:t>
            </w:r>
          </w:p>
        </w:tc>
        <w:tc>
          <w:tcPr>
            <w:tcW w:w="1864" w:type="dxa"/>
            <w:tcBorders>
              <w:top w:val="nil"/>
              <w:left w:val="nil"/>
              <w:bottom w:val="nil"/>
              <w:right w:val="nil"/>
            </w:tcBorders>
            <w:shd w:val="clear" w:color="auto" w:fill="FFFFFF"/>
            <w:vAlign w:val="center"/>
          </w:tcPr>
          <w:p w14:paraId="402D10D9">
            <w:pPr>
              <w:snapToGrid w:val="0"/>
              <w:ind w:left="0" w:leftChars="0" w:firstLine="0" w:firstLineChars="0"/>
              <w:jc w:val="both"/>
            </w:pPr>
            <w:r>
              <w:t>预处理模块代码、单元测试报告</w:t>
            </w:r>
          </w:p>
        </w:tc>
      </w:tr>
      <w:tr w14:paraId="28AA74C7">
        <w:tblPrEx>
          <w:tblCellMar>
            <w:top w:w="56" w:type="dxa"/>
            <w:left w:w="96" w:type="dxa"/>
            <w:bottom w:w="56" w:type="dxa"/>
            <w:right w:w="96" w:type="dxa"/>
          </w:tblCellMar>
        </w:tblPrEx>
        <w:trPr>
          <w:jc w:val="center"/>
        </w:trPr>
        <w:tc>
          <w:tcPr>
            <w:tcW w:w="1575" w:type="dxa"/>
            <w:tcBorders>
              <w:top w:val="nil"/>
              <w:left w:val="nil"/>
              <w:bottom w:val="nil"/>
              <w:right w:val="nil"/>
            </w:tcBorders>
            <w:shd w:val="clear" w:color="auto" w:fill="FFFFFF"/>
            <w:vAlign w:val="center"/>
          </w:tcPr>
          <w:p w14:paraId="4D461F7C">
            <w:pPr>
              <w:snapToGrid w:val="0"/>
              <w:ind w:left="0" w:leftChars="0" w:firstLine="0" w:firstLineChars="0"/>
              <w:jc w:val="both"/>
            </w:pPr>
            <w:r>
              <w:t>检索问答模块开</w:t>
            </w:r>
          </w:p>
        </w:tc>
        <w:tc>
          <w:tcPr>
            <w:tcW w:w="1213" w:type="dxa"/>
            <w:tcBorders>
              <w:top w:val="nil"/>
              <w:left w:val="nil"/>
              <w:bottom w:val="nil"/>
              <w:right w:val="nil"/>
            </w:tcBorders>
            <w:shd w:val="clear" w:color="auto" w:fill="FFFFFF"/>
            <w:vAlign w:val="center"/>
          </w:tcPr>
          <w:p w14:paraId="1632C093">
            <w:pPr>
              <w:snapToGrid w:val="0"/>
              <w:ind w:left="0" w:leftChars="0" w:firstLine="0" w:firstLineChars="0"/>
              <w:jc w:val="both"/>
            </w:pPr>
            <w:r>
              <w:t>2026.01</w:t>
            </w:r>
          </w:p>
        </w:tc>
        <w:tc>
          <w:tcPr>
            <w:tcW w:w="4749" w:type="dxa"/>
            <w:tcBorders>
              <w:top w:val="nil"/>
              <w:left w:val="nil"/>
              <w:bottom w:val="nil"/>
              <w:right w:val="nil"/>
            </w:tcBorders>
            <w:shd w:val="clear" w:color="auto" w:fill="FFFFFF"/>
            <w:vAlign w:val="center"/>
          </w:tcPr>
          <w:p w14:paraId="341289CA">
            <w:pPr>
              <w:snapToGrid w:val="0"/>
              <w:ind w:left="0" w:leftChars="0" w:firstLine="0" w:firstLineChars="0"/>
              <w:jc w:val="left"/>
            </w:pPr>
            <w:r>
              <w:t>检索问答模块开发（DB Retrieval、System Prompt、LLM 生成、多轮推理）、定时调度模块（APScheduler + git pull 增量索引）</w:t>
            </w:r>
          </w:p>
        </w:tc>
        <w:tc>
          <w:tcPr>
            <w:tcW w:w="1864" w:type="dxa"/>
            <w:tcBorders>
              <w:top w:val="nil"/>
              <w:left w:val="nil"/>
              <w:bottom w:val="nil"/>
              <w:right w:val="nil"/>
            </w:tcBorders>
            <w:shd w:val="clear" w:color="auto" w:fill="FFFFFF"/>
            <w:vAlign w:val="center"/>
          </w:tcPr>
          <w:p w14:paraId="463CE1AD">
            <w:pPr>
              <w:snapToGrid w:val="0"/>
              <w:ind w:left="0" w:leftChars="0" w:firstLine="0" w:firstLineChars="0"/>
              <w:jc w:val="both"/>
            </w:pPr>
            <w:r>
              <w:t>问答推理模块代码、集成测试报告</w:t>
            </w:r>
          </w:p>
        </w:tc>
      </w:tr>
      <w:tr w14:paraId="260F1C90">
        <w:tblPrEx>
          <w:tblCellMar>
            <w:top w:w="56" w:type="dxa"/>
            <w:left w:w="96" w:type="dxa"/>
            <w:bottom w:w="56" w:type="dxa"/>
            <w:right w:w="96" w:type="dxa"/>
          </w:tblCellMar>
        </w:tblPrEx>
        <w:trPr>
          <w:jc w:val="center"/>
        </w:trPr>
        <w:tc>
          <w:tcPr>
            <w:tcW w:w="1575" w:type="dxa"/>
            <w:tcBorders>
              <w:top w:val="nil"/>
              <w:left w:val="nil"/>
              <w:bottom w:val="nil"/>
              <w:right w:val="nil"/>
            </w:tcBorders>
            <w:shd w:val="clear" w:color="auto" w:fill="FFFFFF"/>
            <w:vAlign w:val="center"/>
          </w:tcPr>
          <w:p w14:paraId="2E4EC259">
            <w:pPr>
              <w:snapToGrid w:val="0"/>
              <w:ind w:left="0" w:leftChars="0" w:firstLine="0" w:firstLineChars="0"/>
              <w:jc w:val="both"/>
            </w:pPr>
            <w:r>
              <w:t>系统集成与前端开发</w:t>
            </w:r>
          </w:p>
        </w:tc>
        <w:tc>
          <w:tcPr>
            <w:tcW w:w="1213" w:type="dxa"/>
            <w:tcBorders>
              <w:top w:val="nil"/>
              <w:left w:val="nil"/>
              <w:bottom w:val="nil"/>
              <w:right w:val="nil"/>
            </w:tcBorders>
            <w:shd w:val="clear" w:color="auto" w:fill="FFFFFF"/>
            <w:vAlign w:val="center"/>
          </w:tcPr>
          <w:p w14:paraId="1E8291D2">
            <w:pPr>
              <w:snapToGrid w:val="0"/>
              <w:ind w:left="0" w:leftChars="0" w:firstLine="0" w:firstLineChars="0"/>
              <w:jc w:val="both"/>
            </w:pPr>
            <w:r>
              <w:t>2026.02</w:t>
            </w:r>
          </w:p>
        </w:tc>
        <w:tc>
          <w:tcPr>
            <w:tcW w:w="4749" w:type="dxa"/>
            <w:tcBorders>
              <w:top w:val="nil"/>
              <w:left w:val="nil"/>
              <w:bottom w:val="nil"/>
              <w:right w:val="nil"/>
            </w:tcBorders>
            <w:shd w:val="clear" w:color="auto" w:fill="FFFFFF"/>
            <w:vAlign w:val="center"/>
          </w:tcPr>
          <w:p w14:paraId="1220F5B1">
            <w:pPr>
              <w:snapToGrid w:val="0"/>
              <w:ind w:left="0" w:leftChars="0" w:firstLine="0" w:firstLineChars="0"/>
              <w:jc w:val="left"/>
            </w:pPr>
            <w:r>
              <w:t>后端 API 开发（FastAPI）、前端界面开发（React/Vue）、前后端联调、容器化部署</w:t>
            </w:r>
          </w:p>
        </w:tc>
        <w:tc>
          <w:tcPr>
            <w:tcW w:w="1864" w:type="dxa"/>
            <w:tcBorders>
              <w:top w:val="nil"/>
              <w:left w:val="nil"/>
              <w:bottom w:val="nil"/>
              <w:right w:val="nil"/>
            </w:tcBorders>
            <w:shd w:val="clear" w:color="auto" w:fill="FFFFFF"/>
            <w:vAlign w:val="center"/>
          </w:tcPr>
          <w:p w14:paraId="157E36F5">
            <w:pPr>
              <w:snapToGrid w:val="0"/>
              <w:ind w:left="0" w:leftChars="0" w:firstLine="0" w:firstLineChars="0"/>
              <w:jc w:val="both"/>
            </w:pPr>
            <w:r>
              <w:t>完整系统原型、用户手册、部署文档</w:t>
            </w:r>
          </w:p>
        </w:tc>
      </w:tr>
      <w:tr w14:paraId="6D292DCD">
        <w:tblPrEx>
          <w:tblCellMar>
            <w:top w:w="56" w:type="dxa"/>
            <w:left w:w="96" w:type="dxa"/>
            <w:bottom w:w="56" w:type="dxa"/>
            <w:right w:w="96" w:type="dxa"/>
          </w:tblCellMar>
        </w:tblPrEx>
        <w:trPr>
          <w:jc w:val="center"/>
        </w:trPr>
        <w:tc>
          <w:tcPr>
            <w:tcW w:w="1575" w:type="dxa"/>
            <w:tcBorders>
              <w:top w:val="nil"/>
              <w:left w:val="nil"/>
              <w:bottom w:val="nil"/>
              <w:right w:val="nil"/>
            </w:tcBorders>
            <w:shd w:val="clear" w:color="auto" w:fill="FFFFFF"/>
            <w:vAlign w:val="center"/>
          </w:tcPr>
          <w:p w14:paraId="2CC785B3">
            <w:pPr>
              <w:snapToGrid w:val="0"/>
              <w:ind w:left="0" w:leftChars="0" w:firstLine="0" w:firstLineChars="0"/>
              <w:jc w:val="both"/>
            </w:pPr>
            <w:r>
              <w:t>实验评测与优化迭代</w:t>
            </w:r>
          </w:p>
        </w:tc>
        <w:tc>
          <w:tcPr>
            <w:tcW w:w="1213" w:type="dxa"/>
            <w:tcBorders>
              <w:top w:val="nil"/>
              <w:left w:val="nil"/>
              <w:bottom w:val="nil"/>
              <w:right w:val="nil"/>
            </w:tcBorders>
            <w:shd w:val="clear" w:color="auto" w:fill="FFFFFF"/>
            <w:vAlign w:val="center"/>
          </w:tcPr>
          <w:p w14:paraId="7D60DF24">
            <w:pPr>
              <w:snapToGrid w:val="0"/>
              <w:ind w:left="0" w:leftChars="0" w:firstLine="0" w:firstLineChars="0"/>
              <w:jc w:val="both"/>
            </w:pPr>
            <w:r>
              <w:t>2026.03</w:t>
            </w:r>
          </w:p>
        </w:tc>
        <w:tc>
          <w:tcPr>
            <w:tcW w:w="4749" w:type="dxa"/>
            <w:tcBorders>
              <w:top w:val="nil"/>
              <w:left w:val="nil"/>
              <w:bottom w:val="nil"/>
              <w:right w:val="nil"/>
            </w:tcBorders>
            <w:shd w:val="clear" w:color="auto" w:fill="FFFFFF"/>
            <w:vAlign w:val="center"/>
          </w:tcPr>
          <w:p w14:paraId="085D7459">
            <w:pPr>
              <w:snapToGrid w:val="0"/>
              <w:ind w:left="0" w:leftChars="0" w:firstLine="0" w:firstLineChars="0"/>
              <w:jc w:val="left"/>
            </w:pPr>
            <w:r>
              <w:t>构建测试数据集、定量评测（检索质量、答案质量、系统性能）、消融实验、优化迭代</w:t>
            </w:r>
          </w:p>
        </w:tc>
        <w:tc>
          <w:tcPr>
            <w:tcW w:w="1864" w:type="dxa"/>
            <w:tcBorders>
              <w:top w:val="nil"/>
              <w:left w:val="nil"/>
              <w:bottom w:val="nil"/>
              <w:right w:val="nil"/>
            </w:tcBorders>
            <w:shd w:val="clear" w:color="auto" w:fill="FFFFFF"/>
            <w:vAlign w:val="center"/>
          </w:tcPr>
          <w:p w14:paraId="04452F03">
            <w:pPr>
              <w:snapToGrid w:val="0"/>
              <w:ind w:left="0" w:leftChars="0" w:firstLine="0" w:firstLineChars="0"/>
              <w:jc w:val="both"/>
            </w:pPr>
            <w:r>
              <w:t>评测报告、优化方案</w:t>
            </w:r>
          </w:p>
        </w:tc>
      </w:tr>
      <w:tr w14:paraId="40F00422">
        <w:tblPrEx>
          <w:tblCellMar>
            <w:top w:w="56" w:type="dxa"/>
            <w:left w:w="96" w:type="dxa"/>
            <w:bottom w:w="56" w:type="dxa"/>
            <w:right w:w="96" w:type="dxa"/>
          </w:tblCellMar>
        </w:tblPrEx>
        <w:trPr>
          <w:jc w:val="center"/>
        </w:trPr>
        <w:tc>
          <w:tcPr>
            <w:tcW w:w="1575" w:type="dxa"/>
            <w:tcBorders>
              <w:top w:val="nil"/>
              <w:left w:val="nil"/>
              <w:bottom w:val="single" w:color="auto" w:sz="12" w:space="0"/>
              <w:right w:val="nil"/>
            </w:tcBorders>
            <w:shd w:val="clear" w:color="auto" w:fill="FFFFFF"/>
            <w:vAlign w:val="center"/>
          </w:tcPr>
          <w:p w14:paraId="5FCEF5A6">
            <w:pPr>
              <w:snapToGrid w:val="0"/>
              <w:ind w:left="0" w:leftChars="0" w:firstLine="0" w:firstLineChars="0"/>
              <w:jc w:val="both"/>
            </w:pPr>
            <w:r>
              <w:t>论文撰写与答辩准备</w:t>
            </w:r>
          </w:p>
        </w:tc>
        <w:tc>
          <w:tcPr>
            <w:tcW w:w="1213" w:type="dxa"/>
            <w:tcBorders>
              <w:top w:val="nil"/>
              <w:left w:val="nil"/>
              <w:bottom w:val="single" w:color="auto" w:sz="12" w:space="0"/>
              <w:right w:val="nil"/>
            </w:tcBorders>
            <w:shd w:val="clear" w:color="auto" w:fill="FFFFFF"/>
            <w:vAlign w:val="center"/>
          </w:tcPr>
          <w:p w14:paraId="21B2DBF7">
            <w:pPr>
              <w:snapToGrid w:val="0"/>
              <w:ind w:left="0" w:leftChars="0" w:firstLine="0" w:firstLineChars="0"/>
              <w:jc w:val="both"/>
            </w:pPr>
            <w:r>
              <w:t>2026.04- 2026.05</w:t>
            </w:r>
          </w:p>
        </w:tc>
        <w:tc>
          <w:tcPr>
            <w:tcW w:w="4749" w:type="dxa"/>
            <w:tcBorders>
              <w:top w:val="nil"/>
              <w:left w:val="nil"/>
              <w:bottom w:val="single" w:color="auto" w:sz="12" w:space="0"/>
              <w:right w:val="nil"/>
            </w:tcBorders>
            <w:shd w:val="clear" w:color="auto" w:fill="FFFFFF"/>
            <w:vAlign w:val="center"/>
          </w:tcPr>
          <w:p w14:paraId="65AD5377">
            <w:pPr>
              <w:snapToGrid w:val="0"/>
              <w:ind w:left="0" w:leftChars="0" w:firstLine="0" w:firstLineChars="0"/>
              <w:jc w:val="left"/>
            </w:pPr>
            <w:r>
              <w:t>整理实验数据、撰写毕业论文、准备答辩材料（PPT、演示视频）、预答辩与修改</w:t>
            </w:r>
          </w:p>
        </w:tc>
        <w:tc>
          <w:tcPr>
            <w:tcW w:w="1864" w:type="dxa"/>
            <w:tcBorders>
              <w:top w:val="nil"/>
              <w:left w:val="nil"/>
              <w:bottom w:val="single" w:color="auto" w:sz="12" w:space="0"/>
              <w:right w:val="nil"/>
            </w:tcBorders>
            <w:shd w:val="clear" w:color="auto" w:fill="FFFFFF"/>
            <w:vAlign w:val="center"/>
          </w:tcPr>
          <w:p w14:paraId="4567FA09">
            <w:pPr>
              <w:snapToGrid w:val="0"/>
              <w:ind w:left="0" w:leftChars="0" w:firstLine="0" w:firstLineChars="0"/>
              <w:jc w:val="both"/>
            </w:pPr>
            <w:r>
              <w:t>毕业论文终稿、答辩 PPT、系统演示</w:t>
            </w:r>
          </w:p>
        </w:tc>
      </w:tr>
    </w:tbl>
    <w:p w14:paraId="52DB7686">
      <w:pPr>
        <w:ind w:left="0" w:leftChars="0" w:firstLine="0" w:firstLineChars="0"/>
        <w:jc w:val="center"/>
      </w:pPr>
      <w:r>
        <w:rPr>
          <w:rFonts w:hint="eastAsia"/>
        </w:rPr>
        <w:t>表1 研究计划</w:t>
      </w:r>
    </w:p>
    <w:p w14:paraId="485EDB48">
      <w:pPr>
        <w:pStyle w:val="3"/>
      </w:pPr>
      <w:r>
        <w:t>5.2 预期达到的目标</w:t>
      </w:r>
    </w:p>
    <w:p w14:paraId="7A0F2282">
      <w:pPr>
        <w:ind w:firstLine="420"/>
      </w:pPr>
      <w:r>
        <w:t>函数级代码知识库构建：基于 tree-sitter 实现 Python、TypeScript、JavaScript、Java 等多语言的函数级语法解析与切分，提取函数签名、行号等完整元数据，支持 5000+ 函数规模的仓库自动解析。</w:t>
      </w:r>
    </w:p>
    <w:p w14:paraId="31ABCEC3">
      <w:pPr>
        <w:ind w:firstLine="420"/>
      </w:pPr>
      <w:r>
        <w:t>增量索引机制：通过定时 git pull 并解析变更文件列表，实现增量索引流程，仅对新增、修改、删除的文件进行差异化处理，相比全量重建索引耗时降低 80% 以上，保证知识库与代码版本实时一致。</w:t>
      </w:r>
    </w:p>
    <w:p w14:paraId="2727DA4B">
      <w:r>
        <w:t>检索增强问答系统：集成 Qdrant 向量数据库与 qwen-embedding 模型，实现函数级代码片段的高效检索（Top-k 召回），结合结构化提示模板与大语言模型生成答案</w:t>
      </w:r>
      <w:r>
        <w:rPr>
          <w:rFonts w:hint="eastAsia"/>
        </w:rPr>
        <w:t>。</w:t>
      </w:r>
    </w:p>
    <w:p w14:paraId="3EEE45B7">
      <w:pPr>
        <w:pStyle w:val="2"/>
      </w:pPr>
      <w:r>
        <w:t>6．课题已具备和所需的条件、经费</w:t>
      </w:r>
    </w:p>
    <w:p w14:paraId="55F5487C">
      <w:pPr>
        <w:ind w:firstLine="420"/>
      </w:pPr>
      <w:r>
        <w:t>本课题所需的软硬件条件基本齐备。硬件方面，具备开发用计算机与云服务器资源；软件方面，采用开源技术栈（FastAPI、React/Vue、tree-sitter、Qdrant、MySQL），无需商业授权。预计经费需求 3000-5000 元，主要用于云服务器租用、大模型 API 调用与测试数据标注，经费来源为个人自筹。</w:t>
      </w:r>
    </w:p>
    <w:p w14:paraId="3DEA9011">
      <w:pPr>
        <w:pStyle w:val="2"/>
      </w:pPr>
      <w:r>
        <w:t>7．研究过程中可能遇到的困难和问题，解决的措施</w:t>
      </w:r>
    </w:p>
    <w:p w14:paraId="6AA5BFE7">
      <w:pPr>
        <w:ind w:firstLine="420"/>
      </w:pPr>
      <w:r>
        <w:t>研究过程中可能遇到的主要困难包括：多语言代码解析的复杂性与边界情况，解决措施为建立解析失败日志与错误分类机制，对无法解析的文件跳过并记录；向量检索召回率与答案质量的平衡，解决措施为通过消融实验确定最优 Top-k 值并引入证据重排序机制；增量索引的一致性与容错性，解决措施为记录详细同步日志并提供失败重试与手动全量重建功能；用户评测数据的获取与标注成本，解决措施为选择开源仓库作为测试对象并邀请多名开发者参与交叉验证标注。</w:t>
      </w:r>
    </w:p>
    <w:p w14:paraId="73BFF80D">
      <w:pPr>
        <w:pStyle w:val="2"/>
      </w:pPr>
      <w:r>
        <w:t>8．主要参考文献</w:t>
      </w:r>
    </w:p>
    <w:p w14:paraId="5B5540BD">
      <w:pPr>
        <w:numPr>
          <w:ilvl w:val="0"/>
          <w:numId w:val="1"/>
        </w:numPr>
        <w:bidi w:val="0"/>
        <w:ind w:left="425" w:leftChars="0" w:hanging="425" w:firstLineChars="0"/>
        <w:rPr>
          <w:lang w:val="en-US" w:eastAsia="zh-CN"/>
        </w:rPr>
      </w:pPr>
      <w:r>
        <w:rPr>
          <w:rFonts w:hint="default"/>
          <w:lang w:val="en-US" w:eastAsia="zh-CN"/>
        </w:rPr>
        <w:t>Lewis P, Perez E, Piktus A, et al. Retrieval-augmented generation for knowledge-intensive nlp tasks[J]. Advances in Neural Information Processing Systems, 2020, 33: 9459-9474.</w:t>
      </w:r>
    </w:p>
    <w:p w14:paraId="2372485D">
      <w:pPr>
        <w:numPr>
          <w:ilvl w:val="0"/>
          <w:numId w:val="1"/>
        </w:numPr>
        <w:bidi w:val="0"/>
        <w:ind w:left="425" w:leftChars="0" w:hanging="425" w:firstLineChars="0"/>
        <w:rPr>
          <w:rFonts w:hint="default"/>
          <w:lang w:val="en-US" w:eastAsia="zh-CN"/>
        </w:rPr>
      </w:pPr>
      <w:r>
        <w:rPr>
          <w:rFonts w:hint="default"/>
          <w:lang w:val="en-US" w:eastAsia="zh-CN"/>
        </w:rPr>
        <w:t>Robillard M P, Chhetri Y B. Software documentation: A systematic literature review[J]. Journal of Systems and Software, 2015, 110: 218-237.</w:t>
      </w:r>
    </w:p>
    <w:p w14:paraId="689918DF">
      <w:pPr>
        <w:numPr>
          <w:ilvl w:val="0"/>
          <w:numId w:val="1"/>
        </w:numPr>
        <w:bidi w:val="0"/>
        <w:ind w:left="425" w:leftChars="0" w:hanging="425" w:firstLineChars="0"/>
        <w:rPr>
          <w:rFonts w:hint="default"/>
          <w:lang w:val="en-US" w:eastAsia="zh-CN"/>
        </w:rPr>
      </w:pPr>
      <w:r>
        <w:rPr>
          <w:rFonts w:hint="default"/>
          <w:lang w:val="en-US" w:eastAsia="zh-CN"/>
        </w:rPr>
        <w:t>Johnson J, Douze M, Jégou H. Billion-scale similarity search with GPUs[J]. IEEE Transactions on Big Data, 2021, 7(3): 535-547.</w:t>
      </w:r>
    </w:p>
    <w:p w14:paraId="0CED7E00">
      <w:pPr>
        <w:numPr>
          <w:ilvl w:val="0"/>
          <w:numId w:val="1"/>
        </w:numPr>
        <w:bidi w:val="0"/>
        <w:ind w:left="425" w:leftChars="0" w:hanging="425" w:firstLineChars="0"/>
        <w:rPr>
          <w:rFonts w:hint="default"/>
          <w:lang w:val="en-US" w:eastAsia="zh-CN"/>
        </w:rPr>
      </w:pPr>
      <w:r>
        <w:rPr>
          <w:rFonts w:hint="default"/>
          <w:lang w:val="en-US" w:eastAsia="zh-CN"/>
        </w:rPr>
        <w:t>刘实, 李贺, 王晓音, 等. 基于语法与语义分析的代码搜索结果优化[J]. 计算机科学, 2009, 36(11): 165-168.</w:t>
      </w:r>
    </w:p>
    <w:p w14:paraId="53FF80B2">
      <w:pPr>
        <w:numPr>
          <w:ilvl w:val="0"/>
          <w:numId w:val="1"/>
        </w:numPr>
        <w:bidi w:val="0"/>
        <w:ind w:left="425" w:leftChars="0" w:hanging="425" w:firstLineChars="0"/>
        <w:rPr>
          <w:rFonts w:hint="default"/>
          <w:lang w:val="en-US" w:eastAsia="zh-CN"/>
        </w:rPr>
      </w:pPr>
      <w:r>
        <w:rPr>
          <w:rFonts w:hint="default"/>
          <w:lang w:val="en-US" w:eastAsia="zh-CN"/>
        </w:rPr>
        <w:t>Tree-sitter Documentation. Tree-sitter: An incremental parsing system[R]. [s.l.]: [s.n.], [n.d.].</w:t>
      </w:r>
    </w:p>
    <w:p w14:paraId="6CA23FBA">
      <w:pPr>
        <w:numPr>
          <w:ilvl w:val="0"/>
          <w:numId w:val="1"/>
        </w:numPr>
        <w:bidi w:val="0"/>
        <w:ind w:left="425" w:leftChars="0" w:hanging="425" w:firstLineChars="0"/>
        <w:rPr>
          <w:rFonts w:hint="default"/>
          <w:lang w:val="en-US" w:eastAsia="zh-CN"/>
        </w:rPr>
      </w:pPr>
      <w:r>
        <w:rPr>
          <w:rFonts w:hint="default"/>
          <w:lang w:val="en-US" w:eastAsia="zh-CN"/>
        </w:rPr>
        <w:t>Wei J, Wang X, Schuurmans D, et al. Chain-of-thought prompting elicits reasoning in large language models[J]. Advances in Neural Information Processing Systems, 2022, 35: 24824-24837.</w:t>
      </w:r>
    </w:p>
    <w:p w14:paraId="54E4124C">
      <w:pPr>
        <w:numPr>
          <w:ilvl w:val="0"/>
          <w:numId w:val="1"/>
        </w:numPr>
        <w:bidi w:val="0"/>
        <w:ind w:left="425" w:leftChars="0" w:hanging="425" w:firstLineChars="0"/>
        <w:rPr>
          <w:rFonts w:hint="default"/>
          <w:lang w:val="en-US" w:eastAsia="zh-CN"/>
        </w:rPr>
      </w:pPr>
      <w:r>
        <w:rPr>
          <w:rFonts w:hint="default"/>
          <w:lang w:val="en-US" w:eastAsia="zh-CN"/>
        </w:rPr>
        <w:t>Yao S, Zhao J, Yu D, et al. React: Synergizing reasoning and acting in language models[C]//Proceedings of the Eleventh International Conference on Learning Representations. 2023.</w:t>
      </w:r>
    </w:p>
    <w:p w14:paraId="546EBD8E">
      <w:pPr>
        <w:numPr>
          <w:ilvl w:val="0"/>
          <w:numId w:val="1"/>
        </w:numPr>
        <w:bidi w:val="0"/>
        <w:ind w:left="425" w:leftChars="0" w:hanging="425" w:firstLineChars="0"/>
        <w:rPr>
          <w:rFonts w:hint="default"/>
          <w:lang w:val="en-US" w:eastAsia="zh-CN"/>
        </w:rPr>
      </w:pPr>
      <w:r>
        <w:rPr>
          <w:rFonts w:hint="default"/>
          <w:lang w:val="en-US" w:eastAsia="zh-CN"/>
        </w:rPr>
        <w:t>Brown T, Mann B, Ryder N, et al. Language models are few-shot learners[J]. Advances in Neural Information Processing Systems, 2020, 33: 1877-1901.</w:t>
      </w:r>
    </w:p>
    <w:p w14:paraId="114761BA">
      <w:pPr>
        <w:numPr>
          <w:ilvl w:val="0"/>
          <w:numId w:val="1"/>
        </w:numPr>
        <w:bidi w:val="0"/>
        <w:ind w:left="425" w:leftChars="0" w:hanging="425" w:firstLineChars="0"/>
        <w:rPr>
          <w:rFonts w:hint="default"/>
          <w:lang w:val="en-US" w:eastAsia="zh-CN"/>
        </w:rPr>
      </w:pPr>
      <w:r>
        <w:rPr>
          <w:rFonts w:hint="default"/>
          <w:lang w:val="en-US" w:eastAsia="zh-CN"/>
        </w:rPr>
        <w:t>Muennighoff N, Wang T, Sutawika L, et al. Crosslingual generalization through multitask finetuning[C]//Proceedings of the International Conference on Learning Representations. 2023.</w:t>
      </w:r>
    </w:p>
    <w:p w14:paraId="040445DB">
      <w:pPr>
        <w:numPr>
          <w:ilvl w:val="0"/>
          <w:numId w:val="1"/>
        </w:numPr>
        <w:bidi w:val="0"/>
        <w:ind w:left="425" w:leftChars="0" w:hanging="425" w:firstLineChars="0"/>
        <w:rPr>
          <w:rFonts w:hint="default"/>
          <w:lang w:val="en-US" w:eastAsia="zh-CN"/>
        </w:rPr>
      </w:pPr>
      <w:r>
        <w:rPr>
          <w:rFonts w:hint="default"/>
          <w:lang w:val="en-US" w:eastAsia="zh-CN"/>
        </w:rPr>
        <w:t>Liu J, Shen D, Zhang Y, et al. What Makes Good In-Context Examples for GPT-3?[C]//Proceedings of the 1st Workshop on Few-Shot NLP (FewNLP) at EMNLP. 2021: 1-13.</w:t>
      </w:r>
    </w:p>
    <w:p w14:paraId="6304E748">
      <w:pPr>
        <w:numPr>
          <w:ilvl w:val="0"/>
          <w:numId w:val="1"/>
        </w:numPr>
        <w:bidi w:val="0"/>
        <w:ind w:left="425" w:leftChars="0" w:hanging="425" w:firstLineChars="0"/>
        <w:rPr>
          <w:rFonts w:hint="default"/>
          <w:lang w:val="en-US" w:eastAsia="zh-CN"/>
        </w:rPr>
      </w:pPr>
      <w:r>
        <w:rPr>
          <w:rFonts w:hint="default"/>
          <w:lang w:val="en-US" w:eastAsia="zh-CN"/>
        </w:rPr>
        <w:t>Spinellis D, Gousios G, Kalliamvakou E, et al. Software repository mining analytics to support open source software development[J]. Communications of the ACM, 2017, 60(8): 82-91.</w:t>
      </w:r>
    </w:p>
    <w:p w14:paraId="5577F455">
      <w:pPr>
        <w:numPr>
          <w:ilvl w:val="0"/>
          <w:numId w:val="1"/>
        </w:numPr>
        <w:bidi w:val="0"/>
        <w:ind w:left="425" w:leftChars="0" w:hanging="425" w:firstLineChars="0"/>
        <w:rPr>
          <w:rFonts w:hint="default"/>
          <w:lang w:val="en-US" w:eastAsia="zh-CN"/>
        </w:rPr>
      </w:pPr>
      <w:r>
        <w:rPr>
          <w:rFonts w:hint="default"/>
          <w:lang w:val="en-US" w:eastAsia="zh-CN"/>
        </w:rPr>
        <w:t>Feng Z, Guo D, Tang D, et al. CodeBERT: A Pre-Trained Model for Programming and Natural Languages[C]//Findings of the Association for Computational Linguistics: EMNLP. 2020: 1536-1547.</w:t>
      </w:r>
    </w:p>
    <w:p w14:paraId="3ECBEBAA">
      <w:pPr>
        <w:numPr>
          <w:ilvl w:val="0"/>
          <w:numId w:val="1"/>
        </w:numPr>
        <w:bidi w:val="0"/>
        <w:ind w:left="425" w:leftChars="0" w:hanging="425" w:firstLineChars="0"/>
        <w:rPr>
          <w:rFonts w:hint="default"/>
          <w:lang w:val="en-US" w:eastAsia="zh-CN"/>
        </w:rPr>
      </w:pPr>
      <w:r>
        <w:rPr>
          <w:rFonts w:hint="default"/>
          <w:lang w:val="en-US" w:eastAsia="zh-CN"/>
        </w:rPr>
        <w:t>Guo D, Ren S, Lu S, et al. GraphCodeBERT: Pre-training Code Representations with Data Flow[C]//Proceedings of the International Conference on Learning Representations. 2021.</w:t>
      </w:r>
    </w:p>
    <w:p w14:paraId="12541128">
      <w:pPr>
        <w:numPr>
          <w:ilvl w:val="0"/>
          <w:numId w:val="1"/>
        </w:numPr>
        <w:bidi w:val="0"/>
        <w:ind w:left="425" w:leftChars="0" w:hanging="425" w:firstLineChars="0"/>
        <w:rPr>
          <w:rFonts w:hint="default"/>
          <w:lang w:val="en-US" w:eastAsia="zh-CN"/>
        </w:rPr>
      </w:pPr>
      <w:r>
        <w:rPr>
          <w:rFonts w:hint="default"/>
          <w:lang w:val="en-US" w:eastAsia="zh-CN"/>
        </w:rPr>
        <w:t>Wang Y, Wang W, Joty S, et al. CodeT5: Identifier-aware Unified Pre-trained Encoder-Decoder Models for Code Understanding and Generation[C]//Proceedings of the Conference on Empirical Methods in Natural Language Processing. 2021: 8696-8708.</w:t>
      </w:r>
    </w:p>
    <w:p w14:paraId="2D42F24F">
      <w:pPr>
        <w:numPr>
          <w:ilvl w:val="0"/>
          <w:numId w:val="1"/>
        </w:numPr>
        <w:bidi w:val="0"/>
        <w:ind w:left="425" w:leftChars="0" w:hanging="425" w:firstLineChars="0"/>
        <w:rPr>
          <w:rFonts w:hint="default"/>
          <w:lang w:val="en-US" w:eastAsia="zh-CN"/>
        </w:rPr>
      </w:pPr>
      <w:r>
        <w:rPr>
          <w:rFonts w:hint="default"/>
          <w:lang w:val="en-US" w:eastAsia="zh-CN"/>
        </w:rPr>
        <w:t>Li Y, Choi D, Chung J, et al. Competition-Level Code Generation with AlphaCode[J]. Science, 2022, 378(6624): 1092-1097.</w:t>
      </w:r>
    </w:p>
    <w:p w14:paraId="205DE740">
      <w:pPr>
        <w:bidi w:val="0"/>
        <w:ind w:left="0" w:leftChars="0" w:firstLine="0" w:firstLineChars="0"/>
        <w:rPr>
          <w:rFonts w:ascii="Times New Roman" w:hAnsi="Times New Roman" w:eastAsia="宋体" w:cs="Times New Roman"/>
          <w:kern w:val="2"/>
          <w:sz w:val="24"/>
          <w:lang w:val="en-US" w:eastAsia="zh-CN" w:bidi="ar-SA"/>
        </w:rPr>
      </w:pPr>
    </w:p>
    <w:sectPr>
      <w:headerReference r:id="rId5" w:type="default"/>
      <w:footerReference r:id="rId6" w:type="default"/>
      <w:pgSz w:w="11907" w:h="16840"/>
      <w:pgMar w:top="1418" w:right="1418" w:bottom="1247" w:left="1418" w:header="851"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B2546">
    <w:pPr>
      <w:pStyle w:val="10"/>
      <w:jc w:val="center"/>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Arabic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hint="eastAsia" w:ascii="Times New Roman" w:hAnsi="Times New Roman" w:cs="Times New Roman"/>
        <w:sz w:val="24"/>
        <w:szCs w:val="24"/>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3AEF4">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82400E"/>
    <w:multiLevelType w:val="singleLevel"/>
    <w:tmpl w:val="EE82400E"/>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62D5"/>
    <w:rsid w:val="000F4DB2"/>
    <w:rsid w:val="00136CC9"/>
    <w:rsid w:val="00140A7F"/>
    <w:rsid w:val="00170523"/>
    <w:rsid w:val="00176BD3"/>
    <w:rsid w:val="00190286"/>
    <w:rsid w:val="002364B7"/>
    <w:rsid w:val="002E1C7F"/>
    <w:rsid w:val="002F3D90"/>
    <w:rsid w:val="003917DC"/>
    <w:rsid w:val="003F73DD"/>
    <w:rsid w:val="00413951"/>
    <w:rsid w:val="00466477"/>
    <w:rsid w:val="004A62B6"/>
    <w:rsid w:val="004C692E"/>
    <w:rsid w:val="004F793A"/>
    <w:rsid w:val="0051630A"/>
    <w:rsid w:val="00596AEE"/>
    <w:rsid w:val="005E44D3"/>
    <w:rsid w:val="00651F0C"/>
    <w:rsid w:val="00665C0D"/>
    <w:rsid w:val="00721891"/>
    <w:rsid w:val="0074647F"/>
    <w:rsid w:val="007E3F87"/>
    <w:rsid w:val="008375BA"/>
    <w:rsid w:val="00863BEF"/>
    <w:rsid w:val="008B452F"/>
    <w:rsid w:val="00963106"/>
    <w:rsid w:val="009B157B"/>
    <w:rsid w:val="00A0273E"/>
    <w:rsid w:val="00A02B79"/>
    <w:rsid w:val="00A632F1"/>
    <w:rsid w:val="00A82C5B"/>
    <w:rsid w:val="00A9139D"/>
    <w:rsid w:val="00AB54A3"/>
    <w:rsid w:val="00BA1153"/>
    <w:rsid w:val="00BB526A"/>
    <w:rsid w:val="00BD7533"/>
    <w:rsid w:val="00C01852"/>
    <w:rsid w:val="00C2289B"/>
    <w:rsid w:val="00C406C1"/>
    <w:rsid w:val="00C722FB"/>
    <w:rsid w:val="00C914FD"/>
    <w:rsid w:val="00CD6B3A"/>
    <w:rsid w:val="00CF2F83"/>
    <w:rsid w:val="00DB002E"/>
    <w:rsid w:val="00DF70A0"/>
    <w:rsid w:val="00E1388F"/>
    <w:rsid w:val="00E31682"/>
    <w:rsid w:val="00EC11BE"/>
    <w:rsid w:val="00EF305C"/>
    <w:rsid w:val="00EF50DB"/>
    <w:rsid w:val="00F20438"/>
    <w:rsid w:val="00FD0F96"/>
    <w:rsid w:val="023D1F3B"/>
    <w:rsid w:val="02BB6F86"/>
    <w:rsid w:val="0304132F"/>
    <w:rsid w:val="04481836"/>
    <w:rsid w:val="048A1780"/>
    <w:rsid w:val="04B10BD0"/>
    <w:rsid w:val="04EF1032"/>
    <w:rsid w:val="059B1E55"/>
    <w:rsid w:val="06FA46E8"/>
    <w:rsid w:val="07B86EFF"/>
    <w:rsid w:val="08653793"/>
    <w:rsid w:val="086C210C"/>
    <w:rsid w:val="08E03040"/>
    <w:rsid w:val="0C1D11D3"/>
    <w:rsid w:val="0C541CC6"/>
    <w:rsid w:val="0D164953"/>
    <w:rsid w:val="0E140D02"/>
    <w:rsid w:val="0E3C6626"/>
    <w:rsid w:val="0E8E3886"/>
    <w:rsid w:val="0EAB0B51"/>
    <w:rsid w:val="0F19203C"/>
    <w:rsid w:val="0F660C3A"/>
    <w:rsid w:val="0FBA5F39"/>
    <w:rsid w:val="0FC306E9"/>
    <w:rsid w:val="1181633F"/>
    <w:rsid w:val="12EC4B9E"/>
    <w:rsid w:val="12FB03D7"/>
    <w:rsid w:val="139158EF"/>
    <w:rsid w:val="13AD3C3B"/>
    <w:rsid w:val="13EA36AC"/>
    <w:rsid w:val="14F450DE"/>
    <w:rsid w:val="163836F0"/>
    <w:rsid w:val="16C01A68"/>
    <w:rsid w:val="17054498"/>
    <w:rsid w:val="17A86360"/>
    <w:rsid w:val="18D966D2"/>
    <w:rsid w:val="191D7F9E"/>
    <w:rsid w:val="1CF739BD"/>
    <w:rsid w:val="1E236A34"/>
    <w:rsid w:val="1E395D05"/>
    <w:rsid w:val="1E592455"/>
    <w:rsid w:val="1EF74148"/>
    <w:rsid w:val="200D4AE5"/>
    <w:rsid w:val="20B35E4D"/>
    <w:rsid w:val="216956DC"/>
    <w:rsid w:val="246062EC"/>
    <w:rsid w:val="25264271"/>
    <w:rsid w:val="25525FC7"/>
    <w:rsid w:val="25B82157"/>
    <w:rsid w:val="26FC3484"/>
    <w:rsid w:val="27B00942"/>
    <w:rsid w:val="2974303F"/>
    <w:rsid w:val="2B85488A"/>
    <w:rsid w:val="2B8F5781"/>
    <w:rsid w:val="2BEE5789"/>
    <w:rsid w:val="2CAB4CA5"/>
    <w:rsid w:val="2CB845AC"/>
    <w:rsid w:val="2D1923C3"/>
    <w:rsid w:val="2D6A1F89"/>
    <w:rsid w:val="2E331F29"/>
    <w:rsid w:val="2ED9463F"/>
    <w:rsid w:val="318908BB"/>
    <w:rsid w:val="32FE389F"/>
    <w:rsid w:val="35D756EC"/>
    <w:rsid w:val="36767BF1"/>
    <w:rsid w:val="36AC3612"/>
    <w:rsid w:val="36F269AE"/>
    <w:rsid w:val="37D44BCF"/>
    <w:rsid w:val="39DC5FBD"/>
    <w:rsid w:val="3A2F3A82"/>
    <w:rsid w:val="3B404329"/>
    <w:rsid w:val="3BD6105C"/>
    <w:rsid w:val="3C9965A4"/>
    <w:rsid w:val="3D3056F4"/>
    <w:rsid w:val="3DAA4C89"/>
    <w:rsid w:val="3DC70D32"/>
    <w:rsid w:val="412F6D8F"/>
    <w:rsid w:val="415C4027"/>
    <w:rsid w:val="418F7DB9"/>
    <w:rsid w:val="419D4283"/>
    <w:rsid w:val="422725B1"/>
    <w:rsid w:val="422E4822"/>
    <w:rsid w:val="433E3844"/>
    <w:rsid w:val="43B11691"/>
    <w:rsid w:val="43C3013B"/>
    <w:rsid w:val="44D6367C"/>
    <w:rsid w:val="45932935"/>
    <w:rsid w:val="45BD3779"/>
    <w:rsid w:val="475E44B5"/>
    <w:rsid w:val="475F3991"/>
    <w:rsid w:val="47A86486"/>
    <w:rsid w:val="490C6D75"/>
    <w:rsid w:val="4AEB3612"/>
    <w:rsid w:val="4C5B7215"/>
    <w:rsid w:val="50C8686E"/>
    <w:rsid w:val="50CC5541"/>
    <w:rsid w:val="50D05D25"/>
    <w:rsid w:val="515D3A2F"/>
    <w:rsid w:val="516279E3"/>
    <w:rsid w:val="5223293A"/>
    <w:rsid w:val="53456A79"/>
    <w:rsid w:val="53AA2830"/>
    <w:rsid w:val="53FD64F1"/>
    <w:rsid w:val="55FF5D6C"/>
    <w:rsid w:val="56384CE1"/>
    <w:rsid w:val="57923845"/>
    <w:rsid w:val="57E60D46"/>
    <w:rsid w:val="58702280"/>
    <w:rsid w:val="5A4C02C7"/>
    <w:rsid w:val="5AF42BC7"/>
    <w:rsid w:val="5C732359"/>
    <w:rsid w:val="60C45483"/>
    <w:rsid w:val="61A8101A"/>
    <w:rsid w:val="61AB1D02"/>
    <w:rsid w:val="62654010"/>
    <w:rsid w:val="62A0552A"/>
    <w:rsid w:val="639F01FD"/>
    <w:rsid w:val="63F33FC8"/>
    <w:rsid w:val="655343CB"/>
    <w:rsid w:val="668F6351"/>
    <w:rsid w:val="671F01BE"/>
    <w:rsid w:val="68375408"/>
    <w:rsid w:val="68952F83"/>
    <w:rsid w:val="6CBE317C"/>
    <w:rsid w:val="6D2715D9"/>
    <w:rsid w:val="6E961F7F"/>
    <w:rsid w:val="6F6705A2"/>
    <w:rsid w:val="70CE7706"/>
    <w:rsid w:val="70FF2164"/>
    <w:rsid w:val="7137195D"/>
    <w:rsid w:val="71C9123F"/>
    <w:rsid w:val="73397A2F"/>
    <w:rsid w:val="73F93D32"/>
    <w:rsid w:val="753A26E2"/>
    <w:rsid w:val="7645046A"/>
    <w:rsid w:val="76B235FC"/>
    <w:rsid w:val="77211FBC"/>
    <w:rsid w:val="77E7049C"/>
    <w:rsid w:val="78BB48A3"/>
    <w:rsid w:val="7A340F22"/>
    <w:rsid w:val="7A343AC2"/>
    <w:rsid w:val="7AF85A3A"/>
    <w:rsid w:val="7C3E5D61"/>
    <w:rsid w:val="7CB11429"/>
    <w:rsid w:val="7D0E4A50"/>
    <w:rsid w:val="7DD52282"/>
    <w:rsid w:val="7DE42296"/>
    <w:rsid w:val="7EF61719"/>
    <w:rsid w:val="7F4D61B3"/>
    <w:rsid w:val="7FDA3E4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883"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qFormat/>
    <w:uiPriority w:val="9"/>
    <w:pPr>
      <w:keepNext/>
      <w:keepLines/>
      <w:spacing w:before="120" w:after="120"/>
      <w:ind w:firstLine="0" w:firstLineChars="0"/>
      <w:outlineLvl w:val="0"/>
    </w:pPr>
    <w:rPr>
      <w:rFonts w:eastAsia="黑体"/>
      <w:kern w:val="44"/>
      <w:sz w:val="28"/>
    </w:rPr>
  </w:style>
  <w:style w:type="paragraph" w:styleId="3">
    <w:name w:val="heading 2"/>
    <w:basedOn w:val="1"/>
    <w:next w:val="1"/>
    <w:link w:val="41"/>
    <w:unhideWhenUsed/>
    <w:qFormat/>
    <w:uiPriority w:val="9"/>
    <w:pPr>
      <w:keepNext/>
      <w:keepLines/>
      <w:spacing w:before="120" w:after="120"/>
      <w:ind w:firstLine="0" w:firstLineChars="0"/>
      <w:outlineLvl w:val="1"/>
    </w:pPr>
    <w:rPr>
      <w:rFonts w:eastAsia="黑体"/>
    </w:rPr>
  </w:style>
  <w:style w:type="paragraph" w:styleId="4">
    <w:name w:val="heading 3"/>
    <w:basedOn w:val="1"/>
    <w:next w:val="1"/>
    <w:semiHidden/>
    <w:unhideWhenUsed/>
    <w:qFormat/>
    <w:uiPriority w:val="9"/>
    <w:pPr>
      <w:spacing w:beforeAutospacing="1" w:afterAutospacing="1"/>
      <w:jc w:val="left"/>
      <w:outlineLvl w:val="2"/>
    </w:pPr>
    <w:rPr>
      <w:rFonts w:hint="eastAsia" w:ascii="宋体" w:hAnsi="宋体"/>
      <w:b/>
      <w:bCs/>
      <w:kern w:val="0"/>
      <w:sz w:val="27"/>
      <w:szCs w:val="27"/>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9"/>
    <w:unhideWhenUsed/>
    <w:uiPriority w:val="99"/>
    <w:pPr>
      <w:jc w:val="left"/>
    </w:pPr>
  </w:style>
  <w:style w:type="paragraph" w:styleId="6">
    <w:name w:val="Body Text Indent"/>
    <w:basedOn w:val="1"/>
    <w:link w:val="28"/>
    <w:qFormat/>
    <w:uiPriority w:val="0"/>
    <w:pPr>
      <w:ind w:left="360" w:hanging="360"/>
    </w:pPr>
  </w:style>
  <w:style w:type="paragraph" w:styleId="7">
    <w:name w:val="toc 3"/>
    <w:basedOn w:val="1"/>
    <w:next w:val="1"/>
    <w:semiHidden/>
    <w:unhideWhenUsed/>
    <w:qFormat/>
    <w:uiPriority w:val="39"/>
    <w:pPr>
      <w:ind w:left="840" w:leftChars="400"/>
    </w:pPr>
  </w:style>
  <w:style w:type="paragraph" w:styleId="8">
    <w:name w:val="Plain Text"/>
    <w:basedOn w:val="1"/>
    <w:link w:val="30"/>
    <w:qFormat/>
    <w:uiPriority w:val="0"/>
    <w:rPr>
      <w:rFonts w:ascii="宋体" w:hAnsi="Courier New"/>
    </w:rPr>
  </w:style>
  <w:style w:type="paragraph" w:styleId="9">
    <w:name w:val="Body Text Indent 2"/>
    <w:basedOn w:val="1"/>
    <w:link w:val="29"/>
    <w:qFormat/>
    <w:uiPriority w:val="0"/>
    <w:pPr>
      <w:ind w:left="420" w:hanging="420"/>
    </w:pPr>
  </w:style>
  <w:style w:type="paragraph" w:styleId="10">
    <w:name w:val="footer"/>
    <w:basedOn w:val="1"/>
    <w:link w:val="2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unhideWhenUsed/>
    <w:qFormat/>
    <w:uiPriority w:val="99"/>
    <w:pPr>
      <w:spacing w:beforeAutospacing="1" w:afterAutospacing="1"/>
      <w:jc w:val="left"/>
    </w:pPr>
    <w:rPr>
      <w:kern w:val="0"/>
    </w:rPr>
  </w:style>
  <w:style w:type="paragraph" w:styleId="15">
    <w:name w:val="annotation subject"/>
    <w:basedOn w:val="5"/>
    <w:next w:val="5"/>
    <w:link w:val="40"/>
    <w:semiHidden/>
    <w:unhideWhenUsed/>
    <w:qFormat/>
    <w:uiPriority w:val="99"/>
    <w:rPr>
      <w:b/>
      <w:bCs/>
    </w:rPr>
  </w:style>
  <w:style w:type="table" w:styleId="17">
    <w:name w:val="Table Grid"/>
    <w:basedOn w:val="1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page number"/>
    <w:basedOn w:val="18"/>
    <w:qFormat/>
    <w:uiPriority w:val="0"/>
  </w:style>
  <w:style w:type="character" w:styleId="21">
    <w:name w:val="FollowedHyperlink"/>
    <w:basedOn w:val="18"/>
    <w:semiHidden/>
    <w:unhideWhenUsed/>
    <w:qFormat/>
    <w:uiPriority w:val="99"/>
    <w:rPr>
      <w:color w:val="800080"/>
      <w:u w:val="single"/>
    </w:rPr>
  </w:style>
  <w:style w:type="character" w:styleId="22">
    <w:name w:val="Emphasis"/>
    <w:basedOn w:val="18"/>
    <w:qFormat/>
    <w:uiPriority w:val="20"/>
    <w:rPr>
      <w:i/>
    </w:rPr>
  </w:style>
  <w:style w:type="character" w:styleId="23">
    <w:name w:val="Hyperlink"/>
    <w:qFormat/>
    <w:uiPriority w:val="99"/>
    <w:rPr>
      <w:color w:val="0000FF"/>
      <w:u w:val="single"/>
    </w:rPr>
  </w:style>
  <w:style w:type="character" w:styleId="24">
    <w:name w:val="HTML Code"/>
    <w:basedOn w:val="18"/>
    <w:semiHidden/>
    <w:unhideWhenUsed/>
    <w:qFormat/>
    <w:uiPriority w:val="99"/>
    <w:rPr>
      <w:rFonts w:ascii="Courier New" w:hAnsi="Courier New"/>
      <w:sz w:val="20"/>
    </w:rPr>
  </w:style>
  <w:style w:type="character" w:styleId="25">
    <w:name w:val="annotation reference"/>
    <w:basedOn w:val="18"/>
    <w:semiHidden/>
    <w:unhideWhenUsed/>
    <w:qFormat/>
    <w:uiPriority w:val="99"/>
    <w:rPr>
      <w:sz w:val="21"/>
      <w:szCs w:val="21"/>
    </w:rPr>
  </w:style>
  <w:style w:type="character" w:customStyle="1" w:styleId="26">
    <w:name w:val="页眉 字符"/>
    <w:basedOn w:val="18"/>
    <w:link w:val="11"/>
    <w:qFormat/>
    <w:uiPriority w:val="99"/>
    <w:rPr>
      <w:sz w:val="18"/>
      <w:szCs w:val="18"/>
    </w:rPr>
  </w:style>
  <w:style w:type="character" w:customStyle="1" w:styleId="27">
    <w:name w:val="页脚 字符"/>
    <w:basedOn w:val="18"/>
    <w:link w:val="10"/>
    <w:qFormat/>
    <w:uiPriority w:val="99"/>
    <w:rPr>
      <w:sz w:val="18"/>
      <w:szCs w:val="18"/>
    </w:rPr>
  </w:style>
  <w:style w:type="character" w:customStyle="1" w:styleId="28">
    <w:name w:val="正文文本缩进 字符"/>
    <w:basedOn w:val="18"/>
    <w:link w:val="6"/>
    <w:qFormat/>
    <w:uiPriority w:val="0"/>
    <w:rPr>
      <w:rFonts w:ascii="Times New Roman" w:hAnsi="Times New Roman" w:eastAsia="宋体" w:cs="Times New Roman"/>
      <w:szCs w:val="20"/>
    </w:rPr>
  </w:style>
  <w:style w:type="character" w:customStyle="1" w:styleId="29">
    <w:name w:val="正文文本缩进 2 字符"/>
    <w:basedOn w:val="18"/>
    <w:link w:val="9"/>
    <w:qFormat/>
    <w:uiPriority w:val="0"/>
    <w:rPr>
      <w:rFonts w:ascii="Times New Roman" w:hAnsi="Times New Roman" w:eastAsia="宋体" w:cs="Times New Roman"/>
      <w:szCs w:val="20"/>
    </w:rPr>
  </w:style>
  <w:style w:type="character" w:customStyle="1" w:styleId="30">
    <w:name w:val="纯文本 字符"/>
    <w:basedOn w:val="18"/>
    <w:link w:val="8"/>
    <w:qFormat/>
    <w:uiPriority w:val="0"/>
    <w:rPr>
      <w:rFonts w:ascii="宋体" w:hAnsi="Courier New" w:eastAsia="宋体" w:cs="Times New Roman"/>
      <w:szCs w:val="20"/>
    </w:rPr>
  </w:style>
  <w:style w:type="paragraph" w:customStyle="1" w:styleId="31">
    <w:name w:val="论文正文"/>
    <w:basedOn w:val="1"/>
    <w:qFormat/>
    <w:uiPriority w:val="0"/>
    <w:pPr>
      <w:ind w:firstLine="200" w:firstLineChars="200"/>
    </w:pPr>
    <w:rPr>
      <w:lang w:val="en-GB"/>
    </w:rPr>
  </w:style>
  <w:style w:type="paragraph" w:customStyle="1" w:styleId="3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 w:type="paragraph" w:styleId="33">
    <w:name w:val="List Paragraph"/>
    <w:basedOn w:val="1"/>
    <w:unhideWhenUsed/>
    <w:qFormat/>
    <w:uiPriority w:val="99"/>
    <w:pPr>
      <w:ind w:firstLine="420" w:firstLineChars="200"/>
    </w:pPr>
  </w:style>
  <w:style w:type="paragraph" w:customStyle="1" w:styleId="34">
    <w:name w:val="MDPI_3.9_equation"/>
    <w:qFormat/>
    <w:uiPriority w:val="0"/>
    <w:pPr>
      <w:adjustRightInd w:val="0"/>
      <w:snapToGrid w:val="0"/>
      <w:spacing w:before="120" w:after="120" w:line="26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35">
    <w:name w:val="条"/>
    <w:basedOn w:val="1"/>
    <w:qFormat/>
    <w:uiPriority w:val="0"/>
    <w:pPr>
      <w:snapToGrid w:val="0"/>
      <w:spacing w:before="50" w:beforeLines="50" w:after="50" w:afterLines="50"/>
    </w:pPr>
    <w:rPr>
      <w:rFonts w:eastAsia="黑体"/>
      <w:sz w:val="28"/>
    </w:rPr>
  </w:style>
  <w:style w:type="paragraph" w:customStyle="1" w:styleId="36">
    <w:name w:val="样式 (中文) 黑体 小二 居中"/>
    <w:basedOn w:val="1"/>
    <w:qFormat/>
    <w:uiPriority w:val="0"/>
    <w:pPr>
      <w:snapToGrid w:val="0"/>
      <w:spacing w:before="400" w:after="200"/>
      <w:jc w:val="center"/>
    </w:pPr>
    <w:rPr>
      <w:rFonts w:eastAsia="黑体" w:cs="宋体"/>
      <w:sz w:val="36"/>
    </w:rPr>
  </w:style>
  <w:style w:type="paragraph" w:customStyle="1" w:styleId="37">
    <w:name w:val="节"/>
    <w:basedOn w:val="1"/>
    <w:qFormat/>
    <w:uiPriority w:val="0"/>
    <w:pPr>
      <w:snapToGrid w:val="0"/>
      <w:spacing w:before="50" w:beforeLines="50" w:after="50" w:afterLines="50"/>
    </w:pPr>
    <w:rPr>
      <w:rFonts w:eastAsia="黑体"/>
      <w:sz w:val="30"/>
    </w:rPr>
  </w:style>
  <w:style w:type="paragraph" w:customStyle="1" w:styleId="38">
    <w:name w:val="款"/>
    <w:basedOn w:val="1"/>
    <w:qFormat/>
    <w:uiPriority w:val="0"/>
    <w:pPr>
      <w:snapToGrid w:val="0"/>
    </w:pPr>
    <w:rPr>
      <w:rFonts w:eastAsia="黑体"/>
    </w:rPr>
  </w:style>
  <w:style w:type="character" w:customStyle="1" w:styleId="39">
    <w:name w:val="批注文字 字符"/>
    <w:basedOn w:val="18"/>
    <w:link w:val="5"/>
    <w:qFormat/>
    <w:uiPriority w:val="99"/>
    <w:rPr>
      <w:kern w:val="2"/>
      <w:sz w:val="24"/>
      <w:lang w:bidi="ar-SA"/>
    </w:rPr>
  </w:style>
  <w:style w:type="character" w:customStyle="1" w:styleId="40">
    <w:name w:val="批注主题 字符"/>
    <w:basedOn w:val="39"/>
    <w:link w:val="15"/>
    <w:semiHidden/>
    <w:qFormat/>
    <w:uiPriority w:val="99"/>
    <w:rPr>
      <w:b/>
      <w:bCs/>
      <w:kern w:val="2"/>
      <w:sz w:val="24"/>
      <w:lang w:bidi="ar-SA"/>
    </w:rPr>
  </w:style>
  <w:style w:type="character" w:customStyle="1" w:styleId="41">
    <w:name w:val="标题 2 Char"/>
    <w:link w:val="3"/>
    <w:qFormat/>
    <w:uiPriority w:val="9"/>
    <w:rPr>
      <w:rFonts w:eastAsia="黑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895D2-892C-4CE6-956F-AE560ABFF1FB}">
  <ds:schemaRefs/>
</ds:datastoreItem>
</file>

<file path=docProps/app.xml><?xml version="1.0" encoding="utf-8"?>
<Properties xmlns="http://schemas.openxmlformats.org/officeDocument/2006/extended-properties" xmlns:vt="http://schemas.openxmlformats.org/officeDocument/2006/docPropsVTypes">
  <Template>Normal</Template>
  <Pages>12</Pages>
  <Words>8546</Words>
  <Characters>11293</Characters>
  <Lines>90</Lines>
  <Paragraphs>25</Paragraphs>
  <TotalTime>4118</TotalTime>
  <ScaleCrop>false</ScaleCrop>
  <LinksUpToDate>false</LinksUpToDate>
  <CharactersWithSpaces>11914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2025-09-04T13:16:00Z</dcterms:created>
  <dc:creator>lenovo</dc:creator>
  <cp:lastModifiedBy>李栋梁</cp:lastModifiedBy>
  <cp:lastPrinted>2025-09-04T13:14:00Z</cp:lastPrinted>
  <dcterms:modified xsi:type="dcterms:W3CDTF">2026-03-18T08:33:05Z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eyJoZGlkIjoiYjQ1OTI0MTliZWViOWY2MDllNzEwZWY5NDMxYmExYmQiLCJ1c2VySWQiOiI5NzU3NjM0MjEifQ==</vt:lpwstr>
  </property>
  <property fmtid="{D5CDD505-2E9C-101B-9397-08002B2CF9AE}" pid="3" name="KSOProductBuildVer">
    <vt:lpwstr>2052-12.1.0.25225</vt:lpwstr>
  </property>
  <property fmtid="{D5CDD505-2E9C-101B-9397-08002B2CF9AE}" pid="4" name="ICV">
    <vt:lpwstr>666EF5E49AC94C4C811B9D502C462D82_13</vt:lpwstr>
  </property>
</Properties>
</file>