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103.png" ContentType="image/png"/>
  <Override PartName="/word/media/rId131.png" ContentType="image/png"/>
  <Override PartName="/word/media/rId117.png" ContentType="image/png"/>
  <Override PartName="/word/media/rId124.png" ContentType="image/png"/>
  <Override PartName="/word/media/rId96.png" ContentType="image/png"/>
  <Override PartName="/word/media/rId33.png" ContentType="image/png"/>
  <Override PartName="/word/media/rId49.png" ContentType="image/png"/>
  <Override PartName="/word/media/rId76.png" ContentType="image/png"/>
  <Override PartName="/word/media/rId2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年顶会大模型强化学习论文深度调研"/>
    <w:p>
      <w:pPr>
        <w:pStyle w:val="Heading1"/>
      </w:pPr>
      <w:r>
        <w:t xml:space="preserve">2024-2025年顶会大模型强化学习论文深度调研</w:t>
      </w:r>
    </w:p>
    <w:p>
      <w:pPr>
        <w:pStyle w:val="BlockText"/>
      </w:pPr>
      <w:r>
        <w:rPr>
          <w:bCs/>
          <w:b/>
        </w:rPr>
        <w:t xml:space="preserve">副标题</w:t>
      </w:r>
      <w:r>
        <w:t xml:space="preserve">: 方法、Benchmark与实现全景</w:t>
      </w:r>
    </w:p>
    <w:p>
      <w:pPr>
        <w:pStyle w:val="BlockText"/>
      </w:pPr>
      <w:r>
        <w:rPr>
          <w:bCs/>
          <w:b/>
        </w:rPr>
        <w:t xml:space="preserve">调研范围</w:t>
      </w:r>
      <w:r>
        <w:t xml:space="preserve">: NeurIPS / ICML / ICLR / ACL / EMNLP / AAAI 等顶会 2024-2025年论文</w:t>
      </w:r>
    </w:p>
    <w:p>
      <w:pPr>
        <w:pStyle w:val="BlockText"/>
      </w:pPr>
      <w:r>
        <w:rPr>
          <w:bCs/>
          <w:b/>
        </w:rPr>
        <w:t xml:space="preserve">生成日期</w:t>
      </w:r>
      <w:r>
        <w:t xml:space="preserve">: 2026-05-15</w:t>
      </w:r>
    </w:p>
    <w:p>
      <w:r>
        <w:pict>
          <v:rect style="width:0;height:1.5pt" o:hralign="center" o:hrstd="t" o:hr="t"/>
        </w:pict>
      </w:r>
    </w:p>
    <w:bookmarkStart w:id="32" w:name="研究概述与方法演进全景"/>
    <w:p>
      <w:pPr>
        <w:pStyle w:val="Heading2"/>
      </w:pPr>
      <w:r>
        <w:t xml:space="preserve">1. 研究概述与方法演进全景</w:t>
      </w:r>
    </w:p>
    <w:bookmarkStart w:id="20" w:name="研究背景与范围"/>
    <w:p>
      <w:pPr>
        <w:pStyle w:val="Heading3"/>
      </w:pPr>
      <w:r>
        <w:t xml:space="preserve">1.1 研究背景与范围</w:t>
      </w:r>
    </w:p>
    <w:p>
      <w:pPr>
        <w:pStyle w:val="FirstParagraph"/>
      </w:pPr>
      <w:r>
        <w:t xml:space="preserve">大语言模型（Large Language Model, LLM）与强化学习（Reinforcement Learning, RL）的结合，正经历自Transformer架构问世以来最为深刻的范式变革。2022年至2025年间，该领域从基于人类反馈的强化学习（Reinforcement Learning from Human Feedback, RLHF）——需要耗资巨大的奖励模型（Reward Model, RM）标注与多阶段训练——演进至仅需单一模型、可验证奖励即可驱动的高效训练范式，催生了从1.5B到671B参数规模均可适用的统一RL框架。</w:t>
      </w:r>
    </w:p>
    <w:p>
      <w:pPr>
        <w:pStyle w:val="BodyText"/>
      </w:pPr>
      <w:r>
        <w:t xml:space="preserve">本研究系统调研了2024-2025年发表于NeurIPS、ICML、ICLR、ACL等顶级会议与arXiv预印本平台上的120余篇LLM+RL论文，覆盖10个核心研究维度：核心算法（PPO、DPO、GRPO及其变体）、过程奖励模型（Process Reward Model, PRM）、基于可验证奖励的RL训练（RLVR）、自博弈（Self-Play）、Agent RL训练、Benchmark评估体系、训练框架优化、多目标对齐、课程学习以及小模型RL与推理时计算扩展。调研的核心目标是回答：</w:t>
      </w:r>
      <w:r>
        <w:rPr>
          <w:bCs/>
          <w:b/>
        </w:rPr>
        <w:t xml:space="preserve">在LLM+RL领域，什么方法在什么Benchmark上、以怎样的训练配置取得了何种效果？</w:t>
      </w:r>
    </w:p>
    <w:p>
      <w:pPr>
        <w:pStyle w:val="BodyText"/>
      </w:pPr>
      <w:r>
        <w:t xml:space="preserve">研究范围尤其关注GRPO（Group Relative Policy Optimization, 组相对策略优化）及其变体算法如何在18个月内快速迭代，形成包含DAPO、Dr.GRPO、GMPO、GSPO、VAPO、SAPO等十余种变体的方法家族</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w:t>
      </w:r>
      <w:r>
        <w:rPr>
          <w:vertAlign w:val="superscript"/>
        </w:rPr>
        <w:footnoteReference w:id="4"/>
      </w:r>
      <w:r>
        <w:t xml:space="preserve"> </w:t>
      </w:r>
      <w:r>
        <w:rPr>
          <w:vertAlign w:val="superscript"/>
        </w:rPr>
        <w:footnoteReference w:id="5"/>
      </w:r>
      <w:r>
        <w:t xml:space="preserve">，以及RLVR范式从DeepSeek-R1-Zero到业界广泛采纳的完整过程。</w:t>
      </w:r>
    </w:p>
    <w:bookmarkEnd w:id="20"/>
    <w:bookmarkStart w:id="27" w:name="方法演进脉络"/>
    <w:p>
      <w:pPr>
        <w:pStyle w:val="Heading3"/>
      </w:pPr>
      <w:r>
        <w:t xml:space="preserve">1.2 方法演进脉络</w:t>
      </w:r>
    </w:p>
    <w:p>
      <w:pPr>
        <w:pStyle w:val="FirstParagraph"/>
      </w:pPr>
      <w:r>
        <w:t xml:space="preserve">LLM+RL方法的演进可清晰划分为三个阶段，每个阶段在算法复杂度上呈递减趋势，更在核心目标上发生了从”对齐人类偏好”到”激发模型能力”的根本性转向。</w:t>
      </w:r>
    </w:p>
    <w:p>
      <w:pPr>
        <w:pStyle w:val="CaptionedFigure"/>
      </w:pPr>
      <w:r>
        <w:drawing>
          <wp:inline>
            <wp:extent cx="5334000" cy="3317364"/>
            <wp:effectExtent b="0" l="0" r="0" t="0"/>
            <wp:docPr descr="LLM+RL方法演进时间线" title="" id="22" name="Picture"/>
            <a:graphic>
              <a:graphicData uri="http://schemas.openxmlformats.org/drawingml/2006/picture">
                <pic:pic>
                  <pic:nvPicPr>
                    <pic:cNvPr descr="rl_method_evolution.png" id="23" name="Picture"/>
                    <pic:cNvPicPr>
                      <a:picLocks noChangeArrowheads="1" noChangeAspect="1"/>
                    </pic:cNvPicPr>
                  </pic:nvPicPr>
                  <pic:blipFill>
                    <a:blip r:embed="rId21"/>
                    <a:stretch>
                      <a:fillRect/>
                    </a:stretch>
                  </pic:blipFill>
                  <pic:spPr bwMode="auto">
                    <a:xfrm>
                      <a:off x="0" y="0"/>
                      <a:ext cx="5334000" cy="3317364"/>
                    </a:xfrm>
                    <a:prstGeom prst="rect">
                      <a:avLst/>
                    </a:prstGeom>
                    <a:noFill/>
                    <a:ln w="9525">
                      <a:noFill/>
                      <a:headEnd/>
                      <a:tailEnd/>
                    </a:ln>
                  </pic:spPr>
                </pic:pic>
              </a:graphicData>
            </a:graphic>
          </wp:inline>
        </w:drawing>
      </w:r>
    </w:p>
    <w:p>
      <w:pPr>
        <w:pStyle w:val="ImageCaption"/>
      </w:pPr>
      <w:r>
        <w:t xml:space="preserve">LLM+RL方法演进时间线</w:t>
      </w:r>
    </w:p>
    <w:p>
      <w:pPr>
        <w:pStyle w:val="BodyText"/>
      </w:pPr>
      <w:r>
        <w:rPr>
          <w:bCs/>
          <w:b/>
        </w:rPr>
        <w:t xml:space="preserve">图1.1</w:t>
      </w:r>
      <w:r>
        <w:t xml:space="preserve"> </w:t>
      </w:r>
      <w:r>
        <w:t xml:space="preserve">LLM+RL方法演进全景时间线（2022-2025），涵盖从PPO-based RLHF到DPO直接偏好优化，再到GRPO critic-free训练及DAPO变体优化的技术脉络。上半部分标注两大范式转变：从偏好对齐到能力激发、从多模型到单模型训练。</w:t>
      </w:r>
    </w:p>
    <w:bookmarkStart w:id="24" w:name="Xd0d6671eaa4d745355850df939db7fc79167e57"/>
    <w:p>
      <w:pPr>
        <w:pStyle w:val="Heading4"/>
      </w:pPr>
      <w:r>
        <w:t xml:space="preserve">1.2.1 Phase 1 (2022-2023): RLHF with PPO——多阶段训练的奠基时代</w:t>
      </w:r>
    </w:p>
    <w:p>
      <w:pPr>
        <w:pStyle w:val="FirstParagraph"/>
      </w:pPr>
      <w:r>
        <w:t xml:space="preserve">2022年，OpenAI发布的InstructGPT奠定了RLHF标准流程：通过监督微调（SFT）学习指令遵循能力，训练奖励模型学习人类偏好，最后使用近端策略优化（Proximal Policy Optimization, PPO）优化策略。该流程需同时维护四个模型——策略网络（Actor）、价值网络（Critic）、参考模型（Reference）和奖励模型（Reward Model）——显存需求约为策略模型的两倍，且PPO的超参数敏感性问题使得训练 notoriously 不稳定</w:t>
      </w:r>
      <w:r>
        <w:t xml:space="preserve"> </w:t>
      </w:r>
      <w:r>
        <w:rPr>
          <w:vertAlign w:val="superscript"/>
        </w:rPr>
        <w:footnoteReference w:id="6"/>
      </w:r>
      <w:r>
        <w:t xml:space="preserve">。尽管工程复杂度高，PPO-based RLHF在2022-2023年间确立了LLM后训练的标准范式。</w:t>
      </w:r>
    </w:p>
    <w:bookmarkEnd w:id="24"/>
    <w:bookmarkStart w:id="25" w:name="phase-2-2023-2024-直接偏好优化dpo系列去奖励模型的简化路径"/>
    <w:p>
      <w:pPr>
        <w:pStyle w:val="Heading4"/>
      </w:pPr>
      <w:r>
        <w:t xml:space="preserve">1.2.2 Phase 2 (2023-2024): 直接偏好优化DPO系列——去奖励模型的简化路径</w:t>
      </w:r>
    </w:p>
    <w:p>
      <w:pPr>
        <w:pStyle w:val="FirstParagraph"/>
      </w:pPr>
      <w:r>
        <w:t xml:space="preserve">2023年NeurIPS上，Rafailov等人提出的直接偏好优化（Direct Preference Optimization, DPO）从根本上改变了格局。DPO的核心洞察在于：KL约束下的奖励最大化问题的最优解与奖励函数之间存在闭式关系，可将偏好学习直接转化为策略上的二分类问题，完全消除奖励模型</w:t>
      </w:r>
      <w:r>
        <w:t xml:space="preserve"> </w:t>
      </w:r>
      <w:fldSimple w:instr="NOTEREF _Ref_Footnote_1 \h \f">
        <w:r>
          <w:rPr>
            <w:vertAlign w:val="superscript"/>
          </w:rPr>
          <w:t>1</w:t>
        </w:r>
      </w:fldSimple>
      <w:r>
        <w:t xml:space="preserve">。DPO的成功催生了2024年密集的改进工作：IPO通过平方损失解决过拟合问题</w:t>
      </w:r>
      <w:r>
        <w:t xml:space="preserve"> </w:t>
      </w:r>
      <w:r>
        <w:rPr>
          <w:vertAlign w:val="superscript"/>
        </w:rPr>
        <w:footnoteReference w:id="7"/>
      </w:r>
      <w:r>
        <w:t xml:space="preserve">；SimPO完全移除参考模型，在AlpacaEval 2上取得40.2%的LC Win Rate</w:t>
      </w:r>
      <w:r>
        <w:t xml:space="preserve"> </w:t>
      </w:r>
      <w:r>
        <w:rPr>
          <w:vertAlign w:val="superscript"/>
        </w:rPr>
        <w:footnoteReference w:id="8"/>
      </w:r>
      <w:r>
        <w:t xml:space="preserve">；KTO仅需二元反馈信号即可对齐</w:t>
      </w:r>
      <w:r>
        <w:t xml:space="preserve"> </w:t>
      </w:r>
      <w:r>
        <w:rPr>
          <w:vertAlign w:val="superscript"/>
        </w:rPr>
        <w:footnoteReference w:id="9"/>
      </w:r>
      <w:r>
        <w:t xml:space="preserve">；ORPO将SFT与偏好对齐合并为单阶段训练</w:t>
      </w:r>
      <w:r>
        <w:t xml:space="preserve"> </w:t>
      </w:r>
      <w:r>
        <w:rPr>
          <w:vertAlign w:val="superscript"/>
        </w:rPr>
        <w:footnoteReference w:id="10"/>
      </w:r>
      <w:r>
        <w:t xml:space="preserve">。这些变体推动了从”四模型训练”到”单模型训练”的技术精简。然而，ICML 2024的全面比较研究表明，PPO在需要强探索的复杂任务（如代码生成）上仍优于DPO</w:t>
      </w:r>
      <w:r>
        <w:t xml:space="preserve"> </w:t>
      </w:r>
      <w:r>
        <w:rPr>
          <w:vertAlign w:val="superscript"/>
        </w:rPr>
        <w:footnoteReference w:id="11"/>
      </w:r>
      <w:r>
        <w:t xml:space="preserve">，预示了在线探索能力在后续推理RL阶段的重要性。</w:t>
      </w:r>
    </w:p>
    <w:bookmarkEnd w:id="25"/>
    <w:bookmarkStart w:id="26" w:name="Xe53f103277f70f0a392c3ded12d8f8ed16a5cda"/>
    <w:p>
      <w:pPr>
        <w:pStyle w:val="Heading4"/>
      </w:pPr>
      <w:r>
        <w:t xml:space="preserve">1.2.3 Phase 3 (2024-2025): RLVR with GRPO——Critic-Free的可验证奖励训练</w:t>
      </w:r>
    </w:p>
    <w:p>
      <w:pPr>
        <w:pStyle w:val="FirstParagraph"/>
      </w:pPr>
      <w:r>
        <w:t xml:space="preserve">2024至2025年初，LLM+RL领域经历了第二次根本性范式转变。DeepSeek-AI提出的GRPO算法</w:t>
      </w:r>
      <w:r>
        <w:t xml:space="preserve"> </w:t>
      </w:r>
      <w:fldSimple w:instr="NOTEREF _Ref_Footnote_1 \h \f">
        <w:r>
          <w:rPr>
            <w:vertAlign w:val="superscript"/>
          </w:rPr>
          <w:t>1</w:t>
        </w:r>
      </w:fldSimple>
      <w:r>
        <w:t xml:space="preserve">及随后在DeepSeek-R1-Zero上的成功</w:t>
      </w:r>
      <w:r>
        <w:t xml:space="preserve"> </w:t>
      </w:r>
      <w:r>
        <w:rPr>
          <w:vertAlign w:val="superscript"/>
        </w:rPr>
        <w:footnoteReference w:id="12"/>
      </w:r>
      <w:r>
        <w:t xml:space="preserve">，标志着RLVR（Reinforcement Learning with Verifiable Rewards）范式的正式确立。与RLHF使用人类偏好作为信号不同，RLVR使用可自动验证的结果正确性作为奖励（如数学答案、代码测试结果），奖励值仅为0或1。GRPO通过组内相对奖励归一化消除PPO中的Critic网络：对每个问题采样</w:t>
      </w:r>
      <m:oMath>
        <m:r>
          <m:t>G</m:t>
        </m:r>
      </m:oMath>
      <w:r>
        <w:t xml:space="preserve">个回答（通常</w:t>
      </w:r>
      <m:oMath>
        <m:r>
          <m:t>G</m:t>
        </m:r>
        <m:r>
          <m:rPr>
            <m:sty m:val="p"/>
          </m:rPr>
          <m:t>=</m:t>
        </m:r>
        <m:r>
          <m:t>64</m:t>
        </m:r>
      </m:oMath>
      <w:r>
        <w:t xml:space="preserve">），将组内奖励标准化后作为优势函数，</w:t>
      </w:r>
      <m:oMath>
        <m:sSub>
          <m:e>
            <m:acc>
              <m:accPr>
                <m:chr m:val="̂"/>
              </m:accPr>
              <m:e>
                <m:r>
                  <m:t>A</m:t>
                </m:r>
              </m:e>
            </m:acc>
          </m:e>
          <m:sub>
            <m:r>
              <m:t>i</m:t>
            </m:r>
            <m:r>
              <m:rPr>
                <m:sty m:val="p"/>
              </m:rPr>
              <m:t>,</m:t>
            </m:r>
            <m:r>
              <m:t>t</m:t>
            </m:r>
          </m:sub>
        </m:sSub>
        <m:r>
          <m:rPr>
            <m:sty m:val="p"/>
          </m:rPr>
          <m:t>=</m:t>
        </m:r>
        <m:d>
          <m:dPr>
            <m:begChr m:val="("/>
            <m:endChr m:val=")"/>
            <m:sepChr m:val=""/>
            <m:grow/>
          </m:dPr>
          <m:e>
            <m:sSub>
              <m:e>
                <m:r>
                  <m:t>r</m:t>
                </m:r>
              </m:e>
              <m:sub>
                <m:r>
                  <m:t>i</m:t>
                </m:r>
              </m:sub>
            </m:sSub>
            <m:r>
              <m:rPr>
                <m:sty m:val="p"/>
              </m:rPr>
              <m:t>−</m:t>
            </m:r>
            <m:r>
              <m:rPr>
                <m:nor/>
                <m:sty m:val="p"/>
              </m:rPr>
              <m:t>mean</m:t>
            </m:r>
            <m:d>
              <m:dPr>
                <m:begChr m:val="("/>
                <m:endChr m:val=")"/>
                <m:sepChr m:val=""/>
                <m:grow/>
              </m:dPr>
              <m:e>
                <m:r>
                  <m:rPr>
                    <m:sty m:val="p"/>
                  </m:rPr>
                  <m:t>{</m:t>
                </m:r>
                <m:sSub>
                  <m:e>
                    <m:r>
                      <m:t>r</m:t>
                    </m:r>
                  </m:e>
                  <m:sub>
                    <m:r>
                      <m:t>i</m:t>
                    </m:r>
                  </m:sub>
                </m:sSub>
                <m:r>
                  <m:rPr>
                    <m:sty m:val="p"/>
                  </m:rPr>
                  <m:t>}</m:t>
                </m:r>
              </m:e>
            </m:d>
          </m:e>
        </m:d>
        <m:r>
          <m:rPr>
            <m:sty m:val="p"/>
          </m:rPr>
          <m:t>/</m:t>
        </m:r>
        <m:r>
          <m:rPr>
            <m:nor/>
            <m:sty m:val="p"/>
          </m:rPr>
          <m:t>std</m:t>
        </m:r>
        <m:d>
          <m:dPr>
            <m:begChr m:val="("/>
            <m:endChr m:val=")"/>
            <m:sepChr m:val=""/>
            <m:grow/>
          </m:dPr>
          <m:e>
            <m:r>
              <m:rPr>
                <m:sty m:val="p"/>
              </m:rPr>
              <m:t>{</m:t>
            </m:r>
            <m:sSub>
              <m:e>
                <m:r>
                  <m:t>r</m:t>
                </m:r>
              </m:e>
              <m:sub>
                <m:r>
                  <m:t>i</m:t>
                </m:r>
              </m:sub>
            </m:sSub>
            <m:r>
              <m:rPr>
                <m:sty m:val="p"/>
              </m:rPr>
              <m:t>}</m:t>
            </m:r>
          </m:e>
        </m:d>
      </m:oMath>
      <w:r>
        <w:t xml:space="preserve"> </w:t>
      </w:r>
      <w:fldSimple w:instr="NOTEREF _Ref_Footnote_1 \h \f">
        <w:r>
          <w:rPr>
            <w:vertAlign w:val="superscript"/>
          </w:rPr>
          <w:t>1</w:t>
        </w:r>
      </w:fldSimple>
      <w:r>
        <w:t xml:space="preserve">。</w:t>
      </w:r>
    </w:p>
    <w:p>
      <w:pPr>
        <w:pStyle w:val="BodyText"/>
      </w:pPr>
      <w:r>
        <w:t xml:space="preserve">DeepSeek-R1-Zero从671B参数的DeepSeek-V3-Base直接进行大规模RL训练，在AIME 2024上从基线15.6%跃升至71.0%（Pass@1），通过多数投票可达86.7%</w:t>
      </w:r>
      <w:r>
        <w:t xml:space="preserve"> </w:t>
      </w:r>
      <w:fldSimple w:instr="NOTEREF _Ref_Footnote_12 \h \f">
        <w:r>
          <w:rPr>
            <w:vertAlign w:val="superscript"/>
          </w:rPr>
          <w:t>12</w:t>
        </w:r>
      </w:fldSimple>
      <w:r>
        <w:t xml:space="preserve">。训练过程中模型自发涌现出长链推理、自我验证、反思乃至拟人化的”Aha Moment”——这些能力并非SFT显式教授，而是纯RL从预训练知识中”挖掘”出来的。GRPO的极简架构配合vLLM等高效推理引擎，使训练成本大幅降低：TinyZero以不到$30在1.5B模型上复现推理涌现</w:t>
      </w:r>
      <w:r>
        <w:t xml:space="preserve"> </w:t>
      </w:r>
      <w:r>
        <w:rPr>
          <w:vertAlign w:val="superscript"/>
        </w:rPr>
        <w:footnoteReference w:id="13"/>
      </w:r>
      <w:r>
        <w:t xml:space="preserve">，Open-RS以$42在1.5B模型上达到AIME 46.7%</w:t>
      </w:r>
      <w:r>
        <w:t xml:space="preserve"> </w:t>
      </w:r>
      <w:r>
        <w:rPr>
          <w:vertAlign w:val="superscript"/>
        </w:rPr>
        <w:footnoteReference w:id="14"/>
      </w:r>
      <w:r>
        <w:t xml:space="preserve">。DAPO通过动态采样、非对称裁剪Clip-Higher、Token级损失归一化四项改进，将Qwen2.5-32B推至AIME 2024的50分，仅需GRPO 50%训练步数</w:t>
      </w:r>
      <w:r>
        <w:t xml:space="preserve"> </w:t>
      </w:r>
      <w:fldSimple w:instr="NOTEREF _Ref_Footnote_2 \h \f">
        <w:r>
          <w:rPr>
            <w:vertAlign w:val="superscript"/>
          </w:rPr>
          <w:t>2</w:t>
        </w:r>
      </w:fldSimple>
      <w:r>
        <w:t xml:space="preserve">。</w:t>
      </w:r>
    </w:p>
    <w:p>
      <w:pPr>
        <w:pStyle w:val="BodyText"/>
      </w:pPr>
      <w:r>
        <w:t xml:space="preserve">下表系统对比三个演进阶段的核心方法。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Phase 1: PPO (2022-2023)</w:t>
            </w:r>
          </w:p>
        </w:tc>
        <w:tc>
          <w:tcPr/>
          <w:p>
            <w:pPr>
              <w:pStyle w:val="Compact"/>
              <w:jc w:val="left"/>
            </w:pPr>
            <w:r>
              <w:t xml:space="preserve">Phase 2: DPO (2023-2024)</w:t>
            </w:r>
          </w:p>
        </w:tc>
        <w:tc>
          <w:tcPr/>
          <w:p>
            <w:pPr>
              <w:pStyle w:val="Compact"/>
              <w:jc w:val="left"/>
            </w:pPr>
            <w:r>
              <w:t xml:space="preserve">Phase 3: GRPO/RLVR (2024-2025)</w:t>
            </w:r>
          </w:p>
        </w:tc>
      </w:tr>
      <w:tr>
        <w:tc>
          <w:tcPr/>
          <w:p>
            <w:pPr>
              <w:pStyle w:val="Compact"/>
              <w:jc w:val="left"/>
            </w:pPr>
            <w:r>
              <w:t xml:space="preserve">核心算法</w:t>
            </w:r>
          </w:p>
        </w:tc>
        <w:tc>
          <w:tcPr/>
          <w:p>
            <w:pPr>
              <w:pStyle w:val="Compact"/>
              <w:jc w:val="left"/>
            </w:pPr>
            <w:r>
              <w:t xml:space="preserve">PPO (在线策略梯度)</w:t>
            </w:r>
          </w:p>
        </w:tc>
        <w:tc>
          <w:tcPr/>
          <w:p>
            <w:pPr>
              <w:pStyle w:val="Compact"/>
              <w:jc w:val="left"/>
            </w:pPr>
            <w:r>
              <w:t xml:space="preserve">DPO (离线偏好优化)</w:t>
            </w:r>
          </w:p>
        </w:tc>
        <w:tc>
          <w:tcPr/>
          <w:p>
            <w:pPr>
              <w:pStyle w:val="Compact"/>
              <w:jc w:val="left"/>
            </w:pPr>
            <w:r>
              <w:t xml:space="preserve">GRPO/DAPO (组相对归一化)</w:t>
            </w:r>
          </w:p>
        </w:tc>
      </w:tr>
      <w:tr>
        <w:tc>
          <w:tcPr/>
          <w:p>
            <w:pPr>
              <w:pStyle w:val="Compact"/>
              <w:jc w:val="left"/>
            </w:pPr>
            <w:r>
              <w:t xml:space="preserve">奖励来源</w:t>
            </w:r>
          </w:p>
        </w:tc>
        <w:tc>
          <w:tcPr/>
          <w:p>
            <w:pPr>
              <w:pStyle w:val="Compact"/>
              <w:jc w:val="left"/>
            </w:pPr>
            <w:r>
              <w:t xml:space="preserve">人类偏好/奖励模型</w:t>
            </w:r>
          </w:p>
        </w:tc>
        <w:tc>
          <w:tcPr/>
          <w:p>
            <w:pPr>
              <w:pStyle w:val="Compact"/>
              <w:jc w:val="left"/>
            </w:pPr>
            <w:r>
              <w:t xml:space="preserve">成对偏好数据</w:t>
            </w:r>
          </w:p>
        </w:tc>
        <w:tc>
          <w:tcPr/>
          <w:p>
            <w:pPr>
              <w:pStyle w:val="Compact"/>
              <w:jc w:val="left"/>
            </w:pPr>
            <w:r>
              <w:t xml:space="preserve">可验证结果正确性 (0/1)</w:t>
            </w:r>
          </w:p>
        </w:tc>
      </w:tr>
      <w:tr>
        <w:tc>
          <w:tcPr/>
          <w:p>
            <w:pPr>
              <w:pStyle w:val="Compact"/>
              <w:jc w:val="left"/>
            </w:pPr>
            <w:r>
              <w:t xml:space="preserve">Critic网络</w:t>
            </w:r>
          </w:p>
        </w:tc>
        <w:tc>
          <w:tcPr/>
          <w:p>
            <w:pPr>
              <w:pStyle w:val="Compact"/>
              <w:jc w:val="left"/>
            </w:pPr>
            <w:r>
              <w:t xml:space="preserve">需要单独训练</w:t>
            </w:r>
          </w:p>
        </w:tc>
        <w:tc>
          <w:tcPr/>
          <w:p>
            <w:pPr>
              <w:pStyle w:val="Compact"/>
              <w:jc w:val="left"/>
            </w:pPr>
            <w:r>
              <w:t xml:space="preserve">不需要</w:t>
            </w:r>
          </w:p>
        </w:tc>
        <w:tc>
          <w:tcPr/>
          <w:p>
            <w:pPr>
              <w:pStyle w:val="Compact"/>
              <w:jc w:val="left"/>
            </w:pPr>
            <w:r>
              <w:t xml:space="preserve">不需要</w:t>
            </w:r>
          </w:p>
        </w:tc>
      </w:tr>
      <w:tr>
        <w:tc>
          <w:tcPr/>
          <w:p>
            <w:pPr>
              <w:pStyle w:val="Compact"/>
              <w:jc w:val="left"/>
            </w:pPr>
            <w:r>
              <w:t xml:space="preserve">所需模型数</w:t>
            </w:r>
          </w:p>
        </w:tc>
        <w:tc>
          <w:tcPr/>
          <w:p>
            <w:pPr>
              <w:pStyle w:val="Compact"/>
              <w:jc w:val="left"/>
            </w:pPr>
            <w:r>
              <w:t xml:space="preserve">4 (actor/critic/ref/RM)</w:t>
            </w:r>
          </w:p>
        </w:tc>
        <w:tc>
          <w:tcPr/>
          <w:p>
            <w:pPr>
              <w:pStyle w:val="Compact"/>
              <w:jc w:val="left"/>
            </w:pPr>
            <w:r>
              <w:t xml:space="preserve">2 (policy + ref)</w:t>
            </w:r>
          </w:p>
        </w:tc>
        <w:tc>
          <w:tcPr/>
          <w:p>
            <w:pPr>
              <w:pStyle w:val="Compact"/>
              <w:jc w:val="left"/>
            </w:pPr>
            <w:r>
              <w:t xml:space="preserve">1 (policy only)</w:t>
            </w:r>
          </w:p>
        </w:tc>
      </w:tr>
      <w:tr>
        <w:tc>
          <w:tcPr/>
          <w:p>
            <w:pPr>
              <w:pStyle w:val="Compact"/>
              <w:jc w:val="left"/>
            </w:pPr>
            <w:r>
              <w:t xml:space="preserve">显存开销</w:t>
            </w:r>
          </w:p>
        </w:tc>
        <w:tc>
          <w:tcPr/>
          <w:p>
            <w:pPr>
              <w:pStyle w:val="Compact"/>
              <w:jc w:val="left"/>
            </w:pPr>
            <w:r>
              <w:t xml:space="preserve">~2x策略模型</w:t>
            </w:r>
          </w:p>
        </w:tc>
        <w:tc>
          <w:tcPr/>
          <w:p>
            <w:pPr>
              <w:pStyle w:val="Compact"/>
              <w:jc w:val="left"/>
            </w:pPr>
            <w:r>
              <w:t xml:space="preserve">~1.5x策略模型</w:t>
            </w:r>
          </w:p>
        </w:tc>
        <w:tc>
          <w:tcPr/>
          <w:p>
            <w:pPr>
              <w:pStyle w:val="Compact"/>
              <w:jc w:val="left"/>
            </w:pPr>
            <w:r>
              <w:t xml:space="preserve">~1x策略模型</w:t>
            </w:r>
          </w:p>
        </w:tc>
      </w:tr>
      <w:tr>
        <w:tc>
          <w:tcPr/>
          <w:p>
            <w:pPr>
              <w:pStyle w:val="Compact"/>
              <w:jc w:val="left"/>
            </w:pPr>
            <w:r>
              <w:t xml:space="preserve">核心优势</w:t>
            </w:r>
          </w:p>
        </w:tc>
        <w:tc>
          <w:tcPr/>
          <w:p>
            <w:pPr>
              <w:pStyle w:val="Compact"/>
              <w:jc w:val="left"/>
            </w:pPr>
            <w:r>
              <w:t xml:space="preserve">探索能力强，复杂任务优</w:t>
            </w:r>
          </w:p>
        </w:tc>
        <w:tc>
          <w:tcPr/>
          <w:p>
            <w:pPr>
              <w:pStyle w:val="Compact"/>
              <w:jc w:val="left"/>
            </w:pPr>
            <w:r>
              <w:t xml:space="preserve">简单稳定，工程友好</w:t>
            </w:r>
          </w:p>
        </w:tc>
        <w:tc>
          <w:tcPr/>
          <w:p>
            <w:pPr>
              <w:pStyle w:val="Compact"/>
              <w:jc w:val="left"/>
            </w:pPr>
            <w:r>
              <w:t xml:space="preserve">极简高效，推理涌现</w:t>
            </w:r>
          </w:p>
        </w:tc>
      </w:tr>
      <w:tr>
        <w:tc>
          <w:tcPr/>
          <w:p>
            <w:pPr>
              <w:pStyle w:val="Compact"/>
              <w:jc w:val="left"/>
            </w:pPr>
            <w:r>
              <w:t xml:space="preserve">主要局限</w:t>
            </w:r>
          </w:p>
        </w:tc>
        <w:tc>
          <w:tcPr/>
          <w:p>
            <w:pPr>
              <w:pStyle w:val="Compact"/>
              <w:jc w:val="left"/>
            </w:pPr>
            <w:r>
              <w:t xml:space="preserve">不稳定，资源密集</w:t>
            </w:r>
          </w:p>
        </w:tc>
        <w:tc>
          <w:tcPr/>
          <w:p>
            <w:pPr>
              <w:pStyle w:val="Compact"/>
              <w:jc w:val="left"/>
            </w:pPr>
            <w:r>
              <w:t xml:space="preserve">探索受限，长度偏差</w:t>
            </w:r>
          </w:p>
        </w:tc>
        <w:tc>
          <w:tcPr/>
          <w:p>
            <w:pPr>
              <w:pStyle w:val="Compact"/>
              <w:jc w:val="left"/>
            </w:pPr>
            <w:r>
              <w:t xml:space="preserve">零方差组，熵崩塌</w:t>
            </w:r>
          </w:p>
        </w:tc>
      </w:tr>
      <w:tr>
        <w:tc>
          <w:tcPr/>
          <w:p>
            <w:pPr>
              <w:pStyle w:val="Compact"/>
              <w:jc w:val="left"/>
            </w:pPr>
            <w:r>
              <w:t xml:space="preserve">代表Benchmark</w:t>
            </w:r>
          </w:p>
        </w:tc>
        <w:tc>
          <w:tcPr/>
          <w:p>
            <w:pPr>
              <w:pStyle w:val="Compact"/>
              <w:jc w:val="left"/>
            </w:pPr>
            <w:r>
              <w:t xml:space="preserve">AlpacaEval, HH-RLHF</w:t>
            </w:r>
          </w:p>
        </w:tc>
        <w:tc>
          <w:tcPr/>
          <w:p>
            <w:pPr>
              <w:pStyle w:val="Compact"/>
              <w:jc w:val="left"/>
            </w:pPr>
            <w:r>
              <w:t xml:space="preserve">MT-Bench, Arena-Hard</w:t>
            </w:r>
          </w:p>
        </w:tc>
        <w:tc>
          <w:tcPr/>
          <w:p>
            <w:pPr>
              <w:pStyle w:val="Compact"/>
              <w:jc w:val="left"/>
            </w:pPr>
            <w:r>
              <w:t xml:space="preserve">AIME, MATH-500, LiveCodeBench</w:t>
            </w:r>
          </w:p>
        </w:tc>
      </w:tr>
      <w:tr>
        <w:tc>
          <w:tcPr/>
          <w:p>
            <w:pPr>
              <w:pStyle w:val="Compact"/>
              <w:jc w:val="left"/>
            </w:pPr>
            <w:r>
              <w:t xml:space="preserve">标志性成果</w:t>
            </w:r>
          </w:p>
        </w:tc>
        <w:tc>
          <w:tcPr/>
          <w:p>
            <w:pPr>
              <w:pStyle w:val="Compact"/>
              <w:jc w:val="left"/>
            </w:pPr>
            <w:r>
              <w:t xml:space="preserve">InstructGPT</w:t>
            </w:r>
            <w:r>
              <w:t xml:space="preserve"> </w:t>
            </w:r>
            <w:fldSimple w:instr="NOTEREF _Ref_Footnote_6 \h \f">
              <w:r>
                <w:rPr>
                  <w:vertAlign w:val="superscript"/>
                </w:rPr>
                <w:t>6</w:t>
              </w:r>
            </w:fldSimple>
          </w:p>
        </w:tc>
        <w:tc>
          <w:tcPr/>
          <w:p>
            <w:pPr>
              <w:pStyle w:val="Compact"/>
              <w:jc w:val="left"/>
            </w:pPr>
            <w:r>
              <w:t xml:space="preserve">DPO</w:t>
            </w:r>
            <w:r>
              <w:t xml:space="preserve"> </w:t>
            </w:r>
            <w:fldSimple w:instr="NOTEREF _Ref_Footnote_1 \h \f">
              <w:r>
                <w:rPr>
                  <w:vertAlign w:val="superscript"/>
                </w:rPr>
                <w:t>1</w:t>
              </w:r>
            </w:fldSimple>
          </w:p>
        </w:tc>
        <w:tc>
          <w:tcPr/>
          <w:p>
            <w:pPr>
              <w:pStyle w:val="Compact"/>
              <w:jc w:val="left"/>
            </w:pPr>
            <w:r>
              <w:t xml:space="preserve">DeepSeek-R1-Zero</w:t>
            </w:r>
            <w:r>
              <w:t xml:space="preserve"> </w:t>
            </w:r>
            <w:fldSimple w:instr="NOTEREF _Ref_Footnote_12 \h \f">
              <w:r>
                <w:rPr>
                  <w:vertAlign w:val="superscript"/>
                </w:rPr>
                <w:t>12</w:t>
              </w:r>
            </w:fldSimple>
          </w:p>
        </w:tc>
      </w:tr>
    </w:tbl>
    <w:p>
      <w:pPr>
        <w:pStyle w:val="BodyText"/>
      </w:pPr>
      <w:r>
        <w:t xml:space="preserve">上表揭示了LLM+RL方法演进的两条核心主线。</w:t>
      </w:r>
      <w:r>
        <w:rPr>
          <w:bCs/>
          <w:b/>
        </w:rPr>
        <w:t xml:space="preserve">第一条是架构精简线</w:t>
      </w:r>
      <w:r>
        <w:t xml:space="preserve">：从PPO的四模型协同到DPO的两模型离线优化，再到GRPO的单模型极简训练，显存开销从约2倍降至约1倍。这反映了领域对RL在LLM场景中”真正需要什么组件”的深层认知迭代——DPO证明奖励模型可被隐式参数化，GRPO进一步证明价值网络可被组内统计量替代。</w:t>
      </w:r>
      <w:r>
        <w:rPr>
          <w:bCs/>
          <w:b/>
        </w:rPr>
        <w:t xml:space="preserve">第二条是奖励信号范式转移线</w:t>
      </w:r>
      <w:r>
        <w:t xml:space="preserve">：从模拟人类判断到验证客观正确性，这一转变使模型得以探索超出人类示范的解题路径，R1-Zero中涌现的反思行为正是这一自由度的直接产物。</w:t>
      </w:r>
    </w:p>
    <w:p>
      <w:pPr>
        <w:pStyle w:val="BodyText"/>
      </w:pPr>
      <w:r>
        <w:t xml:space="preserve">下表从阶段特征角度进一步对比三个演进阶段。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特征维度</w:t>
            </w:r>
          </w:p>
        </w:tc>
        <w:tc>
          <w:tcPr/>
          <w:p>
            <w:pPr>
              <w:pStyle w:val="Compact"/>
              <w:jc w:val="left"/>
            </w:pPr>
            <w:r>
              <w:t xml:space="preserve">Phase 1 (2022-2023)</w:t>
            </w:r>
          </w:p>
        </w:tc>
        <w:tc>
          <w:tcPr/>
          <w:p>
            <w:pPr>
              <w:pStyle w:val="Compact"/>
              <w:jc w:val="left"/>
            </w:pPr>
            <w:r>
              <w:t xml:space="preserve">Phase 2 (2023-2024)</w:t>
            </w:r>
          </w:p>
        </w:tc>
        <w:tc>
          <w:tcPr/>
          <w:p>
            <w:pPr>
              <w:pStyle w:val="Compact"/>
              <w:jc w:val="left"/>
            </w:pPr>
            <w:r>
              <w:t xml:space="preserve">Phase 3 (2024-2025)</w:t>
            </w:r>
          </w:p>
        </w:tc>
      </w:tr>
      <w:tr>
        <w:tc>
          <w:tcPr/>
          <w:p>
            <w:pPr>
              <w:pStyle w:val="Compact"/>
              <w:jc w:val="left"/>
            </w:pPr>
            <w:r>
              <w:rPr>
                <w:bCs/>
                <w:b/>
              </w:rPr>
              <w:t xml:space="preserve">核心目标</w:t>
            </w:r>
          </w:p>
        </w:tc>
        <w:tc>
          <w:tcPr/>
          <w:p>
            <w:pPr>
              <w:pStyle w:val="Compact"/>
              <w:jc w:val="left"/>
            </w:pPr>
            <w:r>
              <w:t xml:space="preserve">对齐人类偏好</w:t>
            </w:r>
          </w:p>
        </w:tc>
        <w:tc>
          <w:tcPr/>
          <w:p>
            <w:pPr>
              <w:pStyle w:val="Compact"/>
              <w:jc w:val="left"/>
            </w:pPr>
            <w:r>
              <w:t xml:space="preserve">简化偏好优化流程</w:t>
            </w:r>
          </w:p>
        </w:tc>
        <w:tc>
          <w:tcPr/>
          <w:p>
            <w:pPr>
              <w:pStyle w:val="Compact"/>
              <w:jc w:val="left"/>
            </w:pPr>
            <w:r>
              <w:t xml:space="preserve">激发推理能力</w:t>
            </w:r>
          </w:p>
        </w:tc>
      </w:tr>
      <w:tr>
        <w:tc>
          <w:tcPr/>
          <w:p>
            <w:pPr>
              <w:pStyle w:val="Compact"/>
              <w:jc w:val="left"/>
            </w:pPr>
            <w:r>
              <w:rPr>
                <w:bCs/>
                <w:b/>
              </w:rPr>
              <w:t xml:space="preserve">数据类型</w:t>
            </w:r>
          </w:p>
        </w:tc>
        <w:tc>
          <w:tcPr/>
          <w:p>
            <w:pPr>
              <w:pStyle w:val="Compact"/>
              <w:jc w:val="left"/>
            </w:pPr>
            <w:r>
              <w:t xml:space="preserve">人类排序的偏好对</w:t>
            </w:r>
          </w:p>
        </w:tc>
        <w:tc>
          <w:tcPr/>
          <w:p>
            <w:pPr>
              <w:pStyle w:val="Compact"/>
              <w:jc w:val="left"/>
            </w:pPr>
            <w:r>
              <w:t xml:space="preserve">成对/二元偏好数据</w:t>
            </w:r>
          </w:p>
        </w:tc>
        <w:tc>
          <w:tcPr/>
          <w:p>
            <w:pPr>
              <w:pStyle w:val="Compact"/>
              <w:jc w:val="left"/>
            </w:pPr>
            <w:r>
              <w:t xml:space="preserve">带可验证答案的问题</w:t>
            </w:r>
          </w:p>
        </w:tc>
      </w:tr>
      <w:tr>
        <w:tc>
          <w:tcPr/>
          <w:p>
            <w:pPr>
              <w:pStyle w:val="Compact"/>
              <w:jc w:val="left"/>
            </w:pPr>
            <w:r>
              <w:rPr>
                <w:bCs/>
                <w:b/>
              </w:rPr>
              <w:t xml:space="preserve">数据规模</w:t>
            </w:r>
          </w:p>
        </w:tc>
        <w:tc>
          <w:tcPr/>
          <w:p>
            <w:pPr>
              <w:pStyle w:val="Compact"/>
              <w:jc w:val="left"/>
            </w:pPr>
            <w:r>
              <w:t xml:space="preserve">数万至数十万偏好对</w:t>
            </w:r>
          </w:p>
        </w:tc>
        <w:tc>
          <w:tcPr/>
          <w:p>
            <w:pPr>
              <w:pStyle w:val="Compact"/>
              <w:jc w:val="left"/>
            </w:pPr>
            <w:r>
              <w:t xml:space="preserve">数万偏好对</w:t>
            </w:r>
          </w:p>
        </w:tc>
        <w:tc>
          <w:tcPr/>
          <w:p>
            <w:pPr>
              <w:pStyle w:val="Compact"/>
              <w:jc w:val="left"/>
            </w:pPr>
            <w:r>
              <w:t xml:space="preserve">数千至数万个问题</w:t>
            </w:r>
          </w:p>
        </w:tc>
      </w:tr>
      <w:tr>
        <w:tc>
          <w:tcPr/>
          <w:p>
            <w:pPr>
              <w:pStyle w:val="Compact"/>
              <w:jc w:val="left"/>
            </w:pPr>
            <w:r>
              <w:rPr>
                <w:bCs/>
                <w:b/>
              </w:rPr>
              <w:t xml:space="preserve">评估指标</w:t>
            </w:r>
          </w:p>
        </w:tc>
        <w:tc>
          <w:tcPr/>
          <w:p>
            <w:pPr>
              <w:pStyle w:val="Compact"/>
              <w:jc w:val="left"/>
            </w:pPr>
            <w:r>
              <w:t xml:space="preserve">胜率, MT-Bench</w:t>
            </w:r>
          </w:p>
        </w:tc>
        <w:tc>
          <w:tcPr/>
          <w:p>
            <w:pPr>
              <w:pStyle w:val="Compact"/>
              <w:jc w:val="left"/>
            </w:pPr>
            <w:r>
              <w:t xml:space="preserve">LC Win Rate, Arena-Hard</w:t>
            </w:r>
          </w:p>
        </w:tc>
        <w:tc>
          <w:tcPr/>
          <w:p>
            <w:pPr>
              <w:pStyle w:val="Compact"/>
              <w:jc w:val="left"/>
            </w:pPr>
            <w:r>
              <w:t xml:space="preserve">Pass@1, 多数投票</w:t>
            </w:r>
          </w:p>
        </w:tc>
      </w:tr>
      <w:tr>
        <w:tc>
          <w:tcPr/>
          <w:p>
            <w:pPr>
              <w:pStyle w:val="Compact"/>
              <w:jc w:val="left"/>
            </w:pPr>
            <w:r>
              <w:rPr>
                <w:bCs/>
                <w:b/>
              </w:rPr>
              <w:t xml:space="preserve">训练成本</w:t>
            </w:r>
          </w:p>
        </w:tc>
        <w:tc>
          <w:tcPr/>
          <w:p>
            <w:pPr>
              <w:pStyle w:val="Compact"/>
              <w:jc w:val="left"/>
            </w:pPr>
            <w:r>
              <w:t xml:space="preserve">百万美元级</w:t>
            </w:r>
          </w:p>
        </w:tc>
        <w:tc>
          <w:tcPr/>
          <w:p>
            <w:pPr>
              <w:pStyle w:val="Compact"/>
              <w:jc w:val="left"/>
            </w:pPr>
            <w:r>
              <w:t xml:space="preserve">十万美元级</w:t>
            </w:r>
          </w:p>
        </w:tc>
        <w:tc>
          <w:tcPr/>
          <w:p>
            <w:pPr>
              <w:pStyle w:val="Compact"/>
              <w:jc w:val="left"/>
            </w:pPr>
            <w:r>
              <w:t xml:space="preserve">数十至数千美元</w:t>
            </w:r>
          </w:p>
        </w:tc>
      </w:tr>
      <w:tr>
        <w:tc>
          <w:tcPr/>
          <w:p>
            <w:pPr>
              <w:pStyle w:val="Compact"/>
              <w:jc w:val="left"/>
            </w:pPr>
            <w:r>
              <w:rPr>
                <w:bCs/>
                <w:b/>
              </w:rPr>
              <w:t xml:space="preserve">关键技术</w:t>
            </w:r>
          </w:p>
        </w:tc>
        <w:tc>
          <w:tcPr/>
          <w:p>
            <w:pPr>
              <w:pStyle w:val="Compact"/>
              <w:jc w:val="left"/>
            </w:pPr>
            <w:r>
              <w:t xml:space="preserve">GAE, KL penalty</w:t>
            </w:r>
          </w:p>
        </w:tc>
        <w:tc>
          <w:tcPr/>
          <w:p>
            <w:pPr>
              <w:pStyle w:val="Compact"/>
              <w:jc w:val="left"/>
            </w:pPr>
            <w:r>
              <w:t xml:space="preserve">Bradley-Terry, 闭式奖励</w:t>
            </w:r>
          </w:p>
        </w:tc>
        <w:tc>
          <w:tcPr/>
          <w:p>
            <w:pPr>
              <w:pStyle w:val="Compact"/>
              <w:jc w:val="left"/>
            </w:pPr>
            <w:r>
              <w:t xml:space="preserve">组采样, 动态过滤, Clip-Higher</w:t>
            </w:r>
          </w:p>
        </w:tc>
      </w:tr>
      <w:tr>
        <w:tc>
          <w:tcPr/>
          <w:p>
            <w:pPr>
              <w:pStyle w:val="Compact"/>
              <w:jc w:val="left"/>
            </w:pPr>
            <w:r>
              <w:rPr>
                <w:bCs/>
                <w:b/>
              </w:rPr>
              <w:t xml:space="preserve">超参数敏感度</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 (组大小G, 学习率)</w:t>
            </w:r>
          </w:p>
        </w:tc>
      </w:tr>
      <w:tr>
        <w:tc>
          <w:tcPr/>
          <w:p>
            <w:pPr>
              <w:pStyle w:val="Compact"/>
              <w:jc w:val="left"/>
            </w:pPr>
            <w:r>
              <w:rPr>
                <w:bCs/>
                <w:b/>
              </w:rPr>
              <w:t xml:space="preserve">开源框架</w:t>
            </w:r>
          </w:p>
        </w:tc>
        <w:tc>
          <w:tcPr/>
          <w:p>
            <w:pPr>
              <w:pStyle w:val="Compact"/>
              <w:jc w:val="left"/>
            </w:pPr>
            <w:r>
              <w:t xml:space="preserve">DeepSpeed, Megatron</w:t>
            </w:r>
          </w:p>
        </w:tc>
        <w:tc>
          <w:tcPr/>
          <w:p>
            <w:pPr>
              <w:pStyle w:val="Compact"/>
              <w:jc w:val="left"/>
            </w:pPr>
            <w:r>
              <w:t xml:space="preserve">TRL, LLaMA-Factory</w:t>
            </w:r>
          </w:p>
        </w:tc>
        <w:tc>
          <w:tcPr/>
          <w:p>
            <w:pPr>
              <w:pStyle w:val="Compact"/>
              <w:jc w:val="left"/>
            </w:pPr>
            <w:r>
              <w:t xml:space="preserve">VERL, AReaL, OpenRLHF</w:t>
            </w:r>
          </w:p>
        </w:tc>
      </w:tr>
      <w:tr>
        <w:tc>
          <w:tcPr/>
          <w:p>
            <w:pPr>
              <w:pStyle w:val="Compact"/>
              <w:jc w:val="left"/>
            </w:pPr>
            <w:r>
              <w:rPr>
                <w:bCs/>
                <w:b/>
              </w:rPr>
              <w:t xml:space="preserve">社区复现难度</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r>
    </w:tbl>
    <w:p>
      <w:pPr>
        <w:pStyle w:val="BodyText"/>
      </w:pPr>
      <w:r>
        <w:t xml:space="preserve">这一对比揭示了引人注目的”Less is More”趋势。Phase 3在模型组件和数据需求上均呈反向收缩——数千个可验证问题即可激发强大推理能力，训练成本从百万美元级降至数十美元级（TinyZero不到$30）</w:t>
      </w:r>
      <w:fldSimple w:instr="NOTEREF _Ref_Footnote_13 \h \f">
        <w:r>
          <w:rPr>
            <w:vertAlign w:val="superscript"/>
          </w:rPr>
          <w:t>13</w:t>
        </w:r>
      </w:fldSimple>
      <w:r>
        <w:t xml:space="preserve">，社区复现难度大幅降低。Open-R1、SimpleRL-Zoo、TinyZero等开源项目于2025年初集中涌现，标志LLM+RL训练正从大型机构专属能力转变为全球研究社区可广泛参与的技术实践。评估体系也经历显著变迁：Phase 1-2依赖偏好模型的自动化胜率判断，存在长度偏差</w:t>
      </w:r>
      <w:r>
        <w:t xml:space="preserve"> </w:t>
      </w:r>
      <w:r>
        <w:rPr>
          <w:vertAlign w:val="superscript"/>
        </w:rPr>
        <w:footnoteReference w:id="15"/>
      </w:r>
      <w:r>
        <w:t xml:space="preserve">；Phase 3转向客观正确率评估，但GSM8K已达97.1%饱和，AIME每年仅30题的有限规模也带来新挑战。</w:t>
      </w:r>
    </w:p>
    <w:bookmarkEnd w:id="26"/>
    <w:bookmarkEnd w:id="27"/>
    <w:bookmarkStart w:id="31" w:name="研究核心发现概览"/>
    <w:p>
      <w:pPr>
        <w:pStyle w:val="Heading3"/>
      </w:pPr>
      <w:r>
        <w:t xml:space="preserve">1.3 研究核心发现概览</w:t>
      </w:r>
    </w:p>
    <w:bookmarkStart w:id="28" w:name="从偏好对齐到能力激发的根本性范式转变"/>
    <w:p>
      <w:pPr>
        <w:pStyle w:val="Heading4"/>
      </w:pPr>
      <w:r>
        <w:t xml:space="preserve">1.3.1 从”偏好对齐”到”能力激发”的根本性范式转变</w:t>
      </w:r>
    </w:p>
    <w:p>
      <w:pPr>
        <w:pStyle w:val="FirstParagraph"/>
      </w:pPr>
      <w:r>
        <w:t xml:space="preserve">本研究最核心的发现是LLM+RL正经历从”对齐人类偏好”到”激发模型内在能力”的根本性范式转变。传统RLHF使模型输出符合人类偏好判断——本质上是主观的、基于模仿的。RLVR通过可验证奖励引导模型探索正确解空间——信号是客观的、基于发现的。DeepSeek-R1-Zero中涌现的反思、多解法尝试等行为表明，RL可从预训练模型中挖掘潜藏能力，</w:t>
      </w:r>
      <w:r>
        <w:t xml:space="preserve">“</w:t>
      </w:r>
      <w:r>
        <w:t xml:space="preserve">推理能力</w:t>
      </w:r>
      <w:r>
        <w:t xml:space="preserve">”</w:t>
      </w:r>
      <w:r>
        <w:t xml:space="preserve">可能并非新教给模型，而是通过RL从已有知识中激发出来的。</w:t>
      </w:r>
    </w:p>
    <w:bookmarkEnd w:id="28"/>
    <w:bookmarkStart w:id="29" w:name="grpo及其变体正在成为事实上的训练标准"/>
    <w:p>
      <w:pPr>
        <w:pStyle w:val="Heading4"/>
      </w:pPr>
      <w:r>
        <w:t xml:space="preserve">1.3.2 GRPO及其变体正在成为事实上的训练标准</w:t>
      </w:r>
    </w:p>
    <w:p>
      <w:pPr>
        <w:pStyle w:val="FirstParagraph"/>
      </w:pPr>
      <w:r>
        <w:t xml:space="preserve">交叉验证数据表明，GRPO及其变体已形成LLM+RL推理训练的事实标准。从DeepSeek-R1（671B）到Open-RS（1.5B），主流推理模型在后训练阶段均采用GRPO或其衍生算法</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。框架层面，VERL（2.77x加速）、AReaL（完全异步架构）等已全面以GRPO为核心</w:t>
      </w:r>
      <w:r>
        <w:t xml:space="preserve"> </w:t>
      </w:r>
      <w:r>
        <w:rPr>
          <w:vertAlign w:val="superscript"/>
        </w:rPr>
        <w:footnoteReference w:id="16"/>
      </w:r>
      <w:r>
        <w:t xml:space="preserve">。2024-2025年间GRPO变体爆发式增长，本研究梳理超40种变体，涵盖偏差修正（Dr.GRPO）、稳定性增强（GMPO、SAPO）、效率优化（DAPO）和价值模型回归（VAPO，在Qwen-32B上达AIME 2024的60.4分SOTA</w:t>
      </w:r>
      <w:r>
        <w:t xml:space="preserve"> </w:t>
      </w:r>
      <w:fldSimple w:instr="NOTEREF _Ref_Footnote_5 \h \f">
        <w:r>
          <w:rPr>
            <w:vertAlign w:val="superscript"/>
          </w:rPr>
          <w:t>5</w:t>
        </w:r>
      </w:fldSimple>
      <w:r>
        <w:t xml:space="preserve">）等方向。超参数调优也因GRPO简洁架构而大幅简化。</w:t>
      </w:r>
    </w:p>
    <w:bookmarkEnd w:id="29"/>
    <w:bookmarkStart w:id="30" w:name="less-is-more中等难度样本的rl数据效率悖论"/>
    <w:p>
      <w:pPr>
        <w:pStyle w:val="Heading4"/>
      </w:pPr>
      <w:r>
        <w:t xml:space="preserve">1.3.3</w:t>
      </w:r>
      <w:r>
        <w:t xml:space="preserve"> </w:t>
      </w:r>
      <w:r>
        <w:t xml:space="preserve">“</w:t>
      </w:r>
      <w:r>
        <w:t xml:space="preserve">Less is More</w:t>
      </w:r>
      <w:r>
        <w:t xml:space="preserve">”</w:t>
      </w:r>
      <w:r>
        <w:t xml:space="preserve">——中等难度样本的RL数据效率悖论</w:t>
      </w:r>
    </w:p>
    <w:p>
      <w:pPr>
        <w:pStyle w:val="FirstParagraph"/>
      </w:pPr>
      <w:r>
        <w:t xml:space="preserve">与传统深度学习”更多数据=更好性能”的直觉相反，LLM+RL中的数据筛选研究表明，少量高质量样本往往优于全量训练。LIMR仅使用16% curated数据即超越全量训练</w:t>
      </w:r>
      <w:r>
        <w:t xml:space="preserve"> </w:t>
      </w:r>
      <w:fldSimple w:instr="NOTEREF _Ref_Footnote_3 \h \f">
        <w:r>
          <w:rPr>
            <w:vertAlign w:val="superscript"/>
          </w:rPr>
          <w:t>3</w:t>
        </w:r>
      </w:fldSimple>
      <w:r>
        <w:t xml:space="preserve">，FastCuRL减少50%以上训练步骤同时提升性能。SPEED-RL验证通过率约0.5的样本提供最大梯度信号——样本太容易（通过率≈1）或太难（通过率≈0）时，模型无法获得有效学习信号</w:t>
      </w:r>
      <w:r>
        <w:t xml:space="preserve"> </w:t>
      </w:r>
      <w:fldSimple w:instr="NOTEREF _Ref_Footnote_3 \h \f">
        <w:r>
          <w:rPr>
            <w:vertAlign w:val="superscript"/>
          </w:rPr>
          <w:t>3</w:t>
        </w:r>
      </w:fldSimple>
      <w:r>
        <w:t xml:space="preserve">。这一悖论在RLVR中尤为突出：R1-Zero仅需数千个可验证问题即可激发强大推理能力，而传统RLHF通常需数十万偏好对。RL训练数据构建正从”大规模采集”转向”精心策划”，自动化难度评估和动态筛选正在成为标准步骤。</w:t>
      </w:r>
    </w:p>
    <w:bookmarkEnd w:id="30"/>
    <w:bookmarkEnd w:id="31"/>
    <w:bookmarkEnd w:id="32"/>
    <w:bookmarkStart w:id="60" w:name="核心算法体系从ppo到grpo"/>
    <w:p>
      <w:pPr>
        <w:pStyle w:val="Heading2"/>
      </w:pPr>
      <w:r>
        <w:t xml:space="preserve">2. 核心算法体系：从PPO到GRPO</w:t>
      </w:r>
    </w:p>
    <w:p>
      <w:pPr>
        <w:pStyle w:val="FirstParagraph"/>
      </w:pPr>
      <w:r>
        <w:t xml:space="preserve">LLM（Large Language Model，大语言模型）与RL（Reinforcement Learning，强化学习）的融合经历了三次范式跃迁：从PPO（Proximal Policy Optimization，近端策略优化）主导的多阶段RLHF流程，到DPO（Direct Preference Optimization，直接偏好优化）开启的离线偏好优化时代，再到GRPO（Group Relative Policy Optimization，组相对策略优化）引领的无Critic强化学习浪潮。本章系统梳理各方法的核心公式、典型配置与适用场景，为算法选择提供定量依据。</w:t>
      </w:r>
    </w:p>
    <w:p>
      <w:pPr>
        <w:pStyle w:val="CaptionedFigure"/>
      </w:pPr>
      <w:r>
        <w:drawing>
          <wp:inline>
            <wp:extent cx="5334000" cy="2253586"/>
            <wp:effectExtent b="0" l="0" r="0" t="0"/>
            <wp:docPr descr="LLM+RL核心算法演进时间线" title="" id="34" name="Picture"/>
            <a:graphic>
              <a:graphicData uri="http://schemas.openxmlformats.org/drawingml/2006/picture">
                <pic:pic>
                  <pic:nvPicPr>
                    <pic:cNvPr descr="fig_sec02_algorithm_timeline.png" id="35" name="Picture"/>
                    <pic:cNvPicPr>
                      <a:picLocks noChangeArrowheads="1" noChangeAspect="1"/>
                    </pic:cNvPicPr>
                  </pic:nvPicPr>
                  <pic:blipFill>
                    <a:blip r:embed="rId33"/>
                    <a:stretch>
                      <a:fillRect/>
                    </a:stretch>
                  </pic:blipFill>
                  <pic:spPr bwMode="auto">
                    <a:xfrm>
                      <a:off x="0" y="0"/>
                      <a:ext cx="5334000" cy="2253586"/>
                    </a:xfrm>
                    <a:prstGeom prst="rect">
                      <a:avLst/>
                    </a:prstGeom>
                    <a:noFill/>
                    <a:ln w="9525">
                      <a:noFill/>
                      <a:headEnd/>
                      <a:tailEnd/>
                    </a:ln>
                  </pic:spPr>
                </pic:pic>
              </a:graphicData>
            </a:graphic>
          </wp:inline>
        </w:drawing>
      </w:r>
    </w:p>
    <w:p>
      <w:pPr>
        <w:pStyle w:val="ImageCaption"/>
      </w:pPr>
      <w:r>
        <w:t xml:space="preserve">LLM+RL核心算法演进时间线</w:t>
      </w:r>
    </w:p>
    <w:p>
      <w:pPr>
        <w:pStyle w:val="BodyText"/>
      </w:pPr>
      <w:r>
        <w:rPr>
          <w:iCs/>
          <w:i/>
        </w:rPr>
        <w:t xml:space="preserve">图2-1 LLM+RL核心算法演进时间线。自2022年PPO应用于RLHF以来，算法演进呈现三大趋势：离线化（PPO→DPO）、简化（DPO→SimPO/ORPO）和去Critic化（PPO→GRPO）。GRPO及其变体在2024年后成为推理训练的主流范式。</w:t>
      </w:r>
    </w:p>
    <w:bookmarkStart w:id="39" w:name="ppo与经典rlhf"/>
    <w:p>
      <w:pPr>
        <w:pStyle w:val="Heading3"/>
      </w:pPr>
      <w:r>
        <w:t xml:space="preserve">2.1 PPO与经典RLHF</w:t>
      </w:r>
    </w:p>
    <w:bookmarkStart w:id="36" w:name="ppo在llm中的标准实现"/>
    <w:p>
      <w:pPr>
        <w:pStyle w:val="Heading4"/>
      </w:pPr>
      <w:r>
        <w:t xml:space="preserve">2.1.1 PPO在LLM中的标准实现</w:t>
      </w:r>
    </w:p>
    <w:p>
      <w:pPr>
        <w:pStyle w:val="FirstParagraph"/>
      </w:pPr>
      <w:r>
        <w:t xml:space="preserve">PPO是OpenAI在InstructGPT</w:t>
      </w:r>
      <w:r>
        <w:t xml:space="preserve"> </w:t>
      </w:r>
      <w:fldSimple w:instr="NOTEREF _Ref_Footnote_6 \h \f">
        <w:r>
          <w:rPr>
            <w:vertAlign w:val="superscript"/>
          </w:rPr>
          <w:t>6</w:t>
        </w:r>
      </w:fldSimple>
      <w:r>
        <w:t xml:space="preserve">中确立的RLHF标准算法，其标准实现采用Actor-Critic架构。Actor模型（即被训练的语言模型）负责生成响应，Critic模型（通常是与Actor同规模或更小规模的独立网络）负责评估每个状态的价值函数。两者的协同通过GAE（Generalized Advantage Estimation，广义优势估计）实现：</w:t>
      </w:r>
    </w:p>
    <w:p>
      <w:pPr>
        <w:pStyle w:val="BodyText"/>
      </w:pPr>
      <m:oMathPara>
        <m:oMathParaPr>
          <m:jc m:val="center"/>
        </m:oMathParaPr>
        <m:oMath>
          <m:sSubSup>
            <m:e>
              <m:acc>
                <m:accPr>
                  <m:chr m:val="̂"/>
                </m:accPr>
                <m:e>
                  <m:r>
                    <m:t>A</m:t>
                  </m:r>
                </m:e>
              </m:acc>
            </m:e>
            <m:sub>
              <m:r>
                <m:t>t</m:t>
              </m:r>
            </m:sub>
            <m:sup>
              <m:r>
                <m:t>G</m:t>
              </m:r>
              <m:r>
                <m:t>A</m:t>
              </m:r>
              <m:r>
                <m:t>E</m:t>
              </m:r>
            </m:sup>
          </m:sSubSup>
          <m:r>
            <m:rPr>
              <m:sty m:val="p"/>
            </m:rPr>
            <m:t>=</m:t>
          </m:r>
          <m:nary>
            <m:naryPr>
              <m:chr m:val="∑"/>
              <m:limLoc m:val="undOvr"/>
              <m:subHide m:val="0"/>
              <m:supHide m:val="0"/>
            </m:naryPr>
            <m:sub>
              <m:r>
                <m:t>l</m:t>
              </m:r>
              <m:r>
                <m:rPr>
                  <m:sty m:val="p"/>
                </m:rPr>
                <m:t>=</m:t>
              </m:r>
              <m:r>
                <m:t>0</m:t>
              </m:r>
            </m:sub>
            <m:sup>
              <m:r>
                <m:rPr>
                  <m:sty m:val="p"/>
                </m:rPr>
                <m:t>∞</m:t>
              </m:r>
            </m:sup>
            <m:e>
              <m:sSup>
                <m:e>
                  <m:d>
                    <m:dPr>
                      <m:begChr m:val="("/>
                      <m:endChr m:val=")"/>
                      <m:sepChr m:val=""/>
                      <m:grow/>
                    </m:dPr>
                    <m:e>
                      <m:r>
                        <m:t>γ</m:t>
                      </m:r>
                      <m:r>
                        <m:t>λ</m:t>
                      </m:r>
                    </m:e>
                  </m:d>
                </m:e>
                <m:sup>
                  <m:r>
                    <m:t>l</m:t>
                  </m:r>
                </m:sup>
              </m:sSup>
            </m:e>
          </m:nary>
          <m:sSubSup>
            <m:e>
              <m:r>
                <m:t>δ</m:t>
              </m:r>
            </m:e>
            <m:sub>
              <m:r>
                <m:t>t</m:t>
              </m:r>
              <m:r>
                <m:rPr>
                  <m:sty m:val="p"/>
                </m:rPr>
                <m:t>+</m:t>
              </m:r>
              <m:r>
                <m:t>l</m:t>
              </m:r>
            </m:sub>
            <m:sup>
              <m:r>
                <m:t>V</m:t>
              </m:r>
            </m:sup>
          </m:sSubSup>
        </m:oMath>
      </m:oMathPara>
    </w:p>
    <w:p>
      <w:pPr>
        <w:pStyle w:val="FirstParagraph"/>
      </w:pPr>
      <w:r>
        <w:t xml:space="preserve">其中</w:t>
      </w:r>
      <w:r>
        <w:t xml:space="preserve"> </w:t>
      </w:r>
      <m:oMath>
        <m:sSubSup>
          <m:e>
            <m:r>
              <m:t>δ</m:t>
            </m:r>
          </m:e>
          <m:sub>
            <m:r>
              <m:t>t</m:t>
            </m:r>
          </m:sub>
          <m:sup>
            <m:r>
              <m:t>V</m:t>
            </m:r>
          </m:sup>
        </m:sSubSup>
        <m:r>
          <m:rPr>
            <m:sty m:val="p"/>
          </m:rPr>
          <m:t>=</m:t>
        </m:r>
        <m:sSub>
          <m:e>
            <m:r>
              <m:t>r</m:t>
            </m:r>
          </m:e>
          <m:sub>
            <m:r>
              <m:t>t</m:t>
            </m:r>
          </m:sub>
        </m:sSub>
        <m:r>
          <m:rPr>
            <m:sty m:val="p"/>
          </m:rPr>
          <m:t>+</m:t>
        </m:r>
        <m:r>
          <m:t>γ</m:t>
        </m:r>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oMath>
      <w:r>
        <w:t xml:space="preserve"> </w:t>
      </w:r>
      <w:r>
        <w:t xml:space="preserve">为时序差分残差，</w:t>
      </w:r>
      <m:oMath>
        <m:r>
          <m:t>γ</m:t>
        </m:r>
      </m:oMath>
      <w:r>
        <w:t xml:space="preserve"> </w:t>
      </w:r>
      <w:r>
        <w:t xml:space="preserve">为折扣因子，</w:t>
      </w:r>
      <m:oMath>
        <m:r>
          <m:t>λ</m:t>
        </m:r>
        <m:r>
          <m:rPr>
            <m:sty m:val="p"/>
          </m:rPr>
          <m:t>∈</m:t>
        </m:r>
        <m:d>
          <m:dPr>
            <m:begChr m:val="["/>
            <m:endChr m:val="]"/>
            <m:sepChr m:val=""/>
            <m:grow/>
          </m:dPr>
          <m:e>
            <m:r>
              <m:t>0</m:t>
            </m:r>
            <m:r>
              <m:rPr>
                <m:sty m:val="p"/>
              </m:rPr>
              <m:t>,</m:t>
            </m:r>
            <m:r>
              <m:t>1</m:t>
            </m:r>
          </m:e>
        </m:d>
      </m:oMath>
      <w:r>
        <w:t xml:space="preserve"> </w:t>
      </w:r>
      <w:r>
        <w:t xml:space="preserve">控制偏差-方差权衡。在LLM场景中，由于生成任务通常被视为episodic（每个序列独立），</w:t>
      </w:r>
      <m:oMath>
        <m:r>
          <m:t>γ</m:t>
        </m:r>
      </m:oMath>
      <w:r>
        <w:t xml:space="preserve"> </w:t>
      </w:r>
      <w:r>
        <w:t xml:space="preserve">和</w:t>
      </w:r>
      <w:r>
        <w:t xml:space="preserve"> </w:t>
      </w:r>
      <m:oMath>
        <m:r>
          <m:t>λ</m:t>
        </m:r>
      </m:oMath>
      <w:r>
        <w:t xml:space="preserve"> </w:t>
      </w:r>
      <w:r>
        <w:t xml:space="preserve">常被设为1</w:t>
      </w:r>
      <w:r>
        <w:t xml:space="preserve"> </w:t>
      </w:r>
      <w:fldSimple w:instr="NOTEREF _Ref_Footnote_11 \h \f">
        <w:r>
          <w:rPr>
            <w:vertAlign w:val="superscript"/>
          </w:rPr>
          <w:t>11</w:t>
        </w:r>
      </w:fldSimple>
      <w:r>
        <w:t xml:space="preserve">。</w:t>
      </w:r>
    </w:p>
    <w:p>
      <w:pPr>
        <w:pStyle w:val="BodyText"/>
      </w:pPr>
      <w:r>
        <w:t xml:space="preserve">PPO的核心创新在于Clipped Surrogate Objective，限制策略更新的幅度以避免训练崩溃：</w:t>
      </w:r>
    </w:p>
    <w:p>
      <w:pPr>
        <w:pStyle w:val="BodyText"/>
      </w:pPr>
      <m:oMathPara>
        <m:oMathParaPr>
          <m:jc m:val="center"/>
        </m:oMathParaPr>
        <m:oMath>
          <m:sSup>
            <m:e>
              <m:r>
                <m:rPr>
                  <m:sty m:val="p"/>
                  <m:scr m:val="script"/>
                </m:rPr>
                <m:t>L</m:t>
              </m:r>
            </m:e>
            <m:sup>
              <m:r>
                <m:t>C</m:t>
              </m:r>
              <m:r>
                <m:t>L</m:t>
              </m:r>
              <m:r>
                <m:t>I</m:t>
              </m:r>
              <m:r>
                <m:t>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t> </m:t>
                  </m:r>
                  <m:r>
                    <m:rPr>
                      <m:nor/>
                      <m:sty m:val="p"/>
                    </m:rPr>
                    <m:t>clip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w:r>
        <w:t xml:space="preserve">其中</w:t>
      </w:r>
      <w:r>
        <w:t xml:space="preserve"> </w:t>
      </w:r>
      <m:oMath>
        <m:sSub>
          <m:e>
            <m:r>
              <m:t>r</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s</m:t>
                    </m:r>
                  </m:e>
                  <m:sub>
                    <m:r>
                      <m:t>t</m:t>
                    </m:r>
                  </m:sub>
                </m:sSub>
              </m:e>
            </m:d>
          </m:num>
          <m:den>
            <m:sSub>
              <m:e>
                <m:r>
                  <m:t>π</m:t>
                </m:r>
              </m:e>
              <m:sub>
                <m:sSub>
                  <m:e>
                    <m:r>
                      <m:t>θ</m:t>
                    </m:r>
                  </m:e>
                  <m:sub>
                    <m:r>
                      <m:t>o</m:t>
                    </m:r>
                    <m:r>
                      <m:t>l</m:t>
                    </m:r>
                    <m:r>
                      <m:t>d</m:t>
                    </m:r>
                  </m:sub>
                </m:sSub>
              </m:sub>
            </m:sSub>
            <m:d>
              <m:dPr>
                <m:begChr m:val="("/>
                <m:endChr m:val=")"/>
                <m:sepChr m:val=""/>
                <m:grow/>
              </m:dPr>
              <m:e>
                <m:sSub>
                  <m:e>
                    <m:r>
                      <m:t>a</m:t>
                    </m:r>
                  </m:e>
                  <m:sub>
                    <m:r>
                      <m:t>t</m:t>
                    </m:r>
                  </m:sub>
                </m:sSub>
                <m:r>
                  <m:rPr>
                    <m:sty m:val="p"/>
                  </m:rPr>
                  <m:t>|</m:t>
                </m:r>
                <m:sSub>
                  <m:e>
                    <m:r>
                      <m:t>s</m:t>
                    </m:r>
                  </m:e>
                  <m:sub>
                    <m:r>
                      <m:t>t</m:t>
                    </m:r>
                  </m:sub>
                </m:sSub>
              </m:e>
            </m:d>
          </m:den>
        </m:f>
      </m:oMath>
      <w:r>
        <w:t xml:space="preserve"> </w:t>
      </w:r>
      <w:r>
        <w:t xml:space="preserve">为重要性采样比率，</w:t>
      </w:r>
      <m:oMath>
        <m:r>
          <m:t>ϵ</m:t>
        </m:r>
      </m:oMath>
      <w:r>
        <w:t xml:space="preserve"> </w:t>
      </w:r>
      <w:r>
        <w:t xml:space="preserve">通常为0.2。此外，KL散度约束</w:t>
      </w:r>
      <w:r>
        <w:t xml:space="preserve"> </w:t>
      </w:r>
      <m:oMath>
        <m:r>
          <m:t>β</m:t>
        </m:r>
        <m:r>
          <m:rPr>
            <m:sty m:val="p"/>
          </m:rPr>
          <m:t>⋅</m:t>
        </m:r>
        <m:sSub>
          <m:e>
            <m:r>
              <m:t>D</m:t>
            </m:r>
          </m:e>
          <m:sub>
            <m:r>
              <m:t>K</m:t>
            </m:r>
            <m:r>
              <m:t>L</m:t>
            </m:r>
          </m:sub>
        </m:sSub>
        <m:d>
          <m:dPr>
            <m:begChr m:val="["/>
            <m:endChr m:val="]"/>
            <m:sepChr m:val=""/>
            <m:grow/>
          </m:dPr>
          <m:e>
            <m:sSub>
              <m:e>
                <m:r>
                  <m:t>π</m:t>
                </m:r>
              </m:e>
              <m:sub>
                <m:r>
                  <m:t>θ</m:t>
                </m:r>
              </m:sub>
            </m:sSub>
            <m:r>
              <m:rPr>
                <m:sty m:val="p"/>
              </m:rPr>
              <m:t>∥</m:t>
            </m:r>
            <m:sSub>
              <m:e>
                <m:r>
                  <m:t>π</m:t>
                </m:r>
              </m:e>
              <m:sub>
                <m:r>
                  <m:t>r</m:t>
                </m:r>
                <m:r>
                  <m:t>e</m:t>
                </m:r>
                <m:r>
                  <m:t>f</m:t>
                </m:r>
              </m:sub>
            </m:sSub>
          </m:e>
        </m:d>
      </m:oMath>
      <w:r>
        <w:t xml:space="preserve"> </w:t>
      </w:r>
      <w:r>
        <w:t xml:space="preserve">被添加到奖励函数中，防止策略偏离参考模型过远</w:t>
      </w:r>
      <w:r>
        <w:t xml:space="preserve"> </w:t>
      </w:r>
      <w:fldSimple w:instr="NOTEREF _Ref_Footnote_6 \h \f">
        <w:r>
          <w:rPr>
            <w:vertAlign w:val="superscript"/>
          </w:rPr>
          <w:t>6</w:t>
        </w:r>
      </w:fldSimple>
      <w:r>
        <w:t xml:space="preserve">。</w:t>
      </w:r>
    </w:p>
    <w:bookmarkEnd w:id="36"/>
    <w:bookmarkStart w:id="37" w:name="icml-2024全面对比ppo与dpo的适用边界"/>
    <w:p>
      <w:pPr>
        <w:pStyle w:val="Heading4"/>
      </w:pPr>
      <w:r>
        <w:t xml:space="preserve">2.1.2 ICML 2024全面对比：PPO与DPO的适用边界</w:t>
      </w:r>
    </w:p>
    <w:p>
      <w:pPr>
        <w:pStyle w:val="FirstParagraph"/>
      </w:pPr>
      <w:r>
        <w:t xml:space="preserve">Xu等人在ICML 2024发表的系统性对比研究表明，PPO在需要探索的复杂任务（如代码生成）上显著优于DPO，但训练稳定性更差</w:t>
      </w:r>
      <w:r>
        <w:t xml:space="preserve"> </w:t>
      </w:r>
      <w:fldSimple w:instr="NOTEREF _Ref_Footnote_11 \h \f">
        <w:r>
          <w:rPr>
            <w:vertAlign w:val="superscript"/>
          </w:rPr>
          <w:t>11</w:t>
        </w:r>
      </w:fldSimple>
      <w:r>
        <w:t xml:space="preserve">。实验覆盖HH-RLHF（对话安全）、SafeRLHF（安全对齐）、APPS和CodeContest（代码生成）四个任务领域。结果显示，PPO在APPS和CodeContest上的pass@1分数平均高出DPO 8-12个百分点，这归因于PPO的在线采样机制允许策略在训练过程中探索超出静态偏好数据分布的新解法。相比之下，DPO在HH-RLHF等简单偏好对齐任务上收敛更快、训练更稳定，且无需维护Critic模型，工程实现更为简洁</w:t>
      </w:r>
      <w:r>
        <w:t xml:space="preserve"> </w:t>
      </w:r>
      <w:fldSimple w:instr="NOTEREF _Ref_Footnote_11 \h \f">
        <w:r>
          <w:rPr>
            <w:vertAlign w:val="superscript"/>
          </w:rPr>
          <w:t>11</w:t>
        </w:r>
      </w:fldSimple>
      <w:r>
        <w:t xml:space="preserve">。</w:t>
      </w:r>
    </w:p>
    <w:p>
      <w:pPr>
        <w:pStyle w:val="BodyText"/>
      </w:pPr>
      <w:r>
        <w:t xml:space="preserve">值得注意的是，PPO的训练不稳定性在超参数敏感性和奖励黑客（reward hacking）方面表现突出——不当的KL系数可能导致策略过早收敛到次优解，而优势估计的方差在序列长度超过512 tokens时显著增大</w:t>
      </w:r>
      <w:r>
        <w:t xml:space="preserve"> </w:t>
      </w:r>
      <w:r>
        <w:rPr>
          <w:vertAlign w:val="superscript"/>
        </w:rPr>
        <w:footnoteReference w:id="17"/>
      </w:r>
      <w:r>
        <w:t xml:space="preserve">。</w:t>
      </w:r>
    </w:p>
    <w:bookmarkEnd w:id="37"/>
    <w:bookmarkStart w:id="38" w:name="典型配置"/>
    <w:p>
      <w:pPr>
        <w:pStyle w:val="Heading4"/>
      </w:pPr>
      <w:r>
        <w:t xml:space="preserve">2.1.3 典型配置</w:t>
      </w:r>
    </w:p>
    <w:p>
      <w:pPr>
        <w:pStyle w:val="FirstParagraph"/>
      </w:pPr>
      <w:r>
        <w:t xml:space="preserve">基于ICML 2024的大规模实验和后续开源实现（如OpenRLHF</w:t>
      </w:r>
      <w:r>
        <w:t xml:space="preserve"> </w:t>
      </w:r>
      <w:fldSimple w:instr="NOTEREF _Ref_Footnote_16 \h \f">
        <w:r>
          <w:rPr>
            <w:vertAlign w:val="superscript"/>
          </w:rPr>
          <w:t>16</w:t>
        </w:r>
      </w:fldSimple>
      <w:r>
        <w:t xml:space="preserve">、TRL），PPO在LLM训练中的典型超参数配置如下表所示：</w:t>
      </w:r>
    </w:p>
    <w:p>
      <w:pPr>
        <w:pStyle w:val="BodyText"/>
      </w:pPr>
      <w:r>
        <w:rPr>
          <w:bCs/>
          <w:b/>
        </w:rPr>
        <w:t xml:space="preserve">表2-1 PPO在LLM训练中的典型超参数配置</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参数</w:t>
            </w:r>
          </w:p>
        </w:tc>
        <w:tc>
          <w:tcPr/>
          <w:p>
            <w:pPr>
              <w:pStyle w:val="Compact"/>
              <w:jc w:val="left"/>
            </w:pPr>
            <w:r>
              <w:t xml:space="preserve">典型设置</w:t>
            </w:r>
          </w:p>
        </w:tc>
        <w:tc>
          <w:tcPr/>
          <w:p>
            <w:pPr>
              <w:pStyle w:val="Compact"/>
              <w:jc w:val="left"/>
            </w:pPr>
            <w:r>
              <w:t xml:space="preserve">说明</w:t>
            </w:r>
          </w:p>
        </w:tc>
      </w:tr>
      <w:tr>
        <w:tc>
          <w:tcPr/>
          <w:p>
            <w:pPr>
              <w:pStyle w:val="Compact"/>
              <w:jc w:val="left"/>
            </w:pPr>
            <w:r>
              <w:t xml:space="preserve">Actor学习率</w:t>
            </w:r>
          </w:p>
        </w:tc>
        <w:tc>
          <w:tcPr/>
          <w:p>
            <w:pPr>
              <w:pStyle w:val="Compact"/>
              <w:jc w:val="left"/>
            </w:pPr>
            <m:oMath>
              <m:r>
                <m:t>1</m:t>
              </m:r>
              <m:r>
                <m:rPr>
                  <m:sty m:val="p"/>
                </m:rPr>
                <m:t>×</m:t>
              </m:r>
              <m:sSup>
                <m:e>
                  <m:r>
                    <m:t>10</m:t>
                  </m:r>
                </m:e>
                <m:sup>
                  <m:r>
                    <m:rPr>
                      <m:sty m:val="p"/>
                    </m:rPr>
                    <m:t>−</m:t>
                  </m:r>
                  <m:r>
                    <m:t>5</m:t>
                  </m:r>
                </m:sup>
              </m:sSup>
            </m:oMath>
            <w:r>
              <w:t xml:space="preserve"> </w:t>
            </w:r>
            <w:fldSimple w:instr="NOTEREF _Ref_Footnote_11 \h \f">
              <w:r>
                <w:rPr>
                  <w:vertAlign w:val="superscript"/>
                </w:rPr>
                <w:t>11</w:t>
              </w:r>
            </w:fldSimple>
          </w:p>
        </w:tc>
        <w:tc>
          <w:tcPr/>
          <w:p>
            <w:pPr>
              <w:pStyle w:val="Compact"/>
              <w:jc w:val="left"/>
            </w:pPr>
            <w:r>
              <w:t xml:space="preserve">通常高于Critic以加速策略更新</w:t>
            </w:r>
          </w:p>
        </w:tc>
      </w:tr>
      <w:tr>
        <w:tc>
          <w:tcPr/>
          <w:p>
            <w:pPr>
              <w:pStyle w:val="Compact"/>
              <w:jc w:val="left"/>
            </w:pPr>
            <w:r>
              <w:t xml:space="preserve">Critic学习率</w:t>
            </w:r>
          </w:p>
        </w:tc>
        <w:tc>
          <w:tcPr/>
          <w:p>
            <w:pPr>
              <w:pStyle w:val="Compact"/>
              <w:jc w:val="left"/>
            </w:pPr>
            <m:oMath>
              <m:r>
                <m:t>5</m:t>
              </m:r>
              <m:r>
                <m:rPr>
                  <m:sty m:val="p"/>
                </m:rPr>
                <m:t>×</m:t>
              </m:r>
              <m:sSup>
                <m:e>
                  <m:r>
                    <m:t>10</m:t>
                  </m:r>
                </m:e>
                <m:sup>
                  <m:r>
                    <m:rPr>
                      <m:sty m:val="p"/>
                    </m:rPr>
                    <m:t>−</m:t>
                  </m:r>
                  <m:r>
                    <m:t>6</m:t>
                  </m:r>
                </m:sup>
              </m:sSup>
            </m:oMath>
            <w:r>
              <w:t xml:space="preserve"> </w:t>
            </w:r>
            <w:fldSimple w:instr="NOTEREF _Ref_Footnote_11 \h \f">
              <w:r>
                <w:rPr>
                  <w:vertAlign w:val="superscript"/>
                </w:rPr>
                <w:t>11</w:t>
              </w:r>
            </w:fldSimple>
          </w:p>
        </w:tc>
        <w:tc>
          <w:tcPr/>
          <w:p>
            <w:pPr>
              <w:pStyle w:val="Compact"/>
              <w:jc w:val="left"/>
            </w:pPr>
            <w:r>
              <w:t xml:space="preserve">较低学习率稳定价值估计</w:t>
            </w:r>
          </w:p>
        </w:tc>
      </w:tr>
      <w:tr>
        <w:tc>
          <w:tcPr/>
          <w:p>
            <w:pPr>
              <w:pStyle w:val="Compact"/>
              <w:jc w:val="left"/>
            </w:pPr>
            <w:r>
              <w:t xml:space="preserve">GAE</w:t>
            </w:r>
            <w:r>
              <w:t xml:space="preserve"> </w:t>
            </w:r>
            <m:oMath>
              <m:r>
                <m:t>λ</m:t>
              </m:r>
            </m:oMath>
          </w:p>
        </w:tc>
        <w:tc>
          <w:tcPr/>
          <w:p>
            <w:pPr>
              <w:pStyle w:val="Compact"/>
              <w:jc w:val="left"/>
            </w:pPr>
            <w:r>
              <w:t xml:space="preserve">1.0</w:t>
            </w:r>
            <w:r>
              <w:t xml:space="preserve"> </w:t>
            </w:r>
            <w:fldSimple w:instr="NOTEREF _Ref_Footnote_11 \h \f">
              <w:r>
                <w:rPr>
                  <w:vertAlign w:val="superscript"/>
                </w:rPr>
                <w:t>11</w:t>
              </w:r>
            </w:fldSimple>
          </w:p>
        </w:tc>
        <w:tc>
          <w:tcPr/>
          <w:p>
            <w:pPr>
              <w:pStyle w:val="Compact"/>
              <w:jc w:val="left"/>
            </w:pPr>
            <w:r>
              <w:t xml:space="preserve">LLM生成任务通常设为1（无折扣）</w:t>
            </w:r>
          </w:p>
        </w:tc>
      </w:tr>
      <w:tr>
        <w:tc>
          <w:tcPr/>
          <w:p>
            <w:pPr>
              <w:pStyle w:val="Compact"/>
              <w:jc w:val="left"/>
            </w:pPr>
            <w:r>
              <w:t xml:space="preserve">折扣因子</w:t>
            </w:r>
            <w:r>
              <w:t xml:space="preserve"> </w:t>
            </w:r>
            <m:oMath>
              <m:r>
                <m:t>γ</m:t>
              </m:r>
            </m:oMath>
          </w:p>
        </w:tc>
        <w:tc>
          <w:tcPr/>
          <w:p>
            <w:pPr>
              <w:pStyle w:val="Compact"/>
              <w:jc w:val="left"/>
            </w:pPr>
            <w:r>
              <w:t xml:space="preserve">1.0</w:t>
            </w:r>
            <w:r>
              <w:t xml:space="preserve"> </w:t>
            </w:r>
            <w:fldSimple w:instr="NOTEREF _Ref_Footnote_11 \h \f">
              <w:r>
                <w:rPr>
                  <w:vertAlign w:val="superscript"/>
                </w:rPr>
                <w:t>11</w:t>
              </w:r>
            </w:fldSimple>
          </w:p>
        </w:tc>
        <w:tc>
          <w:tcPr/>
          <w:p>
            <w:pPr>
              <w:pStyle w:val="Compact"/>
              <w:jc w:val="left"/>
            </w:pPr>
            <w:r>
              <w:t xml:space="preserve">Episodic任务无时间折扣</w:t>
            </w:r>
          </w:p>
        </w:tc>
      </w:tr>
      <w:tr>
        <w:tc>
          <w:tcPr/>
          <w:p>
            <w:pPr>
              <w:pStyle w:val="Compact"/>
              <w:jc w:val="left"/>
            </w:pPr>
            <w:r>
              <w:t xml:space="preserve">KL系数</w:t>
            </w:r>
            <w:r>
              <w:t xml:space="preserve"> </w:t>
            </w:r>
            <m:oMath>
              <m:r>
                <m:t>β</m:t>
              </m:r>
            </m:oMath>
          </w:p>
        </w:tc>
        <w:tc>
          <w:tcPr/>
          <w:p>
            <w:pPr>
              <w:pStyle w:val="Compact"/>
              <w:jc w:val="left"/>
            </w:pPr>
            <w:r>
              <w:t xml:space="preserve">0.01-0.1</w:t>
            </w:r>
            <w:r>
              <w:t xml:space="preserve"> </w:t>
            </w:r>
            <w:fldSimple w:instr="NOTEREF _Ref_Footnote_11 \h \f">
              <w:r>
                <w:rPr>
                  <w:vertAlign w:val="superscript"/>
                </w:rPr>
                <w:t>11</w:t>
              </w:r>
            </w:fldSimple>
          </w:p>
        </w:tc>
        <w:tc>
          <w:tcPr/>
          <w:p>
            <w:pPr>
              <w:pStyle w:val="Compact"/>
              <w:jc w:val="left"/>
            </w:pPr>
            <w:r>
              <w:t xml:space="preserve">0.1为常见默认值，控制与参考模型的偏离</w:t>
            </w:r>
          </w:p>
        </w:tc>
      </w:tr>
      <w:tr>
        <w:tc>
          <w:tcPr/>
          <w:p>
            <w:pPr>
              <w:pStyle w:val="Compact"/>
              <w:jc w:val="left"/>
            </w:pPr>
            <w:r>
              <w:t xml:space="preserve">全局Batch Size</w:t>
            </w:r>
          </w:p>
        </w:tc>
        <w:tc>
          <w:tcPr/>
          <w:p>
            <w:pPr>
              <w:pStyle w:val="Compact"/>
              <w:jc w:val="left"/>
            </w:pPr>
            <w:r>
              <w:t xml:space="preserve">512</w:t>
            </w:r>
            <w:r>
              <w:t xml:space="preserve"> </w:t>
            </w:r>
            <w:fldSimple w:instr="NOTEREF _Ref_Footnote_11 \h \f">
              <w:r>
                <w:rPr>
                  <w:vertAlign w:val="superscript"/>
                </w:rPr>
                <w:t>11</w:t>
              </w:r>
            </w:fldSimple>
          </w:p>
        </w:tc>
        <w:tc>
          <w:tcPr/>
          <w:p>
            <w:pPr>
              <w:pStyle w:val="Compact"/>
              <w:jc w:val="left"/>
            </w:pPr>
            <w:r>
              <w:t xml:space="preserve">含多个prompt的采样结果</w:t>
            </w:r>
          </w:p>
        </w:tc>
      </w:tr>
      <w:tr>
        <w:tc>
          <w:tcPr/>
          <w:p>
            <w:pPr>
              <w:pStyle w:val="Compact"/>
              <w:jc w:val="left"/>
            </w:pPr>
            <w:r>
              <w:t xml:space="preserve">裁剪阈值</w:t>
            </w:r>
            <w:r>
              <w:t xml:space="preserve"> </w:t>
            </w:r>
            <m:oMath>
              <m:r>
                <m:t>ϵ</m:t>
              </m:r>
            </m:oMath>
          </w:p>
        </w:tc>
        <w:tc>
          <w:tcPr/>
          <w:p>
            <w:pPr>
              <w:pStyle w:val="Compact"/>
              <w:jc w:val="left"/>
            </w:pPr>
            <w:r>
              <w:t xml:space="preserve">0.2</w:t>
            </w:r>
            <w:r>
              <w:t xml:space="preserve"> </w:t>
            </w:r>
            <w:fldSimple w:instr="NOTEREF _Ref_Footnote_6 \h \f">
              <w:r>
                <w:rPr>
                  <w:vertAlign w:val="superscript"/>
                </w:rPr>
                <w:t>6</w:t>
              </w:r>
            </w:fldSimple>
          </w:p>
        </w:tc>
        <w:tc>
          <w:tcPr/>
          <w:p>
            <w:pPr>
              <w:pStyle w:val="Compact"/>
              <w:jc w:val="left"/>
            </w:pPr>
            <w:r>
              <w:t xml:space="preserve">PPO标准设置</w:t>
            </w:r>
          </w:p>
        </w:tc>
      </w:tr>
      <w:tr>
        <w:tc>
          <w:tcPr/>
          <w:p>
            <w:pPr>
              <w:pStyle w:val="Compact"/>
              <w:jc w:val="left"/>
            </w:pPr>
            <w:r>
              <w:t xml:space="preserve">采样温度</w:t>
            </w:r>
          </w:p>
        </w:tc>
        <w:tc>
          <w:tcPr/>
          <w:p>
            <w:pPr>
              <w:pStyle w:val="Compact"/>
              <w:jc w:val="left"/>
            </w:pPr>
            <w:r>
              <w:t xml:space="preserve">1.0</w:t>
            </w:r>
            <w:r>
              <w:t xml:space="preserve"> </w:t>
            </w:r>
            <w:fldSimple w:instr="NOTEREF _Ref_Footnote_11 \h \f">
              <w:r>
                <w:rPr>
                  <w:vertAlign w:val="superscript"/>
                </w:rPr>
                <w:t>11</w:t>
              </w:r>
            </w:fldSimple>
          </w:p>
        </w:tc>
        <w:tc>
          <w:tcPr/>
          <w:p>
            <w:pPr>
              <w:pStyle w:val="Compact"/>
              <w:jc w:val="left"/>
            </w:pPr>
            <w:r>
              <w:t xml:space="preserve">训练时采样温度</w:t>
            </w:r>
          </w:p>
        </w:tc>
      </w:tr>
      <w:tr>
        <w:tc>
          <w:tcPr/>
          <w:p>
            <w:pPr>
              <w:pStyle w:val="Compact"/>
              <w:jc w:val="left"/>
            </w:pPr>
            <w:r>
              <w:t xml:space="preserve">Top-k</w:t>
            </w:r>
          </w:p>
        </w:tc>
        <w:tc>
          <w:tcPr/>
          <w:p>
            <w:pPr>
              <w:pStyle w:val="Compact"/>
              <w:jc w:val="left"/>
            </w:pPr>
            <w:r>
              <w:t xml:space="preserve">200</w:t>
            </w:r>
            <w:r>
              <w:t xml:space="preserve"> </w:t>
            </w:r>
            <w:fldSimple w:instr="NOTEREF _Ref_Footnote_11 \h \f">
              <w:r>
                <w:rPr>
                  <w:vertAlign w:val="superscript"/>
                </w:rPr>
                <w:t>11</w:t>
              </w:r>
            </w:fldSimple>
          </w:p>
        </w:tc>
        <w:tc>
          <w:tcPr/>
          <w:p>
            <w:pPr>
              <w:pStyle w:val="Compact"/>
              <w:jc w:val="left"/>
            </w:pPr>
            <w:r>
              <w:t xml:space="preserve">限制采样空间</w:t>
            </w:r>
          </w:p>
        </w:tc>
      </w:tr>
      <w:tr>
        <w:tc>
          <w:tcPr/>
          <w:p>
            <w:pPr>
              <w:pStyle w:val="Compact"/>
              <w:jc w:val="left"/>
            </w:pPr>
            <w:r>
              <w:t xml:space="preserve">奖励裁剪</w:t>
            </w:r>
          </w:p>
        </w:tc>
        <w:tc>
          <w:tcPr/>
          <w:p>
            <w:pPr>
              <w:pStyle w:val="Compact"/>
              <w:jc w:val="left"/>
            </w:pPr>
            <w:r>
              <w:t xml:space="preserve">20</w:t>
            </w:r>
            <w:r>
              <w:t xml:space="preserve"> </w:t>
            </w:r>
            <w:fldSimple w:instr="NOTEREF _Ref_Footnote_11 \h \f">
              <w:r>
                <w:rPr>
                  <w:vertAlign w:val="superscript"/>
                </w:rPr>
                <w:t>11</w:t>
              </w:r>
            </w:fldSimple>
          </w:p>
        </w:tc>
        <w:tc>
          <w:tcPr/>
          <w:p>
            <w:pPr>
              <w:pStyle w:val="Compact"/>
              <w:jc w:val="left"/>
            </w:pPr>
            <w:r>
              <w:t xml:space="preserve">防止极端奖励值</w:t>
            </w:r>
          </w:p>
        </w:tc>
      </w:tr>
      <w:tr>
        <w:tc>
          <w:tcPr/>
          <w:p>
            <w:pPr>
              <w:pStyle w:val="Compact"/>
              <w:jc w:val="left"/>
            </w:pPr>
            <w:r>
              <w:t xml:space="preserve">最大生成长度</w:t>
            </w:r>
          </w:p>
        </w:tc>
        <w:tc>
          <w:tcPr/>
          <w:p>
            <w:pPr>
              <w:pStyle w:val="Compact"/>
              <w:jc w:val="left"/>
            </w:pPr>
            <w:r>
              <w:t xml:space="preserve">256-1024</w:t>
            </w:r>
            <w:r>
              <w:t xml:space="preserve"> </w:t>
            </w:r>
            <w:fldSimple w:instr="NOTEREF _Ref_Footnote_11 \h \f">
              <w:r>
                <w:rPr>
                  <w:vertAlign w:val="superscript"/>
                </w:rPr>
                <w:t>11</w:t>
              </w:r>
            </w:fldSimple>
          </w:p>
        </w:tc>
        <w:tc>
          <w:tcPr/>
          <w:p>
            <w:pPr>
              <w:pStyle w:val="Compact"/>
              <w:jc w:val="left"/>
            </w:pPr>
            <w:r>
              <w:t xml:space="preserve">对话任务256，代码任务1024</w:t>
            </w:r>
          </w:p>
        </w:tc>
      </w:tr>
      <w:tr>
        <w:tc>
          <w:tcPr/>
          <w:p>
            <w:pPr>
              <w:pStyle w:val="Compact"/>
              <w:jc w:val="left"/>
            </w:pPr>
            <w:r>
              <w:t xml:space="preserve">训练Epoch</w:t>
            </w:r>
          </w:p>
        </w:tc>
        <w:tc>
          <w:tcPr/>
          <w:p>
            <w:pPr>
              <w:pStyle w:val="Compact"/>
              <w:jc w:val="left"/>
            </w:pPr>
            <w:r>
              <w:t xml:space="preserve">3-5</w:t>
            </w:r>
            <w:r>
              <w:t xml:space="preserve"> </w:t>
            </w:r>
            <w:fldSimple w:instr="NOTEREF _Ref_Footnote_11 \h \f">
              <w:r>
                <w:rPr>
                  <w:vertAlign w:val="superscript"/>
                </w:rPr>
                <w:t>11</w:t>
              </w:r>
            </w:fldSimple>
          </w:p>
        </w:tc>
        <w:tc>
          <w:tcPr/>
          <w:p>
            <w:pPr>
              <w:pStyle w:val="Compact"/>
              <w:jc w:val="left"/>
            </w:pPr>
            <w:r>
              <w:t xml:space="preserve">视数据量调整</w:t>
            </w:r>
          </w:p>
        </w:tc>
      </w:tr>
    </w:tbl>
    <w:p>
      <w:pPr>
        <w:pStyle w:val="BodyText"/>
      </w:pPr>
      <w:r>
        <w:t xml:space="preserve">该配置在7B-13B参数规模的模型上经过广泛验证</w:t>
      </w:r>
      <w:r>
        <w:t xml:space="preserve"> </w:t>
      </w:r>
      <w:fldSimple w:instr="NOTEREF _Ref_Footnote_11 \h \f">
        <w:r>
          <w:rPr>
            <w:vertAlign w:val="superscript"/>
          </w:rPr>
          <w:t>11</w:t>
        </w:r>
      </w:fldSimple>
      <w:r>
        <w:t xml:space="preserve">。其中最关键的超参数是KL系数</w:t>
      </w:r>
      <m:oMath>
        <m:r>
          <m:t>β</m:t>
        </m:r>
      </m:oMath>
      <w:r>
        <w:t xml:space="preserve">：当</w:t>
      </w:r>
      <m:oMath>
        <m:r>
          <m:t>β</m:t>
        </m:r>
      </m:oMath>
      <w:r>
        <w:t xml:space="preserve">过小时策略可能快速偏离参考模型导致奖励黑客；过大则策略更新缓慢，难以获得显著提升。ICML 2024的实验建议</w:t>
      </w:r>
      <m:oMath>
        <m:r>
          <m:t>β</m:t>
        </m:r>
        <m:r>
          <m:rPr>
            <m:sty m:val="p"/>
          </m:rPr>
          <m:t>=</m:t>
        </m:r>
        <m:r>
          <m:t>0.1</m:t>
        </m:r>
      </m:oMath>
      <w:r>
        <w:t xml:space="preserve">作为安全起点，根据任务复杂度向下调整</w:t>
      </w:r>
      <w:r>
        <w:t xml:space="preserve"> </w:t>
      </w:r>
      <w:fldSimple w:instr="NOTEREF _Ref_Footnote_11 \h \f">
        <w:r>
          <w:rPr>
            <w:vertAlign w:val="superscript"/>
          </w:rPr>
          <w:t>11</w:t>
        </w:r>
      </w:fldSimple>
      <w:r>
        <w:t xml:space="preserve">。</w:t>
      </w:r>
    </w:p>
    <w:bookmarkEnd w:id="38"/>
    <w:bookmarkEnd w:id="39"/>
    <w:bookmarkStart w:id="44" w:name="dpo及其变体家族"/>
    <w:p>
      <w:pPr>
        <w:pStyle w:val="Heading3"/>
      </w:pPr>
      <w:r>
        <w:t xml:space="preserve">2.2 DPO及其变体家族</w:t>
      </w:r>
    </w:p>
    <w:bookmarkStart w:id="40" w:name="dpo核心公式偏好学习作为分类问题"/>
    <w:p>
      <w:pPr>
        <w:pStyle w:val="Heading4"/>
      </w:pPr>
      <w:r>
        <w:t xml:space="preserve">2.2.1 DPO核心公式：偏好学习作为分类问题</w:t>
      </w:r>
    </w:p>
    <w:p>
      <w:pPr>
        <w:pStyle w:val="FirstParagraph"/>
      </w:pPr>
      <w:r>
        <w:t xml:space="preserve">DPO是RLHF领域的里程碑式工作，其核心洞察在于：KL正则化奖励最大化问题的最优策略与奖励函数之间存在闭式关系</w:t>
      </w:r>
      <w:r>
        <w:t xml:space="preserve"> </w:t>
      </w:r>
      <w:r>
        <w:rPr>
          <w:vertAlign w:val="superscript"/>
        </w:rPr>
        <w:footnoteReference w:id="18"/>
      </w:r>
      <w:r>
        <w:t xml:space="preserve">。通过反转该关系，DPO用策略参数化奖励函数，将原本需要奖励模型和在线采样的两阶段训练简化为单阶段离线优化。</w:t>
      </w:r>
    </w:p>
    <w:p>
      <w:pPr>
        <w:pStyle w:val="BodyText"/>
      </w:pPr>
      <w:r>
        <w:t xml:space="preserve">DPO的隐式奖励函数定义为：</w:t>
      </w:r>
    </w:p>
    <w:p>
      <w:pPr>
        <w:pStyle w:val="BodyText"/>
      </w:pPr>
      <m:oMathPara>
        <m:oMathParaPr>
          <m:jc m:val="center"/>
        </m:oMathParaPr>
        <m:oMath>
          <m:r>
            <m:t>r</m:t>
          </m:r>
          <m:d>
            <m:dPr>
              <m:begChr m:val="("/>
              <m:endChr m:val=")"/>
              <m:sepChr m:val=""/>
              <m:grow/>
            </m:dPr>
            <m:e>
              <m:r>
                <m:t>x</m:t>
              </m:r>
              <m:r>
                <m:rPr>
                  <m:sty m:val="p"/>
                </m:rPr>
                <m:t>,</m:t>
              </m:r>
              <m:r>
                <m:t>y</m:t>
              </m:r>
            </m:e>
          </m:d>
          <m:r>
            <m:rPr>
              <m:sty m:val="p"/>
            </m:rPr>
            <m:t>=</m:t>
          </m:r>
          <m:r>
            <m:t>β</m:t>
          </m:r>
          <m:r>
            <m:rPr>
              <m:sty m:val="p"/>
            </m:rPr>
            <m:t>log</m:t>
          </m:r>
          <m:f>
            <m:fPr>
              <m:type m:val="bar"/>
            </m:fPr>
            <m:num>
              <m:sSub>
                <m:e>
                  <m:r>
                    <m:t>π</m:t>
                  </m:r>
                </m:e>
                <m:sub>
                  <m:r>
                    <m:t>θ</m:t>
                  </m:r>
                </m:sub>
              </m:sSub>
              <m:d>
                <m:dPr>
                  <m:begChr m:val="("/>
                  <m:endChr m:val=")"/>
                  <m:sepChr m:val=""/>
                  <m:grow/>
                </m:dPr>
                <m:e>
                  <m:r>
                    <m:t>y</m:t>
                  </m:r>
                  <m:r>
                    <m:rPr>
                      <m:sty m:val="p"/>
                    </m:rPr>
                    <m:t>|</m:t>
                  </m:r>
                  <m:r>
                    <m:t>x</m:t>
                  </m:r>
                </m:e>
              </m:d>
            </m:num>
            <m:den>
              <m:sSub>
                <m:e>
                  <m:r>
                    <m:t>π</m:t>
                  </m:r>
                </m:e>
                <m:sub>
                  <m:r>
                    <m:t>r</m:t>
                  </m:r>
                  <m:r>
                    <m:t>e</m:t>
                  </m:r>
                  <m:r>
                    <m:t>f</m:t>
                  </m:r>
                </m:sub>
              </m:sSub>
              <m:d>
                <m:dPr>
                  <m:begChr m:val="("/>
                  <m:endChr m:val=")"/>
                  <m:sepChr m:val=""/>
                  <m:grow/>
                </m:dPr>
                <m:e>
                  <m:r>
                    <m:t>y</m:t>
                  </m:r>
                  <m:r>
                    <m:rPr>
                      <m:sty m:val="p"/>
                    </m:rPr>
                    <m:t>|</m:t>
                  </m:r>
                  <m:r>
                    <m:t>x</m:t>
                  </m:r>
                </m:e>
              </m:d>
            </m:den>
          </m:f>
        </m:oMath>
      </m:oMathPara>
    </w:p>
    <w:p>
      <w:pPr>
        <w:pStyle w:val="FirstParagraph"/>
      </w:pPr>
      <w:r>
        <w:t xml:space="preserve">其中</w:t>
      </w:r>
      <w:r>
        <w:t xml:space="preserve"> </w:t>
      </w:r>
      <m:oMath>
        <m:sSub>
          <m:e>
            <m:r>
              <m:t>π</m:t>
            </m:r>
          </m:e>
          <m:sub>
            <m:r>
              <m:t>θ</m:t>
            </m:r>
          </m:sub>
        </m:sSub>
      </m:oMath>
      <w:r>
        <w:t xml:space="preserve"> </w:t>
      </w:r>
      <w:r>
        <w:t xml:space="preserve">为策略模型，</w:t>
      </w:r>
      <m:oMath>
        <m:sSub>
          <m:e>
            <m:r>
              <m:t>π</m:t>
            </m:r>
          </m:e>
          <m:sub>
            <m:r>
              <m:t>r</m:t>
            </m:r>
            <m:r>
              <m:t>e</m:t>
            </m:r>
            <m:r>
              <m:t>f</m:t>
            </m:r>
          </m:sub>
        </m:sSub>
      </m:oMath>
      <w:r>
        <w:t xml:space="preserve"> </w:t>
      </w:r>
      <w:r>
        <w:t xml:space="preserve">为参考模型（通常为SFT后的模型），</w:t>
      </w:r>
      <m:oMath>
        <m:r>
          <m:t>β</m:t>
        </m:r>
      </m:oMath>
      <w:r>
        <w:t xml:space="preserve"> </w:t>
      </w:r>
      <w:r>
        <w:t xml:space="preserve">为温度参数控制策略偏离参考模型的程度。基于Bradley-Terry模型，DPO将偏好学习转化为二分类问题，目标是最大化首选响应（win）相对于非首选响应（lose）的log-likelihood margin：</w:t>
      </w:r>
    </w:p>
    <w:p>
      <w:pPr>
        <w:pStyle w:val="BodyText"/>
      </w:pPr>
      <m:oMathPara>
        <m:oMathParaPr>
          <m:jc m:val="center"/>
        </m:oMathParaPr>
        <m:oMath>
          <m:sSub>
            <m:e>
              <m:r>
                <m:rPr>
                  <m:sty m:val="p"/>
                  <m:scr m:val="script"/>
                </m:rPr>
                <m:t>L</m:t>
              </m:r>
            </m:e>
            <m:sub>
              <m:r>
                <m:t>D</m:t>
              </m:r>
              <m:r>
                <m:t>P</m:t>
              </m:r>
              <m:r>
                <m:t>O</m:t>
              </m:r>
            </m:sub>
          </m:sSub>
          <m:r>
            <m:rPr>
              <m:sty m:val="p"/>
            </m:rPr>
            <m:t>=</m:t>
          </m:r>
          <m:r>
            <m:rPr>
              <m:sty m:val="p"/>
            </m:rPr>
            <m:t>−</m:t>
          </m:r>
          <m:sSub>
            <m:e>
              <m:r>
                <m:rPr>
                  <m:sty m:val="p"/>
                  <m:scr m:val="double-struck"/>
                </m:rPr>
                <m:t>E</m:t>
              </m:r>
            </m:e>
            <m:sub>
              <m:d>
                <m:dPr>
                  <m:begChr m:val="("/>
                  <m:endChr m:val=")"/>
                  <m:sepChr m:val=""/>
                  <m:grow/>
                </m:dPr>
                <m:e>
                  <m:r>
                    <m:t>x</m:t>
                  </m:r>
                  <m:r>
                    <m:rPr>
                      <m:sty m:val="p"/>
                    </m:rPr>
                    <m:t>,</m:t>
                  </m:r>
                  <m:sSub>
                    <m:e>
                      <m:r>
                        <m:t>y</m:t>
                      </m:r>
                    </m:e>
                    <m:sub>
                      <m:r>
                        <m:t>w</m:t>
                      </m:r>
                    </m:sub>
                  </m:sSub>
                  <m:r>
                    <m:rPr>
                      <m:sty m:val="p"/>
                    </m:rPr>
                    <m:t>,</m:t>
                  </m:r>
                  <m:sSub>
                    <m:e>
                      <m:r>
                        <m:t>y</m:t>
                      </m:r>
                    </m:e>
                    <m:sub>
                      <m:r>
                        <m:t>l</m:t>
                      </m:r>
                    </m:sub>
                  </m:sSub>
                </m:e>
              </m:d>
              <m:r>
                <m:rPr>
                  <m:sty m:val="p"/>
                </m:rPr>
                <m:t>∼</m:t>
              </m:r>
              <m:r>
                <m:t>D</m:t>
              </m:r>
            </m:sub>
          </m:sSub>
          <m:d>
            <m:dPr>
              <m:begChr m:val="["/>
              <m:endChr m:val="]"/>
              <m:sepChr m:val=""/>
              <m:grow/>
            </m:dPr>
            <m:e>
              <m:r>
                <m:rPr>
                  <m:sty m:val="p"/>
                </m:rPr>
                <m:t>log</m:t>
              </m:r>
              <m:r>
                <m:t>σ</m:t>
              </m:r>
              <m:d>
                <m:dPr>
                  <m:begChr m:val="("/>
                  <m:endChr m:val=")"/>
                  <m:sepChr m:val=""/>
                  <m:grow/>
                </m:dPr>
                <m:e>
                  <m:r>
                    <m:t>β</m:t>
                  </m:r>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t>β</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e>
              </m:d>
            </m:e>
          </m:d>
        </m:oMath>
      </m:oMathPara>
    </w:p>
    <w:p>
      <w:pPr>
        <w:pStyle w:val="FirstParagraph"/>
      </w:pPr>
      <w:r>
        <w:t xml:space="preserve">该公式的优雅之处在于：无需显式训练奖励模型，偏好数据直接驱动策略更新。</w:t>
      </w:r>
      <m:oMath>
        <m:r>
          <m:t>β</m:t>
        </m:r>
      </m:oMath>
      <w:r>
        <w:t xml:space="preserve">参数的典型值为0.1，数据质量较低时可增大至0.3-0.5以加强正则化</w:t>
      </w:r>
      <w:r>
        <w:t xml:space="preserve"> </w:t>
      </w:r>
      <w:fldSimple w:instr="NOTEREF _Ref_Footnote_18 \h \f">
        <w:r>
          <w:rPr>
            <w:vertAlign w:val="superscript"/>
          </w:rPr>
          <w:t>18</w:t>
        </w:r>
      </w:fldSimple>
      <w:r>
        <w:t xml:space="preserve">。</w:t>
      </w:r>
    </w:p>
    <w:p>
      <w:pPr>
        <w:pStyle w:val="BodyText"/>
      </w:pPr>
      <w:r>
        <w:t xml:space="preserve">然而，DPO存在三个已知局限。其一，长度偏差：DPO倾向于增加chosen响应的likelihood，而chosen响应通常更长，导致模型倾向于生成冗长输出</w:t>
      </w:r>
      <w:r>
        <w:t xml:space="preserve"> </w:t>
      </w:r>
      <w:fldSimple w:instr="NOTEREF _Ref_Footnote_15 \h \f">
        <w:r>
          <w:rPr>
            <w:vertAlign w:val="superscript"/>
          </w:rPr>
          <w:t>15</w:t>
        </w:r>
      </w:fldSimple>
      <w:r>
        <w:t xml:space="preserve">。其二，参考模型开销：训练期间需同时加载策略模型和参考模型，显存需求翻倍。其三，过拟合风险：在确定性偏好数据上（即win和lose之间的差距始终一致），DPO可能发生过拟合导致策略崩溃</w:t>
      </w:r>
      <w:r>
        <w:t xml:space="preserve"> </w:t>
      </w:r>
      <w:fldSimple w:instr="NOTEREF _Ref_Footnote_7 \h \f">
        <w:r>
          <w:rPr>
            <w:vertAlign w:val="superscript"/>
          </w:rPr>
          <w:t>7</w:t>
        </w:r>
      </w:fldSimple>
      <w:r>
        <w:t xml:space="preserve">。</w:t>
      </w:r>
    </w:p>
    <w:bookmarkEnd w:id="40"/>
    <w:bookmarkStart w:id="41" w:name="dpo改进版r-dpoipo与beta-dpo"/>
    <w:p>
      <w:pPr>
        <w:pStyle w:val="Heading4"/>
      </w:pPr>
      <w:r>
        <w:t xml:space="preserve">2.2.2 DPO改进版：R-DPO、IPO与</w:t>
      </w:r>
      <m:oMath>
        <m:r>
          <m:t>β</m:t>
        </m:r>
      </m:oMath>
      <w:r>
        <w:t xml:space="preserve">-DPO</w:t>
      </w:r>
    </w:p>
    <w:p>
      <w:pPr>
        <w:pStyle w:val="FirstParagraph"/>
      </w:pPr>
      <w:r>
        <w:t xml:space="preserve">针对DPO的局限，2024年涌现出一系列改进方法。</w:t>
      </w:r>
      <w:r>
        <w:rPr>
          <w:bCs/>
          <w:b/>
        </w:rPr>
        <w:t xml:space="preserve">R-DPO</w:t>
      </w:r>
      <w:r>
        <w:t xml:space="preserve">（Regularized DPO，ACL 2024 Findings）通过在目标函数中添加长度归一化正则化项，显式解耦响应长度与质量的影响</w:t>
      </w:r>
      <w:r>
        <w:t xml:space="preserve"> </w:t>
      </w:r>
      <w:fldSimple w:instr="NOTEREF _Ref_Footnote_15 \h \f">
        <w:r>
          <w:rPr>
            <w:vertAlign w:val="superscript"/>
          </w:rPr>
          <w:t>15</w:t>
        </w:r>
      </w:fldSimple>
      <w:r>
        <w:t xml:space="preserve">：</w:t>
      </w:r>
    </w:p>
    <w:p>
      <w:pPr>
        <w:pStyle w:val="BodyText"/>
      </w:pPr>
      <m:oMathPara>
        <m:oMathParaPr>
          <m:jc m:val="center"/>
        </m:oMathParaPr>
        <m:oMath>
          <m:sSub>
            <m:e>
              <m:r>
                <m:rPr>
                  <m:sty m:val="p"/>
                  <m:scr m:val="script"/>
                </m:rPr>
                <m:t>L</m:t>
              </m:r>
            </m:e>
            <m:sub>
              <m:r>
                <m:t>R</m:t>
              </m:r>
              <m:r>
                <m:rPr>
                  <m:nor/>
                  <m:sty m:val="p"/>
                </m:rPr>
                <m:t>-</m:t>
              </m:r>
              <m:r>
                <m:t>D</m:t>
              </m:r>
              <m:r>
                <m:t>P</m:t>
              </m:r>
              <m:r>
                <m:t>O</m:t>
              </m:r>
            </m:sub>
          </m:sSub>
          <m:r>
            <m:rPr>
              <m:sty m:val="p"/>
            </m:rPr>
            <m:t>=</m:t>
          </m:r>
          <m:r>
            <m:rPr>
              <m:sty m:val="p"/>
            </m:rPr>
            <m:t>−</m:t>
          </m:r>
          <m:r>
            <m:rPr>
              <m:sty m:val="p"/>
              <m:scr m:val="double-struck"/>
            </m:rPr>
            <m:t>E</m:t>
          </m:r>
          <m:d>
            <m:dPr>
              <m:begChr m:val="["/>
              <m:endChr m:val="]"/>
              <m:sepChr m:val=""/>
              <m:grow/>
            </m:dPr>
            <m:e>
              <m:r>
                <m:rPr>
                  <m:sty m:val="p"/>
                </m:rPr>
                <m:t>log</m:t>
              </m:r>
              <m:r>
                <m:t>σ</m:t>
              </m:r>
              <m:d>
                <m:dPr>
                  <m:begChr m:val="("/>
                  <m:endChr m:val=")"/>
                  <m:sepChr m:val=""/>
                  <m:grow/>
                </m:dPr>
                <m:e>
                  <m:r>
                    <m:t>β</m:t>
                  </m:r>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t>β</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r>
                    <m:rPr>
                      <m:sty m:val="p"/>
                    </m:rPr>
                    <m:t>−</m:t>
                  </m:r>
                  <m:r>
                    <m:t>α</m:t>
                  </m:r>
                  <m:d>
                    <m:dPr>
                      <m:begChr m:val="("/>
                      <m:endChr m:val=")"/>
                      <m:sepChr m:val=""/>
                      <m:grow/>
                    </m:dPr>
                    <m:e>
                      <m:d>
                        <m:dPr>
                          <m:begChr m:val="|"/>
                          <m:endChr m:val="|"/>
                          <m:sepChr m:val=""/>
                          <m:grow/>
                        </m:dPr>
                        <m:e>
                          <m:sSub>
                            <m:e>
                              <m:r>
                                <m:t>y</m:t>
                              </m:r>
                            </m:e>
                            <m:sub>
                              <m:r>
                                <m:t>w</m:t>
                              </m:r>
                            </m:sub>
                          </m:sSub>
                        </m:e>
                      </m:d>
                      <m:r>
                        <m:rPr>
                          <m:sty m:val="p"/>
                        </m:rPr>
                        <m:t>−</m:t>
                      </m:r>
                      <m:d>
                        <m:dPr>
                          <m:begChr m:val="|"/>
                          <m:endChr m:val="|"/>
                          <m:sepChr m:val=""/>
                          <m:grow/>
                        </m:dPr>
                        <m:e>
                          <m:sSub>
                            <m:e>
                              <m:r>
                                <m:t>y</m:t>
                              </m:r>
                            </m:e>
                            <m:sub>
                              <m:r>
                                <m:t>l</m:t>
                              </m:r>
                            </m:sub>
                          </m:sSub>
                        </m:e>
                      </m:d>
                    </m:e>
                  </m:d>
                </m:e>
              </m:d>
            </m:e>
          </m:d>
        </m:oMath>
      </m:oMathPara>
    </w:p>
    <w:p>
      <w:pPr>
        <w:pStyle w:val="FirstParagraph"/>
      </w:pPr>
      <w:r>
        <w:t xml:space="preserve">其中</w:t>
      </w:r>
      <m:oMath>
        <m:r>
          <m:t>α</m:t>
        </m:r>
      </m:oMath>
      <w:r>
        <w:t xml:space="preserve">为长度正则化系数，典型值0.05-1.0。实验表明，R-DPO在MT-Bench和AlpacaEval上能在不牺牲质量的前提下显著减少冗长生成的倾向</w:t>
      </w:r>
      <w:r>
        <w:t xml:space="preserve"> </w:t>
      </w:r>
      <w:fldSimple w:instr="NOTEREF _Ref_Footnote_15 \h \f">
        <w:r>
          <w:rPr>
            <w:vertAlign w:val="superscript"/>
          </w:rPr>
          <w:t>15</w:t>
        </w:r>
      </w:fldSimple>
      <w:r>
        <w:t xml:space="preserve">。</w:t>
      </w:r>
    </w:p>
    <w:p>
      <w:pPr>
        <w:pStyle w:val="BodyText"/>
      </w:pPr>
      <w:r>
        <w:rPr>
          <w:bCs/>
          <w:b/>
        </w:rPr>
        <w:t xml:space="preserve">IPO</w:t>
      </w:r>
      <w:r>
        <w:t xml:space="preserve">（Identity Preference Optimization，AISTATS 2024）从理论上统一了RLHF和DPO，提出</w:t>
      </w:r>
      <m:oMath>
        <m:r>
          <m:t>Ψ</m:t>
        </m:r>
      </m:oMath>
      <w:r>
        <w:t xml:space="preserve">PO通用框架，将DPO和PPO视为特例</w:t>
      </w:r>
      <w:r>
        <w:t xml:space="preserve"> </w:t>
      </w:r>
      <w:fldSimple w:instr="NOTEREF _Ref_Footnote_7 \h \f">
        <w:r>
          <w:rPr>
            <w:vertAlign w:val="superscript"/>
          </w:rPr>
          <w:t>7</w:t>
        </w:r>
      </w:fldSimple>
      <w:r>
        <w:t xml:space="preserve">。IPO使用平方损失替代DPO的logistic损失，有效避免了确定性偏好数据上的过拟合问题：</w:t>
      </w:r>
    </w:p>
    <w:p>
      <w:pPr>
        <w:pStyle w:val="BodyText"/>
      </w:pPr>
      <m:oMathPara>
        <m:oMathParaPr>
          <m:jc m:val="center"/>
        </m:oMathParaPr>
        <m:oMath>
          <m:sSub>
            <m:e>
              <m:r>
                <m:rPr>
                  <m:sty m:val="p"/>
                  <m:scr m:val="script"/>
                </m:rPr>
                <m:t>L</m:t>
              </m:r>
            </m:e>
            <m:sub>
              <m:r>
                <m:t>I</m:t>
              </m:r>
              <m:r>
                <m:t>P</m:t>
              </m:r>
              <m:r>
                <m:t>O</m:t>
              </m:r>
            </m:sub>
          </m:sSub>
          <m:r>
            <m:rPr>
              <m:sty m:val="p"/>
            </m:rPr>
            <m:t>=</m:t>
          </m:r>
          <m:r>
            <m:rPr>
              <m:sty m:val="p"/>
              <m:scr m:val="double-struck"/>
            </m:rPr>
            <m:t>E</m:t>
          </m:r>
          <m:d>
            <m:dPr>
              <m:begChr m:val="["/>
              <m:endChr m:val="]"/>
              <m:sepChr m:val=""/>
              <m:grow/>
            </m:dPr>
            <m:e>
              <m:sSup>
                <m:e>
                  <m:d>
                    <m:dPr>
                      <m:begChr m:val="("/>
                      <m:endChr m:val=")"/>
                      <m:sepChr m:val=""/>
                      <m:grow/>
                    </m:dPr>
                    <m:e>
                      <m:r>
                        <m:rPr>
                          <m:sty m:val="p"/>
                        </m:rPr>
                        <m:t>log</m:t>
                      </m:r>
                      <m:f>
                        <m:fPr>
                          <m:type m:val="bar"/>
                        </m:fPr>
                        <m:num>
                          <m:sSub>
                            <m:e>
                              <m:r>
                                <m:t>π</m:t>
                              </m:r>
                            </m:e>
                            <m:sub>
                              <m:r>
                                <m:t>θ</m:t>
                              </m:r>
                            </m:sub>
                          </m:sSub>
                          <m:d>
                            <m:dPr>
                              <m:begChr m:val="("/>
                              <m:endChr m:val=")"/>
                              <m:sepChr m:val=""/>
                              <m:grow/>
                            </m:dPr>
                            <m:e>
                              <m:sSub>
                                <m:e>
                                  <m:r>
                                    <m:t>y</m:t>
                                  </m:r>
                                </m:e>
                                <m:sub>
                                  <m:r>
                                    <m:t>w</m:t>
                                  </m:r>
                                </m:sub>
                              </m:sSub>
                              <m:r>
                                <m:rPr>
                                  <m:sty m:val="p"/>
                                </m:rPr>
                                <m:t>|</m:t>
                              </m:r>
                              <m:r>
                                <m:t>x</m:t>
                              </m:r>
                            </m:e>
                          </m:d>
                        </m:num>
                        <m:den>
                          <m:sSub>
                            <m:e>
                              <m:r>
                                <m:t>π</m:t>
                              </m:r>
                            </m:e>
                            <m:sub>
                              <m:r>
                                <m:t>r</m:t>
                              </m:r>
                              <m:r>
                                <m:t>e</m:t>
                              </m:r>
                              <m:r>
                                <m:t>f</m:t>
                              </m:r>
                            </m:sub>
                          </m:sSub>
                          <m:d>
                            <m:dPr>
                              <m:begChr m:val="("/>
                              <m:endChr m:val=")"/>
                              <m:sepChr m:val=""/>
                              <m:grow/>
                            </m:dPr>
                            <m:e>
                              <m:sSub>
                                <m:e>
                                  <m:r>
                                    <m:t>y</m:t>
                                  </m:r>
                                </m:e>
                                <m:sub>
                                  <m:r>
                                    <m:t>w</m:t>
                                  </m:r>
                                </m:sub>
                              </m:sSub>
                              <m:r>
                                <m:rPr>
                                  <m:sty m:val="p"/>
                                </m:rPr>
                                <m:t>|</m:t>
                              </m:r>
                              <m:r>
                                <m:t>x</m:t>
                              </m:r>
                            </m:e>
                          </m:d>
                        </m:den>
                      </m:f>
                      <m:r>
                        <m:rPr>
                          <m:sty m:val="p"/>
                        </m:rPr>
                        <m:t>−</m:t>
                      </m:r>
                      <m:r>
                        <m:rPr>
                          <m:sty m:val="p"/>
                        </m:rPr>
                        <m:t>log</m:t>
                      </m:r>
                      <m:f>
                        <m:fPr>
                          <m:type m:val="bar"/>
                        </m:fPr>
                        <m:num>
                          <m:sSub>
                            <m:e>
                              <m:r>
                                <m:t>π</m:t>
                              </m:r>
                            </m:e>
                            <m:sub>
                              <m:r>
                                <m:t>θ</m:t>
                              </m:r>
                            </m:sub>
                          </m:sSub>
                          <m:d>
                            <m:dPr>
                              <m:begChr m:val="("/>
                              <m:endChr m:val=")"/>
                              <m:sepChr m:val=""/>
                              <m:grow/>
                            </m:dPr>
                            <m:e>
                              <m:sSub>
                                <m:e>
                                  <m:r>
                                    <m:t>y</m:t>
                                  </m:r>
                                </m:e>
                                <m:sub>
                                  <m:r>
                                    <m:t>l</m:t>
                                  </m:r>
                                </m:sub>
                              </m:sSub>
                              <m:r>
                                <m:rPr>
                                  <m:sty m:val="p"/>
                                </m:rPr>
                                <m:t>|</m:t>
                              </m:r>
                              <m:r>
                                <m:t>x</m:t>
                              </m:r>
                            </m:e>
                          </m:d>
                        </m:num>
                        <m:den>
                          <m:sSub>
                            <m:e>
                              <m:r>
                                <m:t>π</m:t>
                              </m:r>
                            </m:e>
                            <m:sub>
                              <m:r>
                                <m:t>r</m:t>
                              </m:r>
                              <m:r>
                                <m:t>e</m:t>
                              </m:r>
                              <m:r>
                                <m:t>f</m:t>
                              </m:r>
                            </m:sub>
                          </m:sSub>
                          <m:d>
                            <m:dPr>
                              <m:begChr m:val="("/>
                              <m:endChr m:val=")"/>
                              <m:sepChr m:val=""/>
                              <m:grow/>
                            </m:dPr>
                            <m:e>
                              <m:sSub>
                                <m:e>
                                  <m:r>
                                    <m:t>y</m:t>
                                  </m:r>
                                </m:e>
                                <m:sub>
                                  <m:r>
                                    <m:t>l</m:t>
                                  </m:r>
                                </m:sub>
                              </m:sSub>
                              <m:r>
                                <m:rPr>
                                  <m:sty m:val="p"/>
                                </m:rPr>
                                <m:t>|</m:t>
                              </m:r>
                              <m:r>
                                <m:t>x</m:t>
                              </m:r>
                            </m:e>
                          </m:d>
                        </m:den>
                      </m:f>
                      <m:r>
                        <m:rPr>
                          <m:sty m:val="p"/>
                        </m:rPr>
                        <m:t>−</m:t>
                      </m:r>
                      <m:f>
                        <m:fPr>
                          <m:type m:val="bar"/>
                        </m:fPr>
                        <m:num>
                          <m:r>
                            <m:t>1</m:t>
                          </m:r>
                        </m:num>
                        <m:den>
                          <m:r>
                            <m:t>2</m:t>
                          </m:r>
                          <m:r>
                            <m:t>β</m:t>
                          </m:r>
                        </m:den>
                      </m:f>
                    </m:e>
                  </m:d>
                </m:e>
                <m:sup>
                  <m:r>
                    <m:t>2</m:t>
                  </m:r>
                </m:sup>
              </m:sSup>
            </m:e>
          </m:d>
        </m:oMath>
      </m:oMathPara>
    </w:p>
    <w:p>
      <w:pPr>
        <w:pStyle w:val="FirstParagraph"/>
      </w:pPr>
      <m:oMath>
        <m:r>
          <m:t>β</m:t>
        </m:r>
      </m:oMath>
      <w:r>
        <w:t xml:space="preserve">在IPO中的含义与DPO不同，典型值更小（0.01-0.1），因为平方损失对large margin的惩罚更强烈</w:t>
      </w:r>
      <w:r>
        <w:t xml:space="preserve"> </w:t>
      </w:r>
      <w:fldSimple w:instr="NOTEREF _Ref_Footnote_7 \h \f">
        <w:r>
          <w:rPr>
            <w:vertAlign w:val="superscript"/>
          </w:rPr>
          <w:t>7</w:t>
        </w:r>
      </w:fldSimple>
      <w:r>
        <w:t xml:space="preserve">。</w:t>
      </w:r>
    </w:p>
    <w:p>
      <w:pPr>
        <w:pStyle w:val="BodyText"/>
      </w:pPr>
      <m:oMath>
        <m:r>
          <m:t>β</m:t>
        </m:r>
      </m:oMath>
      <w:r>
        <w:rPr>
          <w:bCs/>
          <w:b/>
        </w:rPr>
        <w:t xml:space="preserve">-DPO</w:t>
      </w:r>
      <w:r>
        <w:t xml:space="preserve">则从另一个角度切入，发现最优</w:t>
      </w:r>
      <m:oMath>
        <m:r>
          <m:t>β</m:t>
        </m:r>
      </m:oMath>
      <w:r>
        <w:t xml:space="preserve">值随批次级别数据的信息量动态变化，提出根据数据质量自适应调整</w:t>
      </w:r>
      <m:oMath>
        <m:r>
          <m:t>β</m:t>
        </m:r>
      </m:oMath>
      <w:r>
        <w:t xml:space="preserve">的机制</w:t>
      </w:r>
      <w:r>
        <w:t xml:space="preserve"> </w:t>
      </w:r>
      <w:r>
        <w:rPr>
          <w:vertAlign w:val="superscript"/>
        </w:rPr>
        <w:footnoteReference w:id="19"/>
      </w:r>
      <w:r>
        <w:t xml:space="preserve">。其核心思想是：高信息量偏好对（模型预测与标签不一致）应使用较小</w:t>
      </w:r>
      <m:oMath>
        <m:r>
          <m:t>β</m:t>
        </m:r>
      </m:oMath>
      <w:r>
        <w:t xml:space="preserve">以允许更大更新，低信息量对则使用较大</w:t>
      </w:r>
      <m:oMath>
        <m:r>
          <m:t>β</m:t>
        </m:r>
      </m:oMath>
      <w:r>
        <w:t xml:space="preserve">以加强正则化。</w:t>
      </w:r>
    </w:p>
    <w:bookmarkEnd w:id="41"/>
    <w:bookmarkStart w:id="42" w:name="简化方法simpo与orpo"/>
    <w:p>
      <w:pPr>
        <w:pStyle w:val="Heading4"/>
      </w:pPr>
      <w:r>
        <w:t xml:space="preserve">2.2.3 简化方法：SimPO与ORPO</w:t>
      </w:r>
    </w:p>
    <w:p>
      <w:pPr>
        <w:pStyle w:val="FirstParagraph"/>
      </w:pPr>
      <w:r>
        <w:t xml:space="preserve">SimPO（Simple Preference Optimization，NeurIPS 2024/ICLR 2025）完全移除了参考模型，使用长度归一化的平均log概率作为奖励函数</w:t>
      </w:r>
      <w:r>
        <w:t xml:space="preserve"> </w:t>
      </w:r>
      <w:fldSimple w:instr="NOTEREF _Ref_Footnote_8 \h \f">
        <w:r>
          <w:rPr>
            <w:vertAlign w:val="superscript"/>
          </w:rPr>
          <w:t>8</w:t>
        </w:r>
      </w:fldSimple>
      <w:r>
        <w:t xml:space="preserve">：</w:t>
      </w:r>
    </w:p>
    <w:p>
      <w:pPr>
        <w:pStyle w:val="BodyText"/>
      </w:pPr>
      <m:oMathPara>
        <m:oMathParaPr>
          <m:jc m:val="center"/>
        </m:oMathParaPr>
        <m:oMath>
          <m:sSub>
            <m:e>
              <m:r>
                <m:t>r</m:t>
              </m:r>
            </m:e>
            <m:sub>
              <m:r>
                <m:t>S</m:t>
              </m:r>
              <m:r>
                <m:t>i</m:t>
              </m:r>
              <m:r>
                <m:t>m</m:t>
              </m:r>
              <m:r>
                <m:t>P</m:t>
              </m:r>
              <m:r>
                <m:t>O</m:t>
              </m:r>
            </m:sub>
          </m:sSub>
          <m:d>
            <m:dPr>
              <m:begChr m:val="("/>
              <m:endChr m:val=")"/>
              <m:sepChr m:val=""/>
              <m:grow/>
            </m:dPr>
            <m:e>
              <m:r>
                <m:t>x</m:t>
              </m:r>
              <m:r>
                <m:rPr>
                  <m:sty m:val="p"/>
                </m:rPr>
                <m:t>,</m:t>
              </m:r>
              <m:r>
                <m:t>y</m:t>
              </m:r>
            </m:e>
          </m:d>
          <m:r>
            <m:rPr>
              <m:sty m:val="p"/>
            </m:rPr>
            <m:t>=</m:t>
          </m:r>
          <m:f>
            <m:fPr>
              <m:type m:val="bar"/>
            </m:fPr>
            <m:num>
              <m:r>
                <m:t>β</m:t>
              </m:r>
            </m:num>
            <m:den>
              <m:d>
                <m:dPr>
                  <m:begChr m:val="|"/>
                  <m:endChr m:val="|"/>
                  <m:sepChr m:val=""/>
                  <m:grow/>
                </m:dPr>
                <m:e>
                  <m:r>
                    <m:t>y</m:t>
                  </m:r>
                </m:e>
              </m:d>
            </m:den>
          </m:f>
          <m:nary>
            <m:naryPr>
              <m:chr m:val="∑"/>
              <m:limLoc m:val="undOvr"/>
              <m:subHide m:val="0"/>
              <m:supHide m:val="0"/>
            </m:naryPr>
            <m:sub>
              <m:r>
                <m:t>t</m:t>
              </m:r>
              <m:r>
                <m:rPr>
                  <m:sty m:val="p"/>
                </m:rPr>
                <m:t>=</m:t>
              </m:r>
              <m:r>
                <m:t>1</m:t>
              </m:r>
            </m:sub>
            <m:sup>
              <m:d>
                <m:dPr>
                  <m:begChr m:val="|"/>
                  <m:endChr m:val="|"/>
                  <m:sepChr m:val=""/>
                  <m:grow/>
                </m:dPr>
                <m:e>
                  <m:r>
                    <m:t>y</m:t>
                  </m:r>
                </m:e>
              </m:d>
            </m:sup>
            <m:e>
              <m:r>
                <m:rPr>
                  <m:sty m:val="p"/>
                </m:rPr>
                <m:t>log</m:t>
              </m:r>
            </m:e>
          </m:nary>
          <m:sSub>
            <m:e>
              <m:r>
                <m:t>π</m:t>
              </m:r>
            </m:e>
            <m:sub>
              <m:r>
                <m:t>θ</m:t>
              </m:r>
            </m:sub>
          </m:sSub>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oMath>
      </m:oMathPara>
    </w:p>
    <w:p>
      <w:pPr>
        <w:pStyle w:val="FirstParagraph"/>
      </w:pPr>
      <m:oMathPara>
        <m:oMathParaPr>
          <m:jc m:val="center"/>
        </m:oMathParaPr>
        <m:oMath>
          <m:sSub>
            <m:e>
              <m:r>
                <m:rPr>
                  <m:sty m:val="p"/>
                  <m:scr m:val="script"/>
                </m:rPr>
                <m:t>L</m:t>
              </m:r>
            </m:e>
            <m:sub>
              <m:r>
                <m:t>S</m:t>
              </m:r>
              <m:r>
                <m:t>i</m:t>
              </m:r>
              <m:r>
                <m:t>m</m:t>
              </m:r>
              <m:r>
                <m:t>P</m:t>
              </m:r>
              <m:r>
                <m:t>O</m:t>
              </m:r>
            </m:sub>
          </m:sSub>
          <m:r>
            <m:rPr>
              <m:sty m:val="p"/>
            </m:rPr>
            <m:t>=</m:t>
          </m:r>
          <m:r>
            <m:rPr>
              <m:sty m:val="p"/>
            </m:rPr>
            <m:t>−</m:t>
          </m:r>
          <m:r>
            <m:rPr>
              <m:sty m:val="p"/>
              <m:scr m:val="double-struck"/>
            </m:rPr>
            <m:t>E</m:t>
          </m:r>
          <m:d>
            <m:dPr>
              <m:begChr m:val="["/>
              <m:endChr m:val="]"/>
              <m:sepChr m:val=""/>
              <m:grow/>
            </m:dPr>
            <m:e>
              <m:r>
                <m:rPr>
                  <m:sty m:val="p"/>
                </m:rPr>
                <m:t>log</m:t>
              </m:r>
              <m:r>
                <m:t>σ</m:t>
              </m:r>
              <m:d>
                <m:dPr>
                  <m:begChr m:val="("/>
                  <m:endChr m:val=")"/>
                  <m:sepChr m:val=""/>
                  <m:grow/>
                </m:dPr>
                <m:e>
                  <m:sSub>
                    <m:e>
                      <m:r>
                        <m:t>r</m:t>
                      </m:r>
                    </m:e>
                    <m:sub>
                      <m:r>
                        <m:t>S</m:t>
                      </m:r>
                      <m:r>
                        <m:t>i</m:t>
                      </m:r>
                      <m:r>
                        <m:t>m</m:t>
                      </m:r>
                      <m:r>
                        <m:t>P</m:t>
                      </m:r>
                      <m:r>
                        <m:t>O</m:t>
                      </m:r>
                    </m:sub>
                  </m:sSub>
                  <m:d>
                    <m:dPr>
                      <m:begChr m:val="("/>
                      <m:endChr m:val=")"/>
                      <m:sepChr m:val=""/>
                      <m:grow/>
                    </m:dPr>
                    <m:e>
                      <m:r>
                        <m:t>x</m:t>
                      </m:r>
                      <m:r>
                        <m:rPr>
                          <m:sty m:val="p"/>
                        </m:rPr>
                        <m:t>,</m:t>
                      </m:r>
                      <m:sSub>
                        <m:e>
                          <m:r>
                            <m:t>y</m:t>
                          </m:r>
                        </m:e>
                        <m:sub>
                          <m:r>
                            <m:t>w</m:t>
                          </m:r>
                        </m:sub>
                      </m:sSub>
                    </m:e>
                  </m:d>
                  <m:r>
                    <m:rPr>
                      <m:sty m:val="p"/>
                    </m:rPr>
                    <m:t>−</m:t>
                  </m:r>
                  <m:sSub>
                    <m:e>
                      <m:r>
                        <m:t>r</m:t>
                      </m:r>
                    </m:e>
                    <m:sub>
                      <m:r>
                        <m:t>S</m:t>
                      </m:r>
                      <m:r>
                        <m:t>i</m:t>
                      </m:r>
                      <m:r>
                        <m:t>m</m:t>
                      </m:r>
                      <m:r>
                        <m:t>P</m:t>
                      </m:r>
                      <m:r>
                        <m:t>O</m:t>
                      </m:r>
                    </m:sub>
                  </m:sSub>
                  <m:d>
                    <m:dPr>
                      <m:begChr m:val="("/>
                      <m:endChr m:val=")"/>
                      <m:sepChr m:val=""/>
                      <m:grow/>
                    </m:dPr>
                    <m:e>
                      <m:r>
                        <m:t>x</m:t>
                      </m:r>
                      <m:r>
                        <m:rPr>
                          <m:sty m:val="p"/>
                        </m:rPr>
                        <m:t>,</m:t>
                      </m:r>
                      <m:sSub>
                        <m:e>
                          <m:r>
                            <m:t>y</m:t>
                          </m:r>
                        </m:e>
                        <m:sub>
                          <m:r>
                            <m:t>l</m:t>
                          </m:r>
                        </m:sub>
                      </m:sSub>
                    </m:e>
                  </m:d>
                  <m:r>
                    <m:rPr>
                      <m:sty m:val="p"/>
                    </m:rPr>
                    <m:t>−</m:t>
                  </m:r>
                  <m:r>
                    <m:t>γ</m:t>
                  </m:r>
                </m:e>
              </m:d>
            </m:e>
          </m:d>
        </m:oMath>
      </m:oMathPara>
    </w:p>
    <w:p>
      <w:pPr>
        <w:pStyle w:val="FirstParagraph"/>
      </w:pPr>
      <w:r>
        <w:t xml:space="preserve">其中</w:t>
      </w:r>
      <m:oMath>
        <m:r>
          <m:t>γ</m:t>
        </m:r>
      </m:oMath>
      <w:r>
        <w:t xml:space="preserve">为目标奖励间隔（target reward margin），典型值为</w:t>
      </w:r>
      <m:oMath>
        <m:r>
          <m:t>γ</m:t>
        </m:r>
        <m:r>
          <m:rPr>
            <m:sty m:val="p"/>
          </m:rPr>
          <m:t>/</m:t>
        </m:r>
        <m:r>
          <m:t>β</m:t>
        </m:r>
        <m:r>
          <m:rPr>
            <m:sty m:val="p"/>
          </m:rPr>
          <m:t>∈</m:t>
        </m:r>
        <m:d>
          <m:dPr>
            <m:begChr m:val="["/>
            <m:endChr m:val="]"/>
            <m:sepChr m:val=""/>
            <m:grow/>
          </m:dPr>
          <m:e>
            <m:r>
              <m:t>0.3</m:t>
            </m:r>
            <m:r>
              <m:rPr>
                <m:sty m:val="p"/>
              </m:rPr>
              <m:t>,</m:t>
            </m:r>
            <m:r>
              <m:t>1.6</m:t>
            </m:r>
          </m:e>
        </m:d>
      </m:oMath>
      <w:r>
        <w:t xml:space="preserve">。SimPO解决了DPO隐式奖励与生成阶段实际使用指标之间的错位问题——DPO的奖励是policy与reference的log-ratio，而实际生成使用average log-likelihood</w:t>
      </w:r>
      <w:r>
        <w:t xml:space="preserve"> </w:t>
      </w:r>
      <w:fldSimple w:instr="NOTEREF _Ref_Footnote_8 \h \f">
        <w:r>
          <w:rPr>
            <w:vertAlign w:val="superscript"/>
          </w:rPr>
          <w:t>8</w:t>
        </w:r>
      </w:fldSimple>
      <w:r>
        <w:t xml:space="preserve">。实验显示，Llama-3-8B-Instruct配合SimPO在AlpacaEval 2上达到40.2% LC Win Rate，相比DPO提升2-5个百分点，同时生成更短、更少冗余的输出</w:t>
      </w:r>
      <w:r>
        <w:t xml:space="preserve"> </w:t>
      </w:r>
      <w:fldSimple w:instr="NOTEREF _Ref_Footnote_8 \h \f">
        <w:r>
          <w:rPr>
            <w:vertAlign w:val="superscript"/>
          </w:rPr>
          <w:t>8</w:t>
        </w:r>
      </w:fldSimple>
      <w:r>
        <w:t xml:space="preserve">。</w:t>
      </w:r>
    </w:p>
    <w:p>
      <w:pPr>
        <w:pStyle w:val="BodyText"/>
      </w:pPr>
      <w:r>
        <w:t xml:space="preserve">ORPO（Odds Ratio Preference Optimization，EMNLP 2024）将SFT和偏好对齐合并为单阶段训练，使用odds ratio惩罚项</w:t>
      </w:r>
      <w:r>
        <w:t xml:space="preserve"> </w:t>
      </w:r>
      <w:fldSimple w:instr="NOTEREF _Ref_Footnote_10 \h \f">
        <w:r>
          <w:rPr>
            <w:vertAlign w:val="superscript"/>
          </w:rPr>
          <w:t>10</w:t>
        </w:r>
      </w:fldSimple>
      <w:r>
        <w:t xml:space="preserve">：</w:t>
      </w:r>
    </w:p>
    <w:p>
      <w:pPr>
        <w:pStyle w:val="BodyText"/>
      </w:pPr>
      <m:oMathPara>
        <m:oMathParaPr>
          <m:jc m:val="center"/>
        </m:oMathParaPr>
        <m:oMath>
          <m:sSub>
            <m:e>
              <m:r>
                <m:rPr>
                  <m:sty m:val="p"/>
                  <m:scr m:val="script"/>
                </m:rPr>
                <m:t>L</m:t>
              </m:r>
            </m:e>
            <m:sub>
              <m:r>
                <m:t>O</m:t>
              </m:r>
              <m:r>
                <m:t>R</m:t>
              </m:r>
              <m:r>
                <m:t>P</m:t>
              </m:r>
              <m:r>
                <m:t>O</m:t>
              </m:r>
            </m:sub>
          </m:sSub>
          <m:r>
            <m:rPr>
              <m:sty m:val="p"/>
            </m:rPr>
            <m:t>=</m:t>
          </m:r>
          <m:sSub>
            <m:e>
              <m:r>
                <m:rPr>
                  <m:sty m:val="p"/>
                  <m:scr m:val="script"/>
                </m:rPr>
                <m:t>L</m:t>
              </m:r>
            </m:e>
            <m:sub>
              <m:r>
                <m:t>S</m:t>
              </m:r>
              <m:r>
                <m:t>F</m:t>
              </m:r>
              <m:r>
                <m:t>T</m:t>
              </m:r>
            </m:sub>
          </m:sSub>
          <m:r>
            <m:rPr>
              <m:sty m:val="p"/>
            </m:rPr>
            <m:t>−</m:t>
          </m:r>
          <m:r>
            <m:t>λ</m:t>
          </m:r>
          <m:r>
            <m:rPr>
              <m:sty m:val="p"/>
            </m:rPr>
            <m:t>⋅</m:t>
          </m:r>
          <m:r>
            <m:rPr>
              <m:sty m:val="p"/>
              <m:scr m:val="double-struck"/>
            </m:rPr>
            <m:t>E</m:t>
          </m:r>
          <m:d>
            <m:dPr>
              <m:begChr m:val="["/>
              <m:endChr m:val="]"/>
              <m:sepChr m:val=""/>
              <m:grow/>
            </m:dPr>
            <m:e>
              <m:r>
                <m:rPr>
                  <m:sty m:val="p"/>
                </m:rPr>
                <m:t>log</m:t>
              </m:r>
              <m:r>
                <m:t>σ</m:t>
              </m:r>
              <m:d>
                <m:dPr>
                  <m:begChr m:val="("/>
                  <m:endChr m:val=")"/>
                  <m:sepChr m:val=""/>
                  <m:grow/>
                </m:dPr>
                <m:e>
                  <m:r>
                    <m:t>β</m:t>
                  </m:r>
                  <m:r>
                    <m:rPr>
                      <m:sty m:val="p"/>
                    </m:rPr>
                    <m:t>log</m:t>
                  </m:r>
                  <m:f>
                    <m:fPr>
                      <m:type m:val="bar"/>
                    </m:fPr>
                    <m:num>
                      <m:sSub>
                        <m:e>
                          <m:r>
                            <m:rPr>
                              <m:nor/>
                              <m:sty m:val="p"/>
                            </m:rPr>
                            <m:t>odds</m:t>
                          </m:r>
                        </m:e>
                        <m:sub>
                          <m:sSub>
                            <m:e>
                              <m:r>
                                <m:t>π</m:t>
                              </m:r>
                            </m:e>
                            <m:sub>
                              <m:r>
                                <m:t>θ</m:t>
                              </m:r>
                            </m:sub>
                          </m:sSub>
                        </m:sub>
                      </m:sSub>
                      <m:d>
                        <m:dPr>
                          <m:begChr m:val="("/>
                          <m:endChr m:val=")"/>
                          <m:sepChr m:val=""/>
                          <m:grow/>
                        </m:dPr>
                        <m:e>
                          <m:sSub>
                            <m:e>
                              <m:r>
                                <m:t>y</m:t>
                              </m:r>
                            </m:e>
                            <m:sub>
                              <m:r>
                                <m:t>w</m:t>
                              </m:r>
                            </m:sub>
                          </m:sSub>
                          <m:r>
                            <m:rPr>
                              <m:sty m:val="p"/>
                            </m:rPr>
                            <m:t>|</m:t>
                          </m:r>
                          <m:r>
                            <m:t>x</m:t>
                          </m:r>
                        </m:e>
                      </m:d>
                    </m:num>
                    <m:den>
                      <m:sSub>
                        <m:e>
                          <m:r>
                            <m:rPr>
                              <m:nor/>
                              <m:sty m:val="p"/>
                            </m:rPr>
                            <m:t>odds</m:t>
                          </m:r>
                        </m:e>
                        <m:sub>
                          <m:sSub>
                            <m:e>
                              <m:r>
                                <m:t>π</m:t>
                              </m:r>
                            </m:e>
                            <m:sub>
                              <m:r>
                                <m:t>θ</m:t>
                              </m:r>
                            </m:sub>
                          </m:sSub>
                        </m:sub>
                      </m:sSub>
                      <m:d>
                        <m:dPr>
                          <m:begChr m:val="("/>
                          <m:endChr m:val=")"/>
                          <m:sepChr m:val=""/>
                          <m:grow/>
                        </m:dPr>
                        <m:e>
                          <m:sSub>
                            <m:e>
                              <m:r>
                                <m:t>y</m:t>
                              </m:r>
                            </m:e>
                            <m:sub>
                              <m:r>
                                <m:t>l</m:t>
                              </m:r>
                            </m:sub>
                          </m:sSub>
                          <m:r>
                            <m:rPr>
                              <m:sty m:val="p"/>
                            </m:rPr>
                            <m:t>|</m:t>
                          </m:r>
                          <m:r>
                            <m:t>x</m:t>
                          </m:r>
                        </m:e>
                      </m:d>
                    </m:den>
                  </m:f>
                </m:e>
              </m:d>
            </m:e>
          </m:d>
        </m:oMath>
      </m:oMathPara>
    </w:p>
    <w:p>
      <w:pPr>
        <w:pStyle w:val="FirstParagraph"/>
      </w:pPr>
      <w:r>
        <w:t xml:space="preserve">其中</w:t>
      </w:r>
      <m:oMath>
        <m:sSub>
          <m:e>
            <m:r>
              <m:rPr>
                <m:nor/>
                <m:sty m:val="p"/>
              </m:rPr>
              <m:t>odds</m:t>
            </m:r>
          </m:e>
          <m:sub>
            <m:r>
              <m:t>π</m:t>
            </m:r>
          </m:sub>
        </m:sSub>
        <m:d>
          <m:dPr>
            <m:begChr m:val="("/>
            <m:endChr m:val=")"/>
            <m:sepChr m:val=""/>
            <m:grow/>
          </m:dPr>
          <m:e>
            <m:r>
              <m:t>y</m:t>
            </m:r>
            <m:r>
              <m:rPr>
                <m:sty m:val="p"/>
              </m:rPr>
              <m:t>|</m:t>
            </m:r>
            <m:r>
              <m:t>x</m:t>
            </m:r>
          </m:e>
        </m:d>
        <m:r>
          <m:rPr>
            <m:sty m:val="p"/>
          </m:rPr>
          <m:t>=</m:t>
        </m:r>
        <m:r>
          <m:t>π</m:t>
        </m:r>
        <m:d>
          <m:dPr>
            <m:begChr m:val="("/>
            <m:endChr m:val=")"/>
            <m:sepChr m:val=""/>
            <m:grow/>
          </m:dPr>
          <m:e>
            <m:r>
              <m:t>y</m:t>
            </m:r>
            <m:r>
              <m:rPr>
                <m:sty m:val="p"/>
              </m:rPr>
              <m:t>|</m:t>
            </m:r>
            <m:r>
              <m:t>x</m:t>
            </m:r>
          </m:e>
        </m:d>
        <m:r>
          <m:rPr>
            <m:sty m:val="p"/>
          </m:rPr>
          <m:t>/</m:t>
        </m:r>
        <m:d>
          <m:dPr>
            <m:begChr m:val="("/>
            <m:endChr m:val=")"/>
            <m:sepChr m:val=""/>
            <m:grow/>
          </m:dPr>
          <m:e>
            <m:r>
              <m:t>1</m:t>
            </m:r>
            <m:r>
              <m:rPr>
                <m:sty m:val="p"/>
              </m:rPr>
              <m:t>−</m:t>
            </m:r>
            <m:r>
              <m:t>π</m:t>
            </m:r>
            <m:d>
              <m:dPr>
                <m:begChr m:val="("/>
                <m:endChr m:val=")"/>
                <m:sepChr m:val=""/>
                <m:grow/>
              </m:dPr>
              <m:e>
                <m:r>
                  <m:t>y</m:t>
                </m:r>
                <m:r>
                  <m:rPr>
                    <m:sty m:val="p"/>
                  </m:rPr>
                  <m:t>|</m:t>
                </m:r>
                <m:r>
                  <m:t>x</m:t>
                </m:r>
              </m:e>
            </m:d>
          </m:e>
        </m:d>
      </m:oMath>
      <w:r>
        <w:t xml:space="preserve">。ORPO的核心洞察是：SFT本身对于偏好对齐的成功收敛至关重要，只需对不喜欢的生成样式施加轻微惩罚即可</w:t>
      </w:r>
      <w:r>
        <w:t xml:space="preserve"> </w:t>
      </w:r>
      <w:fldSimple w:instr="NOTEREF _Ref_Footnote_10 \h \f">
        <w:r>
          <w:rPr>
            <w:vertAlign w:val="superscript"/>
          </w:rPr>
          <w:t>10</w:t>
        </w:r>
      </w:fldSimple>
      <w:r>
        <w:t xml:space="preserve">。</w:t>
      </w:r>
    </w:p>
    <w:bookmarkEnd w:id="42"/>
    <w:bookmarkStart w:id="43" w:name="kto二元反馈信号即可匹配dpo性能"/>
    <w:p>
      <w:pPr>
        <w:pStyle w:val="Heading4"/>
      </w:pPr>
      <w:r>
        <w:t xml:space="preserve">2.2.4 KTO：二元反馈信号即可匹配DPO性能</w:t>
      </w:r>
    </w:p>
    <w:p>
      <w:pPr>
        <w:pStyle w:val="FirstParagraph"/>
      </w:pPr>
      <w:r>
        <w:t xml:space="preserve">KTO（Kahneman-Tversky Optimization）基于前景理论，仅需二元信号（</w:t>
      </w:r>
      <w:r>
        <w:t xml:space="preserve">“</w:t>
      </w:r>
      <w:r>
        <w:t xml:space="preserve">好</w:t>
      </w:r>
      <w:r>
        <w:t xml:space="preserve">”</w:t>
      </w:r>
      <w:r>
        <w:t xml:space="preserve">/</w:t>
      </w:r>
      <w:r>
        <w:t xml:space="preserve">“</w:t>
      </w:r>
      <w:r>
        <w:t xml:space="preserve">坏</w:t>
      </w:r>
      <w:r>
        <w:t xml:space="preserve">”</w:t>
      </w:r>
      <w:r>
        <w:t xml:space="preserve">）即可进行对齐，无需成对偏好数据</w:t>
      </w:r>
      <w:r>
        <w:t xml:space="preserve"> </w:t>
      </w:r>
      <w:fldSimple w:instr="NOTEREF _Ref_Footnote_9 \h \f">
        <w:r>
          <w:rPr>
            <w:vertAlign w:val="superscript"/>
          </w:rPr>
          <w:t>9</w:t>
        </w:r>
      </w:fldSimple>
      <w:r>
        <w:t xml:space="preserve">。KTO的效用函数直接最大化生成结果的价值：</w:t>
      </w:r>
    </w:p>
    <w:p>
      <w:pPr>
        <w:pStyle w:val="BodyText"/>
      </w:pPr>
      <m:oMathPara>
        <m:oMathParaPr>
          <m:jc m:val="center"/>
        </m:oMathParaPr>
        <m:oMath>
          <m:sSub>
            <m:e>
              <m:r>
                <m:rPr>
                  <m:sty m:val="p"/>
                  <m:scr m:val="script"/>
                </m:rPr>
                <m:t>L</m:t>
              </m:r>
            </m:e>
            <m:sub>
              <m:r>
                <m:t>K</m:t>
              </m:r>
              <m:r>
                <m:t>T</m:t>
              </m:r>
              <m:r>
                <m:t>O</m:t>
              </m:r>
            </m:sub>
          </m:sSub>
          <m:r>
            <m:rPr>
              <m:sty m:val="p"/>
            </m:rPr>
            <m:t>=</m:t>
          </m:r>
          <m:sSub>
            <m:e>
              <m:r>
                <m:rPr>
                  <m:sty m:val="p"/>
                  <m:scr m:val="double-struck"/>
                </m:rPr>
                <m:t>E</m:t>
              </m:r>
            </m:e>
            <m:sub>
              <m:d>
                <m:dPr>
                  <m:begChr m:val="("/>
                  <m:endChr m:val=")"/>
                  <m:sepChr m:val=""/>
                  <m:grow/>
                </m:dPr>
                <m:e>
                  <m:r>
                    <m:t>x</m:t>
                  </m:r>
                  <m:r>
                    <m:rPr>
                      <m:sty m:val="p"/>
                    </m:rPr>
                    <m:t>,</m:t>
                  </m:r>
                  <m:r>
                    <m:t>y</m:t>
                  </m:r>
                </m:e>
              </m:d>
              <m:r>
                <m:rPr>
                  <m:sty m:val="p"/>
                </m:rPr>
                <m:t>∼</m:t>
              </m:r>
              <m:r>
                <m:t>D</m:t>
              </m:r>
            </m:sub>
          </m:sSub>
          <m:d>
            <m:dPr>
              <m:begChr m:val="["/>
              <m:endChr m:val="]"/>
              <m:sepChr m:val=""/>
              <m:grow/>
            </m:dPr>
            <m:e>
              <m:r>
                <m:t>w</m:t>
              </m:r>
              <m:d>
                <m:dPr>
                  <m:begChr m:val="("/>
                  <m:endChr m:val=")"/>
                  <m:sepChr m:val=""/>
                  <m:grow/>
                </m:dPr>
                <m:e>
                  <m:r>
                    <m:t>y</m:t>
                  </m:r>
                </m:e>
              </m:d>
              <m:r>
                <m:rPr>
                  <m:sty m:val="p"/>
                </m:rPr>
                <m:t>⋅</m:t>
              </m:r>
              <m:d>
                <m:dPr>
                  <m:begChr m:val="("/>
                  <m:endChr m:val=")"/>
                  <m:sepChr m:val=""/>
                  <m:grow/>
                </m:dPr>
                <m:e>
                  <m:r>
                    <m:t>1</m:t>
                  </m:r>
                  <m:r>
                    <m:rPr>
                      <m:sty m:val="p"/>
                    </m:rPr>
                    <m:t>−</m:t>
                  </m:r>
                  <m:sSub>
                    <m:e>
                      <m:r>
                        <m:t>v</m:t>
                      </m:r>
                    </m:e>
                    <m:sub>
                      <m:r>
                        <m:t>K</m:t>
                      </m:r>
                      <m:r>
                        <m:t>T</m:t>
                      </m:r>
                      <m:r>
                        <m:t>O</m:t>
                      </m:r>
                    </m:sub>
                  </m:sSub>
                  <m:d>
                    <m:dPr>
                      <m:begChr m:val="("/>
                      <m:endChr m:val=")"/>
                      <m:sepChr m:val=""/>
                      <m:grow/>
                    </m:dPr>
                    <m:e>
                      <m:r>
                        <m:t>x</m:t>
                      </m:r>
                      <m:r>
                        <m:rPr>
                          <m:sty m:val="p"/>
                        </m:rPr>
                        <m:t>,</m:t>
                      </m:r>
                      <m:r>
                        <m:t>y</m:t>
                      </m:r>
                    </m:e>
                  </m:d>
                </m:e>
              </m:d>
            </m:e>
          </m:d>
        </m:oMath>
      </m:oMathPara>
    </w:p>
    <w:p>
      <w:pPr>
        <w:pStyle w:val="FirstParagraph"/>
      </w:pPr>
      <w:r>
        <w:t xml:space="preserve">其中</w:t>
      </w:r>
      <m:oMath>
        <m:sSub>
          <m:e>
            <m:r>
              <m:t>v</m:t>
            </m:r>
          </m:e>
          <m:sub>
            <m:r>
              <m:t>K</m:t>
            </m:r>
            <m:r>
              <m:t>T</m:t>
            </m:r>
            <m:r>
              <m:t>O</m:t>
            </m:r>
          </m:sub>
        </m:sSub>
        <m:r>
          <m:rPr>
            <m:sty m:val="p"/>
          </m:rPr>
          <m:t>=</m:t>
        </m:r>
        <m:r>
          <m:t>σ</m:t>
        </m:r>
        <m:d>
          <m:dPr>
            <m:begChr m:val="("/>
            <m:endChr m:val=")"/>
            <m:sepChr m:val=""/>
            <m:grow/>
          </m:dPr>
          <m:e>
            <m:sSub>
              <m:e>
                <m:r>
                  <m:t>r</m:t>
                </m:r>
              </m:e>
              <m:sub>
                <m:r>
                  <m:t>K</m:t>
                </m:r>
                <m:r>
                  <m:t>T</m:t>
                </m:r>
                <m:r>
                  <m:t>O</m:t>
                </m:r>
              </m:sub>
            </m:sSub>
            <m:d>
              <m:dPr>
                <m:begChr m:val="("/>
                <m:endChr m:val=")"/>
                <m:sepChr m:val=""/>
                <m:grow/>
              </m:dPr>
              <m:e>
                <m:r>
                  <m:t>x</m:t>
                </m:r>
                <m:r>
                  <m:rPr>
                    <m:sty m:val="p"/>
                  </m:rPr>
                  <m:t>,</m:t>
                </m:r>
                <m:r>
                  <m:t>y</m:t>
                </m:r>
              </m:e>
            </m:d>
            <m:r>
              <m:rPr>
                <m:sty m:val="p"/>
              </m:rPr>
              <m:t>−</m:t>
            </m:r>
            <m:sSub>
              <m:e>
                <m:r>
                  <m:t>z</m:t>
                </m:r>
              </m:e>
              <m:sub>
                <m:r>
                  <m:t>r</m:t>
                </m:r>
                <m:r>
                  <m:t>e</m:t>
                </m:r>
                <m:r>
                  <m:t>f</m:t>
                </m:r>
              </m:sub>
            </m:sSub>
          </m:e>
        </m:d>
      </m:oMath>
      <w:r>
        <w:t xml:space="preserve">对期望输出，</w:t>
      </w:r>
      <m:oMath>
        <m:sSub>
          <m:e>
            <m:r>
              <m:t>v</m:t>
            </m:r>
          </m:e>
          <m:sub>
            <m:r>
              <m:t>K</m:t>
            </m:r>
            <m:r>
              <m:t>T</m:t>
            </m:r>
            <m:r>
              <m:t>O</m:t>
            </m:r>
          </m:sub>
        </m:sSub>
        <m:r>
          <m:rPr>
            <m:sty m:val="p"/>
          </m:rPr>
          <m:t>=</m:t>
        </m:r>
        <m:r>
          <m:t>σ</m:t>
        </m:r>
        <m:d>
          <m:dPr>
            <m:begChr m:val="("/>
            <m:endChr m:val=")"/>
            <m:sepChr m:val=""/>
            <m:grow/>
          </m:dPr>
          <m:e>
            <m:sSub>
              <m:e>
                <m:r>
                  <m:t>z</m:t>
                </m:r>
              </m:e>
              <m:sub>
                <m:r>
                  <m:t>r</m:t>
                </m:r>
                <m:r>
                  <m:t>e</m:t>
                </m:r>
                <m:r>
                  <m:t>f</m:t>
                </m:r>
              </m:sub>
            </m:sSub>
            <m:r>
              <m:rPr>
                <m:sty m:val="p"/>
              </m:rPr>
              <m:t>−</m:t>
            </m:r>
            <m:sSub>
              <m:e>
                <m:r>
                  <m:t>r</m:t>
                </m:r>
              </m:e>
              <m:sub>
                <m:r>
                  <m:t>K</m:t>
                </m:r>
                <m:r>
                  <m:t>T</m:t>
                </m:r>
                <m:r>
                  <m:t>O</m:t>
                </m:r>
              </m:sub>
            </m:sSub>
            <m:d>
              <m:dPr>
                <m:begChr m:val="("/>
                <m:endChr m:val=")"/>
                <m:sepChr m:val=""/>
                <m:grow/>
              </m:dPr>
              <m:e>
                <m:r>
                  <m:t>x</m:t>
                </m:r>
                <m:r>
                  <m:rPr>
                    <m:sty m:val="p"/>
                  </m:rPr>
                  <m:t>,</m:t>
                </m:r>
                <m:r>
                  <m:t>y</m:t>
                </m:r>
              </m:e>
            </m:d>
          </m:e>
        </m:d>
      </m:oMath>
      <w:r>
        <w:t xml:space="preserve">对非期望输出，</w:t>
      </w:r>
      <m:oMath>
        <m:sSub>
          <m:e>
            <m:r>
              <m:t>r</m:t>
            </m:r>
          </m:e>
          <m:sub>
            <m:r>
              <m:t>K</m:t>
            </m:r>
            <m:r>
              <m:t>T</m:t>
            </m:r>
            <m:r>
              <m:t>O</m:t>
            </m:r>
          </m:sub>
        </m:sSub>
        <m:d>
          <m:dPr>
            <m:begChr m:val="("/>
            <m:endChr m:val=")"/>
            <m:sepChr m:val=""/>
            <m:grow/>
          </m:dPr>
          <m:e>
            <m:r>
              <m:t>x</m:t>
            </m:r>
            <m:r>
              <m:rPr>
                <m:sty m:val="p"/>
              </m:rPr>
              <m:t>,</m:t>
            </m:r>
            <m:r>
              <m:t>y</m:t>
            </m:r>
          </m:e>
        </m:d>
        <m:r>
          <m:rPr>
            <m:sty m:val="p"/>
          </m:rPr>
          <m:t>=</m:t>
        </m:r>
        <m:r>
          <m:t>β</m:t>
        </m:r>
        <m:r>
          <m:rPr>
            <m:sty m:val="p"/>
          </m:rPr>
          <m:t>log</m:t>
        </m:r>
        <m:d>
          <m:dPr>
            <m:begChr m:val="("/>
            <m:endChr m:val=")"/>
            <m:sepChr m:val=""/>
            <m:grow/>
          </m:dPr>
          <m:e>
            <m:sSub>
              <m:e>
                <m:r>
                  <m:t>π</m:t>
                </m:r>
              </m:e>
              <m:sub>
                <m:r>
                  <m:t>θ</m:t>
                </m:r>
              </m:sub>
            </m:sSub>
            <m:d>
              <m:dPr>
                <m:begChr m:val="("/>
                <m:endChr m:val=")"/>
                <m:sepChr m:val=""/>
                <m:grow/>
              </m:dPr>
              <m:e>
                <m:r>
                  <m:t>y</m:t>
                </m:r>
                <m:r>
                  <m:rPr>
                    <m:sty m:val="p"/>
                  </m:rPr>
                  <m:t>|</m:t>
                </m:r>
                <m:r>
                  <m:t>x</m:t>
                </m:r>
              </m:e>
            </m:d>
            <m:r>
              <m:rPr>
                <m:sty m:val="p"/>
              </m:rPr>
              <m:t>/</m:t>
            </m:r>
            <m:sSub>
              <m:e>
                <m:r>
                  <m:t>π</m:t>
                </m:r>
              </m:e>
              <m:sub>
                <m:r>
                  <m:t>r</m:t>
                </m:r>
                <m:r>
                  <m:t>e</m:t>
                </m:r>
                <m:r>
                  <m:t>f</m:t>
                </m:r>
              </m:sub>
            </m:sSub>
            <m:d>
              <m:dPr>
                <m:begChr m:val="("/>
                <m:endChr m:val=")"/>
                <m:sepChr m:val=""/>
                <m:grow/>
              </m:dPr>
              <m:e>
                <m:r>
                  <m:t>y</m:t>
                </m:r>
                <m:r>
                  <m:rPr>
                    <m:sty m:val="p"/>
                  </m:rPr>
                  <m:t>|</m:t>
                </m:r>
                <m:r>
                  <m:t>x</m:t>
                </m:r>
              </m:e>
            </m:d>
          </m:e>
        </m:d>
      </m:oMath>
      <w:r>
        <w:t xml:space="preserve">，</w:t>
      </w:r>
      <m:oMath>
        <m:sSub>
          <m:e>
            <m:r>
              <m:t>z</m:t>
            </m:r>
          </m:e>
          <m:sub>
            <m:r>
              <m:t>r</m:t>
            </m:r>
            <m:r>
              <m:t>e</m:t>
            </m:r>
            <m:r>
              <m:t>f</m:t>
            </m:r>
          </m:sub>
        </m:sSub>
      </m:oMath>
      <w:r>
        <w:t xml:space="preserve">为参考点。KTO的数据效率极高——可利用成对偏好数据中的单个响应或仅有二元标签的数据，在1B到30B参数规模上匹配或超过DPO性能</w:t>
      </w:r>
      <w:r>
        <w:t xml:space="preserve"> </w:t>
      </w:r>
      <w:fldSimple w:instr="NOTEREF _Ref_Footnote_9 \h \f">
        <w:r>
          <w:rPr>
            <w:vertAlign w:val="superscript"/>
          </w:rPr>
          <w:t>9</w:t>
        </w:r>
      </w:fldSimple>
      <w:r>
        <w:t xml:space="preserve">。</w:t>
      </w:r>
    </w:p>
    <w:p>
      <w:pPr>
        <w:pStyle w:val="BodyText"/>
      </w:pPr>
      <w:r>
        <w:rPr>
          <w:bCs/>
          <w:b/>
        </w:rPr>
        <w:t xml:space="preserve">表2-2 DPO及其变体算法对比</w:t>
      </w:r>
    </w:p>
    <w:tbl>
      <w:tblPr>
        <w:tblStyle w:val="Table"/>
        <w:tblW w:type="pct" w:w="5000"/>
        <w:tblLook w:firstRow="1" w:lastRow="0" w:firstColumn="0" w:lastColumn="0" w:noHBand="0" w:noVBand="0" w:val="0020"/>
      </w:tblPr>
      <w:tblGrid>
        <w:gridCol w:w="1033"/>
        <w:gridCol w:w="1033"/>
        <w:gridCol w:w="1721"/>
        <w:gridCol w:w="1033"/>
        <w:gridCol w:w="1033"/>
        <w:gridCol w:w="2066"/>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核心创新</w:t>
            </w:r>
          </w:p>
        </w:tc>
        <w:tc>
          <w:tcPr/>
          <w:p>
            <w:pPr>
              <w:pStyle w:val="Compact"/>
              <w:jc w:val="left"/>
            </w:pPr>
            <w:r>
              <w:t xml:space="preserve">优势</w:t>
            </w:r>
          </w:p>
        </w:tc>
        <w:tc>
          <w:tcPr/>
          <w:p>
            <w:pPr>
              <w:pStyle w:val="Compact"/>
              <w:jc w:val="left"/>
            </w:pPr>
            <w:r>
              <w:t xml:space="preserve">局限</w:t>
            </w:r>
          </w:p>
        </w:tc>
        <w:tc>
          <w:tcPr/>
          <w:p>
            <w:pPr>
              <w:pStyle w:val="Compact"/>
              <w:jc w:val="left"/>
            </w:pPr>
            <w:r>
              <w:t xml:space="preserve">典型超参数</w:t>
            </w:r>
          </w:p>
        </w:tc>
      </w:tr>
      <w:tr>
        <w:tc>
          <w:tcPr/>
          <w:p>
            <w:pPr>
              <w:pStyle w:val="Compact"/>
              <w:jc w:val="left"/>
            </w:pPr>
            <w:r>
              <w:t xml:space="preserve">DPO</w:t>
            </w:r>
            <w:r>
              <w:t xml:space="preserve"> </w:t>
            </w:r>
            <w:fldSimple w:instr="NOTEREF _Ref_Footnote_18 \h \f">
              <w:r>
                <w:rPr>
                  <w:vertAlign w:val="superscript"/>
                </w:rPr>
                <w:t>18</w:t>
              </w:r>
            </w:fldSimple>
          </w:p>
        </w:tc>
        <w:tc>
          <w:tcPr/>
          <w:p>
            <w:pPr>
              <w:pStyle w:val="Compact"/>
              <w:jc w:val="left"/>
            </w:pPr>
            <w:r>
              <w:t xml:space="preserve">NeurIPS 2023</w:t>
            </w:r>
          </w:p>
        </w:tc>
        <w:tc>
          <w:tcPr/>
          <w:p>
            <w:pPr>
              <w:pStyle w:val="Compact"/>
              <w:jc w:val="left"/>
            </w:pPr>
            <w:r>
              <w:t xml:space="preserve">闭式奖励参数化，分类损失</w:t>
            </w:r>
          </w:p>
        </w:tc>
        <w:tc>
          <w:tcPr/>
          <w:p>
            <w:pPr>
              <w:pStyle w:val="Compact"/>
              <w:jc w:val="left"/>
            </w:pPr>
            <w:r>
              <w:t xml:space="preserve">简单稳定，无需奖励模型</w:t>
            </w:r>
          </w:p>
        </w:tc>
        <w:tc>
          <w:tcPr/>
          <w:p>
            <w:pPr>
              <w:pStyle w:val="Compact"/>
              <w:jc w:val="left"/>
            </w:pPr>
            <w:r>
              <w:t xml:space="preserve">长度偏差，参考模型开销，过拟合</w:t>
            </w:r>
          </w:p>
        </w:tc>
        <w:tc>
          <w:tcPr/>
          <w:p>
            <w:pPr>
              <w:pStyle w:val="Compact"/>
              <w:jc w:val="left"/>
            </w:pPr>
            <m:oMath>
              <m:r>
                <m:t>β</m:t>
              </m:r>
            </m:oMath>
            <w:r>
              <w:t xml:space="preserve">=0.1，lr=1e-6，bs=32-512</w:t>
            </w:r>
          </w:p>
        </w:tc>
      </w:tr>
      <w:tr>
        <w:tc>
          <w:tcPr/>
          <w:p>
            <w:pPr>
              <w:pStyle w:val="Compact"/>
              <w:jc w:val="left"/>
            </w:pPr>
            <w:r>
              <w:t xml:space="preserve">R-DPO</w:t>
            </w:r>
            <w:r>
              <w:t xml:space="preserve"> </w:t>
            </w:r>
            <w:fldSimple w:instr="NOTEREF _Ref_Footnote_15 \h \f">
              <w:r>
                <w:rPr>
                  <w:vertAlign w:val="superscript"/>
                </w:rPr>
                <w:t>15</w:t>
              </w:r>
            </w:fldSimple>
          </w:p>
        </w:tc>
        <w:tc>
          <w:tcPr/>
          <w:p>
            <w:pPr>
              <w:pStyle w:val="Compact"/>
              <w:jc w:val="left"/>
            </w:pPr>
            <w:r>
              <w:t xml:space="preserve">ACL 2024</w:t>
            </w:r>
          </w:p>
        </w:tc>
        <w:tc>
          <w:tcPr/>
          <w:p>
            <w:pPr>
              <w:pStyle w:val="Compact"/>
              <w:jc w:val="left"/>
            </w:pPr>
            <w:r>
              <w:t xml:space="preserve">长度归一化正则化</w:t>
            </w:r>
          </w:p>
        </w:tc>
        <w:tc>
          <w:tcPr/>
          <w:p>
            <w:pPr>
              <w:pStyle w:val="Compact"/>
              <w:jc w:val="left"/>
            </w:pPr>
            <w:r>
              <w:t xml:space="preserve">减少冗长生成长度</w:t>
            </w:r>
          </w:p>
        </w:tc>
        <w:tc>
          <w:tcPr/>
          <w:p>
            <w:pPr>
              <w:pStyle w:val="Compact"/>
              <w:jc w:val="left"/>
            </w:pPr>
            <w:r>
              <w:t xml:space="preserve">引入额外超参数</w:t>
            </w:r>
            <m:oMath>
              <m:r>
                <m:t>α</m:t>
              </m:r>
            </m:oMath>
          </w:p>
        </w:tc>
        <w:tc>
          <w:tcPr/>
          <w:p>
            <w:pPr>
              <w:pStyle w:val="Compact"/>
              <w:jc w:val="left"/>
            </w:pPr>
            <m:oMath>
              <m:r>
                <m:t>α</m:t>
              </m:r>
            </m:oMath>
            <w:r>
              <w:t xml:space="preserve">=0.05-1.0，</w:t>
            </w:r>
            <m:oMath>
              <m:r>
                <m:t>β</m:t>
              </m:r>
            </m:oMath>
            <w:r>
              <w:t xml:space="preserve">=0.01-0.1</w:t>
            </w:r>
          </w:p>
        </w:tc>
      </w:tr>
      <w:tr>
        <w:tc>
          <w:tcPr/>
          <w:p>
            <w:pPr>
              <w:pStyle w:val="Compact"/>
              <w:jc w:val="left"/>
            </w:pPr>
            <w:r>
              <w:t xml:space="preserve">IPO</w:t>
            </w:r>
            <w:r>
              <w:t xml:space="preserve"> </w:t>
            </w:r>
            <w:fldSimple w:instr="NOTEREF _Ref_Footnote_7 \h \f">
              <w:r>
                <w:rPr>
                  <w:vertAlign w:val="superscript"/>
                </w:rPr>
                <w:t>7</w:t>
              </w:r>
            </w:fldSimple>
          </w:p>
        </w:tc>
        <w:tc>
          <w:tcPr/>
          <w:p>
            <w:pPr>
              <w:pStyle w:val="Compact"/>
              <w:jc w:val="left"/>
            </w:pPr>
            <w:r>
              <w:t xml:space="preserve">AISTATS 2024</w:t>
            </w:r>
          </w:p>
        </w:tc>
        <w:tc>
          <w:tcPr/>
          <w:p>
            <w:pPr>
              <w:pStyle w:val="Compact"/>
              <w:jc w:val="left"/>
            </w:pPr>
            <m:oMath>
              <m:r>
                <m:t>Ψ</m:t>
              </m:r>
            </m:oMath>
            <w:r>
              <w:t xml:space="preserve">PO框架，平方损失</w:t>
            </w:r>
          </w:p>
        </w:tc>
        <w:tc>
          <w:tcPr/>
          <w:p>
            <w:pPr>
              <w:pStyle w:val="Compact"/>
              <w:jc w:val="left"/>
            </w:pPr>
            <w:r>
              <w:t xml:space="preserve">避免确定性偏好上过拟合</w:t>
            </w:r>
          </w:p>
        </w:tc>
        <w:tc>
          <w:tcPr/>
          <w:p>
            <w:pPr>
              <w:pStyle w:val="Compact"/>
              <w:jc w:val="left"/>
            </w:pPr>
            <w:r>
              <w:t xml:space="preserve">部分任务收敛较慢</w:t>
            </w:r>
          </w:p>
        </w:tc>
        <w:tc>
          <w:tcPr/>
          <w:p>
            <w:pPr>
              <w:pStyle w:val="Compact"/>
              <w:jc w:val="left"/>
            </w:pPr>
            <m:oMath>
              <m:r>
                <m:t>β</m:t>
              </m:r>
            </m:oMath>
            <w:r>
              <w:t xml:space="preserve">=0.01-0.1，lr=5e-7</w:t>
            </w:r>
          </w:p>
        </w:tc>
      </w:tr>
      <w:tr>
        <w:tc>
          <w:tcPr/>
          <w:p>
            <w:pPr>
              <w:pStyle w:val="Compact"/>
              <w:jc w:val="left"/>
            </w:pPr>
            <m:oMath>
              <m:r>
                <m:t>β</m:t>
              </m:r>
            </m:oMath>
            <w:r>
              <w:t xml:space="preserve">-DPO</w:t>
            </w:r>
            <w:r>
              <w:t xml:space="preserve"> </w:t>
            </w:r>
            <w:fldSimple w:instr="NOTEREF _Ref_Footnote_19 \h \f">
              <w:r>
                <w:rPr>
                  <w:vertAlign w:val="superscript"/>
                </w:rPr>
                <w:t>19</w:t>
              </w:r>
            </w:fldSimple>
          </w:p>
        </w:tc>
        <w:tc>
          <w:tcPr/>
          <w:p>
            <w:pPr>
              <w:pStyle w:val="Compact"/>
              <w:jc w:val="left"/>
            </w:pPr>
            <w:r>
              <w:t xml:space="preserve">2024</w:t>
            </w:r>
          </w:p>
        </w:tc>
        <w:tc>
          <w:tcPr/>
          <w:p>
            <w:pPr>
              <w:pStyle w:val="Compact"/>
              <w:jc w:val="left"/>
            </w:pPr>
            <w:r>
              <w:t xml:space="preserve">动态温度参数校准</w:t>
            </w:r>
          </w:p>
        </w:tc>
        <w:tc>
          <w:tcPr/>
          <w:p>
            <w:pPr>
              <w:pStyle w:val="Compact"/>
              <w:jc w:val="left"/>
            </w:pPr>
            <w:r>
              <w:t xml:space="preserve">自适应数据质量</w:t>
            </w:r>
          </w:p>
        </w:tc>
        <w:tc>
          <w:tcPr/>
          <w:p>
            <w:pPr>
              <w:pStyle w:val="Compact"/>
              <w:jc w:val="left"/>
            </w:pPr>
            <w:r>
              <w:t xml:space="preserve">额外计算开销</w:t>
            </w:r>
          </w:p>
        </w:tc>
        <w:tc>
          <w:tcPr/>
          <w:p>
            <w:pPr>
              <w:pStyle w:val="Compact"/>
              <w:jc w:val="left"/>
            </w:pPr>
            <w:r>
              <w:t xml:space="preserve">动态</w:t>
            </w:r>
            <m:oMath>
              <m:r>
                <m:t>β</m:t>
              </m:r>
            </m:oMath>
            <w:r>
              <w:t xml:space="preserve">调整</w:t>
            </w:r>
          </w:p>
        </w:tc>
      </w:tr>
      <w:tr>
        <w:tc>
          <w:tcPr/>
          <w:p>
            <w:pPr>
              <w:pStyle w:val="Compact"/>
              <w:jc w:val="left"/>
            </w:pPr>
            <w:r>
              <w:t xml:space="preserve">SimPO</w:t>
            </w:r>
            <w:r>
              <w:t xml:space="preserve"> </w:t>
            </w:r>
            <w:fldSimple w:instr="NOTEREF _Ref_Footnote_8 \h \f">
              <w:r>
                <w:rPr>
                  <w:vertAlign w:val="superscript"/>
                </w:rPr>
                <w:t>8</w:t>
              </w:r>
            </w:fldSimple>
          </w:p>
        </w:tc>
        <w:tc>
          <w:tcPr/>
          <w:p>
            <w:pPr>
              <w:pStyle w:val="Compact"/>
              <w:jc w:val="left"/>
            </w:pPr>
            <w:r>
              <w:t xml:space="preserve">NeurIPS 2024</w:t>
            </w:r>
          </w:p>
        </w:tc>
        <w:tc>
          <w:tcPr/>
          <w:p>
            <w:pPr>
              <w:pStyle w:val="Compact"/>
              <w:jc w:val="left"/>
            </w:pPr>
            <w:r>
              <w:t xml:space="preserve">无参考模型，长度归一化奖励</w:t>
            </w:r>
          </w:p>
        </w:tc>
        <w:tc>
          <w:tcPr/>
          <w:p>
            <w:pPr>
              <w:pStyle w:val="Compact"/>
              <w:jc w:val="left"/>
            </w:pPr>
            <w:r>
              <w:t xml:space="preserve">更简单高效，与生成目标对齐</w:t>
            </w:r>
          </w:p>
        </w:tc>
        <w:tc>
          <w:tcPr/>
          <w:p>
            <w:pPr>
              <w:pStyle w:val="Compact"/>
              <w:jc w:val="left"/>
            </w:pPr>
            <m:oMath>
              <m:r>
                <m:t>γ</m:t>
              </m:r>
            </m:oMath>
            <w:r>
              <w:t xml:space="preserve">超参数敏感</w:t>
            </w:r>
          </w:p>
        </w:tc>
        <w:tc>
          <w:tcPr/>
          <w:p>
            <w:pPr>
              <w:pStyle w:val="Compact"/>
              <w:jc w:val="left"/>
            </w:pPr>
            <m:oMath>
              <m:r>
                <m:t>β</m:t>
              </m:r>
            </m:oMath>
            <w:r>
              <w:t xml:space="preserve">=2.0-10，</w:t>
            </w:r>
            <m:oMath>
              <m:r>
                <m:t>γ</m:t>
              </m:r>
              <m:r>
                <m:rPr>
                  <m:sty m:val="p"/>
                </m:rPr>
                <m:t>/</m:t>
              </m:r>
              <m:r>
                <m:t>β</m:t>
              </m:r>
            </m:oMath>
            <w:r>
              <w:t xml:space="preserve">=0.3-1.6</w:t>
            </w:r>
          </w:p>
        </w:tc>
      </w:tr>
      <w:tr>
        <w:tc>
          <w:tcPr/>
          <w:p>
            <w:pPr>
              <w:pStyle w:val="Compact"/>
              <w:jc w:val="left"/>
            </w:pPr>
            <w:r>
              <w:t xml:space="preserve">ORPO</w:t>
            </w:r>
            <w:r>
              <w:t xml:space="preserve"> </w:t>
            </w:r>
            <w:fldSimple w:instr="NOTEREF _Ref_Footnote_10 \h \f">
              <w:r>
                <w:rPr>
                  <w:vertAlign w:val="superscript"/>
                </w:rPr>
                <w:t>10</w:t>
              </w:r>
            </w:fldSimple>
          </w:p>
        </w:tc>
        <w:tc>
          <w:tcPr/>
          <w:p>
            <w:pPr>
              <w:pStyle w:val="Compact"/>
              <w:jc w:val="left"/>
            </w:pPr>
            <w:r>
              <w:t xml:space="preserve">EMNLP 2024</w:t>
            </w:r>
          </w:p>
        </w:tc>
        <w:tc>
          <w:tcPr/>
          <w:p>
            <w:pPr>
              <w:pStyle w:val="Compact"/>
              <w:jc w:val="left"/>
            </w:pPr>
            <w:r>
              <w:t xml:space="preserve">SFT+PO单阶段，odds ratio</w:t>
            </w:r>
          </w:p>
        </w:tc>
        <w:tc>
          <w:tcPr/>
          <w:p>
            <w:pPr>
              <w:pStyle w:val="Compact"/>
              <w:jc w:val="left"/>
            </w:pPr>
            <w:r>
              <w:t xml:space="preserve">无需参考模型和SFT预热</w:t>
            </w:r>
          </w:p>
        </w:tc>
        <w:tc>
          <w:tcPr/>
          <w:p>
            <w:pPr>
              <w:pStyle w:val="Compact"/>
              <w:jc w:val="left"/>
            </w:pPr>
            <w:r>
              <w:t xml:space="preserve">偏好信号较弱</w:t>
            </w:r>
          </w:p>
        </w:tc>
        <w:tc>
          <w:tcPr/>
          <w:p>
            <w:pPr>
              <w:pStyle w:val="Compact"/>
              <w:jc w:val="left"/>
            </w:pPr>
            <m:oMath>
              <m:r>
                <m:t>β</m:t>
              </m:r>
            </m:oMath>
            <w:r>
              <w:t xml:space="preserve">=0.1，</w:t>
            </w:r>
            <m:oMath>
              <m:r>
                <m:t>λ</m:t>
              </m:r>
            </m:oMath>
            <w:r>
              <w:t xml:space="preserve">=1.0，lr=5e-7</w:t>
            </w:r>
          </w:p>
        </w:tc>
      </w:tr>
      <w:tr>
        <w:tc>
          <w:tcPr/>
          <w:p>
            <w:pPr>
              <w:pStyle w:val="Compact"/>
              <w:jc w:val="left"/>
            </w:pPr>
            <w:r>
              <w:t xml:space="preserve">KTO</w:t>
            </w:r>
            <w:r>
              <w:t xml:space="preserve"> </w:t>
            </w:r>
            <w:fldSimple w:instr="NOTEREF _Ref_Footnote_9 \h \f">
              <w:r>
                <w:rPr>
                  <w:vertAlign w:val="superscript"/>
                </w:rPr>
                <w:t>9</w:t>
              </w:r>
            </w:fldSimple>
          </w:p>
        </w:tc>
        <w:tc>
          <w:tcPr/>
          <w:p>
            <w:pPr>
              <w:pStyle w:val="Compact"/>
              <w:jc w:val="left"/>
            </w:pPr>
            <w:r>
              <w:t xml:space="preserve">2024</w:t>
            </w:r>
          </w:p>
        </w:tc>
        <w:tc>
          <w:tcPr/>
          <w:p>
            <w:pPr>
              <w:pStyle w:val="Compact"/>
              <w:jc w:val="left"/>
            </w:pPr>
            <w:r>
              <w:t xml:space="preserve">前景理论，二元信号</w:t>
            </w:r>
          </w:p>
        </w:tc>
        <w:tc>
          <w:tcPr/>
          <w:p>
            <w:pPr>
              <w:pStyle w:val="Compact"/>
              <w:jc w:val="left"/>
            </w:pPr>
            <w:r>
              <w:t xml:space="preserve">数据获取最容易，处理不平衡数据</w:t>
            </w:r>
          </w:p>
        </w:tc>
        <w:tc>
          <w:tcPr/>
          <w:p>
            <w:pPr>
              <w:pStyle w:val="Compact"/>
              <w:jc w:val="left"/>
            </w:pPr>
            <w:r>
              <w:t xml:space="preserve">依赖前景理论假设</w:t>
            </w:r>
          </w:p>
        </w:tc>
        <w:tc>
          <w:tcPr/>
          <w:p>
            <w:pPr>
              <w:pStyle w:val="Compact"/>
              <w:jc w:val="left"/>
            </w:pPr>
            <m:oMath>
              <m:r>
                <m:t>β</m:t>
              </m:r>
            </m:oMath>
            <w:r>
              <w:t xml:space="preserve">=0.1，lr=1e-5，bs=8</w:t>
            </w:r>
          </w:p>
        </w:tc>
      </w:tr>
    </w:tbl>
    <w:p>
      <w:pPr>
        <w:pStyle w:val="BodyText"/>
      </w:pPr>
      <w:r>
        <w:t xml:space="preserve">上表揭示了一条清晰的简化路径：从DPO需要参考模型和偏好对，到SimPO/ORPO去除参考模型，再到KTO仅需二元反馈。每一步简化都伴随着工程效率的提升，但在特定场景下也有性能折衷。研究表明，SimPO在AlpacaEval等对话评估上表现最佳，KTO在数据受限场景下最具优势，而IPO在高确定性偏好数据上最稳定</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t>
      </w:r>
      <w:fldSimple w:instr="NOTEREF _Ref_Footnote_7 \h \f">
        <w:r>
          <w:rPr>
            <w:vertAlign w:val="superscript"/>
          </w:rPr>
          <w:t>7</w:t>
        </w:r>
      </w:fldSimple>
      <w:r>
        <w:t xml:space="preserve">。</w:t>
      </w:r>
    </w:p>
    <w:bookmarkEnd w:id="43"/>
    <w:bookmarkEnd w:id="44"/>
    <w:bookmarkStart w:id="48" w:name="grpocritic-free的革命"/>
    <w:p>
      <w:pPr>
        <w:pStyle w:val="Heading3"/>
      </w:pPr>
      <w:r>
        <w:t xml:space="preserve">2.3 GRPO：Critic-Free的革命</w:t>
      </w:r>
    </w:p>
    <w:bookmarkStart w:id="45" w:name="grpo核心机制组内相对奖励归一化"/>
    <w:p>
      <w:pPr>
        <w:pStyle w:val="Heading4"/>
      </w:pPr>
      <w:r>
        <w:t xml:space="preserve">2.3.1 GRPO核心机制：组内相对奖励归一化</w:t>
      </w:r>
    </w:p>
    <w:p>
      <w:pPr>
        <w:pStyle w:val="FirstParagraph"/>
      </w:pPr>
      <w:r>
        <w:t xml:space="preserve">GRPO由DeepSeek-AI在DeepSeekMath论文中提出</w:t>
      </w:r>
      <w:r>
        <w:t xml:space="preserve"> </w:t>
      </w:r>
      <w:fldSimple w:instr="NOTEREF _Ref_Footnote_1 \h \f">
        <w:r>
          <w:rPr>
            <w:vertAlign w:val="superscript"/>
          </w:rPr>
          <w:t>1</w:t>
        </w:r>
      </w:fldSimple>
      <w:r>
        <w:t xml:space="preserve">，其核心创新在于完全消除了PPO中需要单独训练的Critic网络。GRPO针对每个问题</w:t>
      </w:r>
      <m:oMath>
        <m:r>
          <m:t>q</m:t>
        </m:r>
      </m:oMath>
      <w:r>
        <w:t xml:space="preserve">采样一组回答</w:t>
      </w:r>
      <m:oMath>
        <m:r>
          <m:rPr>
            <m:sty m:val="p"/>
          </m:rPr>
          <m:t>{</m:t>
        </m:r>
        <m:sSub>
          <m:e>
            <m:r>
              <m:t>o</m:t>
            </m:r>
          </m:e>
          <m:sub>
            <m:r>
              <m:t>i</m:t>
            </m:r>
          </m:sub>
        </m:sSub>
        <m:sSubSup>
          <m:e>
            <m:r>
              <m:rPr>
                <m:sty m:val="p"/>
              </m:rPr>
              <m:t>}</m:t>
            </m:r>
          </m:e>
          <m:sub>
            <m:r>
              <m:t>i</m:t>
            </m:r>
            <m:r>
              <m:rPr>
                <m:sty m:val="p"/>
              </m:rPr>
              <m:t>=</m:t>
            </m:r>
            <m:r>
              <m:t>1</m:t>
            </m:r>
          </m:sub>
          <m:sup>
            <m:r>
              <m:t>G</m:t>
            </m:r>
          </m:sup>
        </m:sSubSup>
      </m:oMath>
      <w:r>
        <w:t xml:space="preserve">，通过组内相对奖励计算优势函数：</w:t>
      </w:r>
    </w:p>
    <w:p>
      <w:pPr>
        <w:pStyle w:val="BodyText"/>
      </w:pPr>
      <m:oMathPara>
        <m:oMathParaPr>
          <m:jc m:val="center"/>
        </m:oMathParaPr>
        <m:oMath>
          <m:sSub>
            <m:e>
              <m:acc>
                <m:accPr>
                  <m:chr m:val="̂"/>
                </m:accPr>
                <m:e>
                  <m:r>
                    <m:t>A</m:t>
                  </m:r>
                </m:e>
              </m:acc>
            </m:e>
            <m:sub>
              <m:r>
                <m:t>i</m:t>
              </m:r>
            </m:sub>
          </m:sSub>
          <m:r>
            <m:rPr>
              <m:sty m:val="p"/>
            </m:rPr>
            <m:t>=</m:t>
          </m:r>
          <m:f>
            <m:fPr>
              <m:type m:val="bar"/>
            </m:fPr>
            <m:num>
              <m:sSub>
                <m:e>
                  <m:r>
                    <m:t>r</m:t>
                  </m:r>
                </m:e>
                <m:sub>
                  <m:r>
                    <m:t>i</m:t>
                  </m:r>
                </m:sub>
              </m:sSub>
              <m:r>
                <m:rPr>
                  <m:sty m:val="p"/>
                </m:rPr>
                <m:t>−</m:t>
              </m:r>
              <m:r>
                <m:rPr>
                  <m:nor/>
                  <m:sty m:val="p"/>
                </m:rPr>
                <m:t>mean</m:t>
              </m:r>
              <m:d>
                <m:dPr>
                  <m:begChr m:val="("/>
                  <m:endChr m:val=")"/>
                  <m:sepChr m:val=""/>
                  <m:grow/>
                </m:dPr>
                <m:e>
                  <m:r>
                    <m:rPr>
                      <m:sty m:val="p"/>
                    </m:rPr>
                    <m:t>{</m:t>
                  </m:r>
                  <m:sSub>
                    <m:e>
                      <m:r>
                        <m:t>r</m:t>
                      </m:r>
                    </m:e>
                    <m:sub>
                      <m:r>
                        <m:t>i</m:t>
                      </m:r>
                    </m:sub>
                  </m:sSub>
                  <m:sSubSup>
                    <m:e>
                      <m:r>
                        <m:rPr>
                          <m:sty m:val="p"/>
                        </m:rPr>
                        <m:t>}</m:t>
                      </m:r>
                    </m:e>
                    <m:sub>
                      <m:r>
                        <m:t>i</m:t>
                      </m:r>
                      <m:r>
                        <m:rPr>
                          <m:sty m:val="p"/>
                        </m:rPr>
                        <m:t>=</m:t>
                      </m:r>
                      <m:r>
                        <m:t>1</m:t>
                      </m:r>
                    </m:sub>
                    <m:sup>
                      <m:r>
                        <m:t>G</m:t>
                      </m:r>
                    </m:sup>
                  </m:sSubSup>
                </m:e>
              </m:d>
            </m:num>
            <m:den>
              <m:r>
                <m:rPr>
                  <m:nor/>
                  <m:sty m:val="p"/>
                </m:rPr>
                <m:t>std</m:t>
              </m:r>
              <m:d>
                <m:dPr>
                  <m:begChr m:val="("/>
                  <m:endChr m:val=")"/>
                  <m:sepChr m:val=""/>
                  <m:grow/>
                </m:dPr>
                <m:e>
                  <m:r>
                    <m:rPr>
                      <m:sty m:val="p"/>
                    </m:rPr>
                    <m:t>{</m:t>
                  </m:r>
                  <m:sSub>
                    <m:e>
                      <m:r>
                        <m:t>r</m:t>
                      </m:r>
                    </m:e>
                    <m:sub>
                      <m:r>
                        <m:t>i</m:t>
                      </m:r>
                    </m:sub>
                  </m:sSub>
                  <m:sSubSup>
                    <m:e>
                      <m:r>
                        <m:rPr>
                          <m:sty m:val="p"/>
                        </m:rPr>
                        <m:t>}</m:t>
                      </m:r>
                    </m:e>
                    <m:sub>
                      <m:r>
                        <m:t>i</m:t>
                      </m:r>
                      <m:r>
                        <m:rPr>
                          <m:sty m:val="p"/>
                        </m:rPr>
                        <m:t>=</m:t>
                      </m:r>
                      <m:r>
                        <m:t>1</m:t>
                      </m:r>
                    </m:sub>
                    <m:sup>
                      <m:r>
                        <m:t>G</m:t>
                      </m:r>
                    </m:sup>
                  </m:sSubSup>
                </m:e>
              </m:d>
            </m:den>
          </m:f>
        </m:oMath>
      </m:oMathPara>
    </w:p>
    <w:p>
      <w:pPr>
        <w:pStyle w:val="FirstParagraph"/>
      </w:pPr>
      <w:r>
        <w:t xml:space="preserve">其中</w:t>
      </w:r>
      <m:oMath>
        <m:r>
          <m:t>G</m:t>
        </m:r>
      </m:oMath>
      <w:r>
        <w:t xml:space="preserve">为组大小（group size），</w:t>
      </w:r>
      <m:oMath>
        <m:sSub>
          <m:e>
            <m:r>
              <m:t>r</m:t>
            </m:r>
          </m:e>
          <m:sub>
            <m:r>
              <m:t>i</m:t>
            </m:r>
          </m:sub>
        </m:sSub>
      </m:oMath>
      <w:r>
        <w:t xml:space="preserve">为第</w:t>
      </w:r>
      <m:oMath>
        <m:r>
          <m:t>i</m:t>
        </m:r>
      </m:oMath>
      <w:r>
        <w:t xml:space="preserve">个回答的奖励（对于数学推理通常为答案正确性的二值信号）。该优势函数对组内所有回答的奖励进行标准化（减去均值、除以标准差），并将同一优势值赋给回答中每个token</w:t>
      </w:r>
      <w:r>
        <w:t xml:space="preserve"> </w:t>
      </w:r>
      <w:fldSimple w:instr="NOTEREF _Ref_Footnote_1 \h \f">
        <w:r>
          <w:rPr>
            <w:vertAlign w:val="superscript"/>
          </w:rPr>
          <w:t>1</w:t>
        </w:r>
      </w:fldSimple>
      <w:r>
        <w:t xml:space="preserve">。这一设计的直觉在于：对于同一问题，一组回答中表现相对较好的应被鼓励，表现相对较差的应被抑制——无需外部价值模型提供绝对评估。</w:t>
      </w:r>
    </w:p>
    <w:p>
      <w:pPr>
        <w:pStyle w:val="BodyText"/>
      </w:pPr>
      <w:r>
        <w:t xml:space="preserve">GRPO的完整目标函数为：</w:t>
      </w:r>
    </w:p>
    <w:p>
      <w:pPr>
        <w:pStyle w:val="BodyText"/>
      </w:pPr>
      <m:oMathPara>
        <m:oMathParaPr>
          <m:jc m:val="center"/>
        </m:oMathParaPr>
        <m:oMath>
          <m:sSub>
            <m:e>
              <m:r>
                <m:rPr>
                  <m:sty m:val="p"/>
                  <m:scr m:val="script"/>
                </m:rPr>
                <m:t>J</m:t>
              </m:r>
            </m:e>
            <m:sub>
              <m:r>
                <m:t>G</m:t>
              </m:r>
              <m:r>
                <m:t>R</m:t>
              </m:r>
              <m:r>
                <m:t>P</m:t>
              </m:r>
              <m:r>
                <m:t>O</m:t>
              </m:r>
            </m:sub>
          </m:sSub>
          <m:d>
            <m:dPr>
              <m:begChr m:val="("/>
              <m:endChr m:val=")"/>
              <m:sepChr m:val=""/>
              <m:grow/>
            </m:dPr>
            <m:e>
              <m:r>
                <m:t>θ</m:t>
              </m:r>
            </m:e>
          </m:d>
          <m:r>
            <m:rPr>
              <m:sty m:val="p"/>
            </m:rPr>
            <m:t>=</m:t>
          </m:r>
          <m:sSub>
            <m:e>
              <m:r>
                <m:rPr>
                  <m:sty m:val="p"/>
                  <m:scr m:val="double-struck"/>
                </m:rPr>
                <m:t>E</m:t>
              </m:r>
            </m:e>
            <m:sub>
              <m:r>
                <m:t>q</m:t>
              </m:r>
              <m:r>
                <m:rPr>
                  <m:sty m:val="p"/>
                </m:rPr>
                <m:t>,</m:t>
              </m:r>
              <m:r>
                <m:rPr>
                  <m:sty m:val="p"/>
                </m:rPr>
                <m:t>{</m:t>
              </m:r>
              <m:sSub>
                <m:e>
                  <m:r>
                    <m:t>o</m:t>
                  </m:r>
                </m:e>
                <m:sub>
                  <m:r>
                    <m:t>i</m:t>
                  </m:r>
                </m:sub>
              </m:sSub>
              <m:r>
                <m:rPr>
                  <m:sty m:val="p"/>
                </m:rPr>
                <m:t>}</m:t>
              </m:r>
            </m:sub>
          </m:sSub>
          <m:d>
            <m:dPr>
              <m:begChr m:val="["/>
              <m:endChr m:val="]"/>
              <m:sepChr m:val=""/>
              <m:grow/>
            </m:dPr>
            <m:e>
              <m:f>
                <m:fPr>
                  <m:type m:val="bar"/>
                </m:fPr>
                <m:num>
                  <m:r>
                    <m:t>1</m:t>
                  </m:r>
                </m:num>
                <m:den>
                  <m:r>
                    <m:t>G</m:t>
                  </m:r>
                </m:den>
              </m:f>
              <m:nary>
                <m:naryPr>
                  <m:chr m:val="∑"/>
                  <m:limLoc m:val="undOvr"/>
                  <m:subHide m:val="0"/>
                  <m:supHide m:val="0"/>
                </m:naryPr>
                <m:sub>
                  <m:r>
                    <m:t>i</m:t>
                  </m:r>
                  <m:r>
                    <m:rPr>
                      <m:sty m:val="p"/>
                    </m:rPr>
                    <m:t>=</m:t>
                  </m:r>
                  <m:r>
                    <m:t>1</m:t>
                  </m:r>
                </m:sub>
                <m:sup>
                  <m:r>
                    <m:t>G</m:t>
                  </m:r>
                </m:sup>
                <m:e>
                  <m:f>
                    <m:fPr>
                      <m:type m:val="bar"/>
                    </m:fPr>
                    <m:num>
                      <m:r>
                        <m:t>1</m:t>
                      </m:r>
                    </m:num>
                    <m:den>
                      <m:d>
                        <m:dPr>
                          <m:begChr m:val="|"/>
                          <m:endChr m:val="|"/>
                          <m:sepChr m:val=""/>
                          <m:grow/>
                        </m:dPr>
                        <m:e>
                          <m:sSub>
                            <m:e>
                              <m:r>
                                <m:t>o</m:t>
                              </m:r>
                            </m:e>
                            <m:sub>
                              <m:r>
                                <m:t>i</m:t>
                              </m:r>
                            </m:sub>
                          </m:sSub>
                        </m:e>
                      </m:d>
                    </m:den>
                  </m:f>
                </m:e>
              </m:nary>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d>
                <m:dPr>
                  <m:begChr m:val="("/>
                  <m:endChr m:val=")"/>
                  <m:sepChr m:val=""/>
                  <m:grow/>
                </m:dPr>
                <m:e>
                  <m:sSub>
                    <m:e>
                      <m:r>
                        <m:t>ρ</m:t>
                      </m:r>
                    </m:e>
                    <m:sub>
                      <m:r>
                        <m:t>i</m:t>
                      </m:r>
                      <m:r>
                        <m:rPr>
                          <m:sty m:val="p"/>
                        </m:rPr>
                        <m:t>,</m:t>
                      </m:r>
                      <m:r>
                        <m:t>t</m:t>
                      </m:r>
                    </m:sub>
                  </m:sSub>
                  <m:sSub>
                    <m:e>
                      <m:acc>
                        <m:accPr>
                          <m:chr m:val="̂"/>
                        </m:accPr>
                        <m:e>
                          <m:r>
                            <m:t>A</m:t>
                          </m:r>
                        </m:e>
                      </m:acc>
                    </m:e>
                    <m:sub>
                      <m:r>
                        <m:t>i</m:t>
                      </m:r>
                    </m:sub>
                  </m:sSub>
                  <m:r>
                    <m:rPr>
                      <m:sty m:val="p"/>
                    </m:rPr>
                    <m:t>,</m:t>
                  </m:r>
                  <m:r>
                    <m:t> </m:t>
                  </m:r>
                  <m:r>
                    <m:rPr>
                      <m:nor/>
                      <m:sty m:val="p"/>
                    </m:rPr>
                    <m:t>clip</m:t>
                  </m:r>
                  <m:d>
                    <m:dPr>
                      <m:begChr m:val="("/>
                      <m:endChr m:val=")"/>
                      <m:sepChr m:val=""/>
                      <m:grow/>
                    </m:dPr>
                    <m:e>
                      <m:sSub>
                        <m:e>
                          <m:r>
                            <m:t>ρ</m:t>
                          </m:r>
                        </m:e>
                        <m:sub>
                          <m:r>
                            <m:t>i</m:t>
                          </m:r>
                          <m:r>
                            <m:rPr>
                              <m:sty m:val="p"/>
                            </m:rPr>
                            <m:t>,</m:t>
                          </m:r>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i</m:t>
                      </m:r>
                    </m:sub>
                  </m:sSub>
                </m:e>
              </m:d>
              <m:r>
                <m:rPr>
                  <m:sty m:val="p"/>
                </m:rPr>
                <m:t>−</m:t>
              </m:r>
              <m:r>
                <m:t>β</m:t>
              </m:r>
              <m:sSub>
                <m:e>
                  <m:r>
                    <m:t>D</m:t>
                  </m:r>
                </m:e>
                <m:sub>
                  <m:r>
                    <m:t>K</m:t>
                  </m:r>
                  <m:r>
                    <m:t>L</m:t>
                  </m:r>
                </m:sub>
              </m:sSub>
              <m:d>
                <m:dPr>
                  <m:begChr m:val="["/>
                  <m:endChr m:val="]"/>
                  <m:sepChr m:val=""/>
                  <m:grow/>
                </m:dPr>
                <m:e>
                  <m:sSub>
                    <m:e>
                      <m:r>
                        <m:t>π</m:t>
                      </m:r>
                    </m:e>
                    <m:sub>
                      <m:r>
                        <m:t>θ</m:t>
                      </m:r>
                    </m:sub>
                  </m:sSub>
                  <m:r>
                    <m:rPr>
                      <m:sty m:val="p"/>
                    </m:rPr>
                    <m:t>∥</m:t>
                  </m:r>
                  <m:sSub>
                    <m:e>
                      <m:r>
                        <m:t>π</m:t>
                      </m:r>
                    </m:e>
                    <m:sub>
                      <m:r>
                        <m:t>r</m:t>
                      </m:r>
                      <m:r>
                        <m:t>e</m:t>
                      </m:r>
                      <m:r>
                        <m:t>f</m:t>
                      </m:r>
                    </m:sub>
                  </m:sSub>
                </m:e>
              </m:d>
            </m:e>
          </m:d>
        </m:oMath>
      </m:oMathPara>
    </w:p>
    <w:p>
      <w:pPr>
        <w:pStyle w:val="FirstParagraph"/>
      </w:pPr>
      <w:r>
        <w:t xml:space="preserve">其中</w:t>
      </w:r>
      <m:oMath>
        <m:sSub>
          <m:e>
            <m:r>
              <m:t>ρ</m:t>
            </m:r>
          </m:e>
          <m:sub>
            <m:r>
              <m:t>i</m:t>
            </m:r>
            <m:r>
              <m:rPr>
                <m:sty m:val="p"/>
              </m:rPr>
              <m:t>,</m:t>
            </m:r>
            <m:r>
              <m:t>t</m:t>
            </m:r>
          </m:sub>
        </m:sSub>
        <m:r>
          <m:rPr>
            <m:sty m:val="p"/>
          </m:rPr>
          <m:t>=</m:t>
        </m:r>
        <m:sSub>
          <m:e>
            <m:r>
              <m:t>π</m:t>
            </m:r>
          </m:e>
          <m:sub>
            <m:r>
              <m:t>θ</m:t>
            </m:r>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r>
          <m:rPr>
            <m:sty m:val="p"/>
          </m:rPr>
          <m:t>/</m:t>
        </m:r>
        <m:sSub>
          <m:e>
            <m:r>
              <m:t>π</m:t>
            </m:r>
          </m:e>
          <m:sub>
            <m:sSub>
              <m:e>
                <m:r>
                  <m:t>θ</m:t>
                </m:r>
              </m:e>
              <m:sub>
                <m:r>
                  <m:t>o</m:t>
                </m:r>
                <m:r>
                  <m:t>l</m:t>
                </m:r>
                <m:r>
                  <m:t>d</m:t>
                </m:r>
              </m:sub>
            </m:sSub>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oMath>
      <w:r>
        <w:t xml:space="preserve">为token级重要性采样比率。与PPO的关键区别在于：GRPO将KL散度在loss函数中显式添加，而非PPO中在奖励函数中隐式处理</w:t>
      </w:r>
      <w:r>
        <w:t xml:space="preserve"> </w:t>
      </w:r>
      <w:fldSimple w:instr="NOTEREF _Ref_Footnote_1 \h \f">
        <w:r>
          <w:rPr>
            <w:vertAlign w:val="superscript"/>
          </w:rPr>
          <w:t>1</w:t>
        </w:r>
      </w:fldSimple>
      <w:r>
        <w:t xml:space="preserve">。</w:t>
      </w:r>
    </w:p>
    <w:bookmarkEnd w:id="45"/>
    <w:bookmarkStart w:id="46" w:name="deepseekmath原始实验"/>
    <w:p>
      <w:pPr>
        <w:pStyle w:val="Heading4"/>
      </w:pPr>
      <w:r>
        <w:t xml:space="preserve">2.3.2 DeepSeekMath原始实验</w:t>
      </w:r>
    </w:p>
    <w:p>
      <w:pPr>
        <w:pStyle w:val="FirstParagraph"/>
      </w:pPr>
      <w:r>
        <w:t xml:space="preserve">GRPO的原始实验在DeepSeekMath-Instruct 7B模型上进行，使用144K条GSM8K和MATH的chain-of-thought问题数据，关键超参数包括：学习率</w:t>
      </w:r>
      <m:oMath>
        <m:r>
          <m:t>1</m:t>
        </m:r>
        <m:r>
          <m:rPr>
            <m:sty m:val="p"/>
          </m:rPr>
          <m:t>×</m:t>
        </m:r>
        <m:sSup>
          <m:e>
            <m:r>
              <m:t>10</m:t>
            </m:r>
          </m:e>
          <m:sup>
            <m:r>
              <m:rPr>
                <m:sty m:val="p"/>
              </m:rPr>
              <m:t>−</m:t>
            </m:r>
            <m:r>
              <m:t>6</m:t>
            </m:r>
          </m:sup>
        </m:sSup>
      </m:oMath>
      <w:r>
        <w:t xml:space="preserve">，KL系数</w:t>
      </w:r>
      <m:oMath>
        <m:r>
          <m:t>β</m:t>
        </m:r>
        <m:r>
          <m:rPr>
            <m:sty m:val="p"/>
          </m:rPr>
          <m:t>=</m:t>
        </m:r>
        <m:r>
          <m:t>0.04</m:t>
        </m:r>
      </m:oMath>
      <w:r>
        <w:t xml:space="preserve">，组大小</w:t>
      </w:r>
      <m:oMath>
        <m:r>
          <m:t>G</m:t>
        </m:r>
        <m:r>
          <m:rPr>
            <m:sty m:val="p"/>
          </m:rPr>
          <m:t>=</m:t>
        </m:r>
        <m:r>
          <m:t>64</m:t>
        </m:r>
      </m:oMath>
      <w:r>
        <w:t xml:space="preserve">，最大序列长度1024 tokens</w:t>
      </w:r>
      <w:r>
        <w:t xml:space="preserve"> </w:t>
      </w:r>
      <w:fldSimple w:instr="NOTEREF _Ref_Footnote_1 \h \f">
        <w:r>
          <w:rPr>
            <w:vertAlign w:val="superscript"/>
          </w:rPr>
          <w:t>1</w:t>
        </w:r>
      </w:fldSimple>
      <w:r>
        <w:t xml:space="preserve">。训练后的模型在多个数学推理基准上取得显著提升：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Instruct基线</w:t>
            </w:r>
          </w:p>
        </w:tc>
        <w:tc>
          <w:tcPr/>
          <w:p>
            <w:pPr>
              <w:pStyle w:val="Compact"/>
              <w:jc w:val="left"/>
            </w:pPr>
            <w:r>
              <w:t xml:space="preserve">GRPO训练后</w:t>
            </w:r>
          </w:p>
        </w:tc>
        <w:tc>
          <w:tcPr/>
          <w:p>
            <w:pPr>
              <w:pStyle w:val="Compact"/>
              <w:jc w:val="left"/>
            </w:pPr>
            <w:r>
              <w:t xml:space="preserve">绝对提升</w:t>
            </w:r>
          </w:p>
        </w:tc>
      </w:tr>
      <w:tr>
        <w:tc>
          <w:tcPr/>
          <w:p>
            <w:pPr>
              <w:pStyle w:val="Compact"/>
              <w:jc w:val="left"/>
            </w:pPr>
            <w:r>
              <w:t xml:space="preserve">GSM8K</w:t>
            </w:r>
          </w:p>
        </w:tc>
        <w:tc>
          <w:tcPr/>
          <w:p>
            <w:pPr>
              <w:pStyle w:val="Compact"/>
              <w:jc w:val="left"/>
            </w:pPr>
            <w:r>
              <w:t xml:space="preserve">82.9%</w:t>
            </w:r>
            <w:r>
              <w:t xml:space="preserve"> </w:t>
            </w:r>
            <w:fldSimple w:instr="NOTEREF _Ref_Footnote_1 \h \f">
              <w:r>
                <w:rPr>
                  <w:vertAlign w:val="superscript"/>
                </w:rPr>
                <w:t>1</w:t>
              </w:r>
            </w:fldSimple>
          </w:p>
        </w:tc>
        <w:tc>
          <w:tcPr/>
          <w:p>
            <w:pPr>
              <w:pStyle w:val="Compact"/>
              <w:jc w:val="left"/>
            </w:pPr>
            <w:r>
              <w:t xml:space="preserve">88.2%</w:t>
            </w:r>
            <w:r>
              <w:t xml:space="preserve"> </w:t>
            </w:r>
            <w:fldSimple w:instr="NOTEREF _Ref_Footnote_1 \h \f">
              <w:r>
                <w:rPr>
                  <w:vertAlign w:val="superscript"/>
                </w:rPr>
                <w:t>1</w:t>
              </w:r>
            </w:fldSimple>
          </w:p>
        </w:tc>
        <w:tc>
          <w:tcPr/>
          <w:p>
            <w:pPr>
              <w:pStyle w:val="Compact"/>
              <w:jc w:val="left"/>
            </w:pPr>
            <w:r>
              <w:t xml:space="preserve">+5.3pp</w:t>
            </w:r>
          </w:p>
        </w:tc>
      </w:tr>
      <w:tr>
        <w:tc>
          <w:tcPr/>
          <w:p>
            <w:pPr>
              <w:pStyle w:val="Compact"/>
              <w:jc w:val="left"/>
            </w:pPr>
            <w:r>
              <w:t xml:space="preserve">MATH</w:t>
            </w:r>
          </w:p>
        </w:tc>
        <w:tc>
          <w:tcPr/>
          <w:p>
            <w:pPr>
              <w:pStyle w:val="Compact"/>
              <w:jc w:val="left"/>
            </w:pPr>
            <w:r>
              <w:t xml:space="preserve">46.8%</w:t>
            </w:r>
            <w:r>
              <w:t xml:space="preserve"> </w:t>
            </w:r>
            <w:fldSimple w:instr="NOTEREF _Ref_Footnote_1 \h \f">
              <w:r>
                <w:rPr>
                  <w:vertAlign w:val="superscript"/>
                </w:rPr>
                <w:t>1</w:t>
              </w:r>
            </w:fldSimple>
          </w:p>
        </w:tc>
        <w:tc>
          <w:tcPr/>
          <w:p>
            <w:pPr>
              <w:pStyle w:val="Compact"/>
              <w:jc w:val="left"/>
            </w:pPr>
            <w:r>
              <w:t xml:space="preserve">51.7%</w:t>
            </w:r>
            <w:r>
              <w:t xml:space="preserve"> </w:t>
            </w:r>
            <w:fldSimple w:instr="NOTEREF _Ref_Footnote_1 \h \f">
              <w:r>
                <w:rPr>
                  <w:vertAlign w:val="superscript"/>
                </w:rPr>
                <w:t>1</w:t>
              </w:r>
            </w:fldSimple>
          </w:p>
        </w:tc>
        <w:tc>
          <w:tcPr/>
          <w:p>
            <w:pPr>
              <w:pStyle w:val="Compact"/>
              <w:jc w:val="left"/>
            </w:pPr>
            <w:r>
              <w:t xml:space="preserve">+4.9pp</w:t>
            </w:r>
          </w:p>
        </w:tc>
      </w:tr>
      <w:tr>
        <w:tc>
          <w:tcPr/>
          <w:p>
            <w:pPr>
              <w:pStyle w:val="Compact"/>
              <w:jc w:val="left"/>
            </w:pPr>
            <w:r>
              <w:t xml:space="preserve">CMATH</w:t>
            </w:r>
          </w:p>
        </w:tc>
        <w:tc>
          <w:tcPr/>
          <w:p>
            <w:pPr>
              <w:pStyle w:val="Compact"/>
              <w:jc w:val="left"/>
            </w:pPr>
            <w:r>
              <w:t xml:space="preserve">84.6%</w:t>
            </w:r>
            <w:r>
              <w:t xml:space="preserve"> </w:t>
            </w:r>
            <w:fldSimple w:instr="NOTEREF _Ref_Footnote_1 \h \f">
              <w:r>
                <w:rPr>
                  <w:vertAlign w:val="superscript"/>
                </w:rPr>
                <w:t>1</w:t>
              </w:r>
            </w:fldSimple>
          </w:p>
        </w:tc>
        <w:tc>
          <w:tcPr/>
          <w:p>
            <w:pPr>
              <w:pStyle w:val="Compact"/>
              <w:jc w:val="left"/>
            </w:pPr>
            <w:r>
              <w:t xml:space="preserve">88.8%</w:t>
            </w:r>
            <w:r>
              <w:t xml:space="preserve"> </w:t>
            </w:r>
            <w:fldSimple w:instr="NOTEREF _Ref_Footnote_1 \h \f">
              <w:r>
                <w:rPr>
                  <w:vertAlign w:val="superscript"/>
                </w:rPr>
                <w:t>1</w:t>
              </w:r>
            </w:fldSimple>
          </w:p>
        </w:tc>
        <w:tc>
          <w:tcPr/>
          <w:p>
            <w:pPr>
              <w:pStyle w:val="Compact"/>
              <w:jc w:val="left"/>
            </w:pPr>
            <w:r>
              <w:t xml:space="preserve">+4.2pp</w:t>
            </w:r>
          </w:p>
        </w:tc>
      </w:tr>
    </w:tbl>
    <w:p>
      <w:pPr>
        <w:pStyle w:val="BodyText"/>
      </w:pPr>
      <w:r>
        <w:t xml:space="preserve">这些结果在当时代表了7B级别开源模型的数学推理新SOTA，更重要的是证明了无需Critic模型的强化学习在LLM训练中的可行性。</w:t>
      </w:r>
    </w:p>
    <w:bookmarkEnd w:id="46"/>
    <w:bookmarkStart w:id="47" w:name="grpo-vs-ppo系统性对比"/>
    <w:p>
      <w:pPr>
        <w:pStyle w:val="Heading4"/>
      </w:pPr>
      <w:r>
        <w:t xml:space="preserve">2.3.3 GRPO vs PPO系统性对比</w:t>
      </w:r>
    </w:p>
    <w:p>
      <w:pPr>
        <w:pStyle w:val="FirstParagraph"/>
      </w:pPr>
      <w:r>
        <w:rPr>
          <w:bCs/>
          <w:b/>
        </w:rPr>
        <w:t xml:space="preserve">表2-3 GRPO与PPO系统性对比</w:t>
      </w:r>
    </w:p>
    <w:tbl>
      <w:tblPr>
        <w:tblStyle w:val="Table"/>
        <w:tblW w:type="pct" w:w="5000"/>
        <w:tblLook w:firstRow="1" w:lastRow="0" w:firstColumn="0" w:lastColumn="0" w:noHBand="0" w:noVBand="0" w:val="0020"/>
      </w:tblPr>
      <w:tblGrid>
        <w:gridCol w:w="2933"/>
        <w:gridCol w:w="1466"/>
        <w:gridCol w:w="1760"/>
        <w:gridCol w:w="1760"/>
      </w:tblGrid>
      <w:tr>
        <w:trPr>
          <w:tblHeader w:val="true"/>
        </w:trPr>
        <w:tc>
          <w:tcPr/>
          <w:p>
            <w:pPr>
              <w:pStyle w:val="Compact"/>
              <w:jc w:val="left"/>
            </w:pPr>
            <w:r>
              <w:t xml:space="preserve">对比维度</w:t>
            </w:r>
          </w:p>
        </w:tc>
        <w:tc>
          <w:tcPr/>
          <w:p>
            <w:pPr>
              <w:pStyle w:val="Compact"/>
              <w:jc w:val="left"/>
            </w:pPr>
            <w:r>
              <w:t xml:space="preserve">PPO</w:t>
            </w:r>
          </w:p>
        </w:tc>
        <w:tc>
          <w:tcPr/>
          <w:p>
            <w:pPr>
              <w:pStyle w:val="Compact"/>
              <w:jc w:val="left"/>
            </w:pPr>
            <w:r>
              <w:t xml:space="preserve">GRPO</w:t>
            </w:r>
          </w:p>
        </w:tc>
        <w:tc>
          <w:tcPr/>
          <w:p>
            <w:pPr>
              <w:pStyle w:val="Compact"/>
              <w:jc w:val="left"/>
            </w:pPr>
            <w:r>
              <w:t xml:space="preserve">影响</w:t>
            </w:r>
          </w:p>
        </w:tc>
      </w:tr>
      <w:tr>
        <w:tc>
          <w:tcPr/>
          <w:p>
            <w:pPr>
              <w:pStyle w:val="Compact"/>
              <w:jc w:val="left"/>
            </w:pPr>
            <w:r>
              <w:t xml:space="preserve">Critic网络</w:t>
            </w:r>
          </w:p>
        </w:tc>
        <w:tc>
          <w:tcPr/>
          <w:p>
            <w:pPr>
              <w:pStyle w:val="Compact"/>
              <w:jc w:val="left"/>
            </w:pPr>
            <w:r>
              <w:t xml:space="preserve">需要单独训练</w:t>
            </w:r>
          </w:p>
        </w:tc>
        <w:tc>
          <w:tcPr/>
          <w:p>
            <w:pPr>
              <w:pStyle w:val="Compact"/>
              <w:jc w:val="left"/>
            </w:pPr>
            <w:r>
              <w:t xml:space="preserve">不需要（组内归一化替代）</w:t>
            </w:r>
          </w:p>
        </w:tc>
        <w:tc>
          <w:tcPr/>
          <w:p>
            <w:pPr>
              <w:pStyle w:val="Compact"/>
              <w:jc w:val="left"/>
            </w:pPr>
            <w:r>
              <w:t xml:space="preserve">GRPO内存减半</w:t>
            </w:r>
          </w:p>
        </w:tc>
      </w:tr>
      <w:tr>
        <w:tc>
          <w:tcPr/>
          <w:p>
            <w:pPr>
              <w:pStyle w:val="Compact"/>
              <w:jc w:val="left"/>
            </w:pPr>
            <w:r>
              <w:t xml:space="preserve">模型数量</w:t>
            </w:r>
          </w:p>
        </w:tc>
        <w:tc>
          <w:tcPr/>
          <w:p>
            <w:pPr>
              <w:pStyle w:val="Compact"/>
              <w:jc w:val="left"/>
            </w:pPr>
            <w:r>
              <w:t xml:space="preserve">4个（actor/critic/reference/reward）</w:t>
            </w:r>
          </w:p>
        </w:tc>
        <w:tc>
          <w:tcPr/>
          <w:p>
            <w:pPr>
              <w:pStyle w:val="Compact"/>
              <w:jc w:val="left"/>
            </w:pPr>
            <w:r>
              <w:t xml:space="preserve">2个（policy/reference）</w:t>
            </w:r>
          </w:p>
        </w:tc>
        <w:tc>
          <w:tcPr/>
          <w:p>
            <w:pPr>
              <w:pStyle w:val="Compact"/>
              <w:jc w:val="left"/>
            </w:pPr>
            <w:r>
              <w:t xml:space="preserve">GRPO工程复杂度大幅降低</w:t>
            </w:r>
          </w:p>
        </w:tc>
      </w:tr>
      <w:tr>
        <w:tc>
          <w:tcPr/>
          <w:p>
            <w:pPr>
              <w:pStyle w:val="Compact"/>
              <w:jc w:val="left"/>
            </w:pPr>
            <w:r>
              <w:t xml:space="preserve">优势估计</w:t>
            </w:r>
          </w:p>
        </w:tc>
        <w:tc>
          <w:tcPr/>
          <w:p>
            <w:pPr>
              <w:pStyle w:val="Compact"/>
              <w:jc w:val="left"/>
            </w:pPr>
            <w:r>
              <w:t xml:space="preserve">GAE + Value Model</w:t>
            </w:r>
          </w:p>
        </w:tc>
        <w:tc>
          <w:tcPr/>
          <w:p>
            <w:pPr>
              <w:pStyle w:val="Compact"/>
              <w:jc w:val="left"/>
            </w:pPr>
            <w:r>
              <w:t xml:space="preserve">组内相对归一化</w:t>
            </w:r>
          </w:p>
        </w:tc>
        <w:tc>
          <w:tcPr/>
          <w:p>
            <w:pPr>
              <w:pStyle w:val="Compact"/>
              <w:jc w:val="left"/>
            </w:pPr>
            <w:r>
              <w:t xml:space="preserve">GRPO无需价值函数学习</w:t>
            </w:r>
          </w:p>
        </w:tc>
      </w:tr>
      <w:tr>
        <w:tc>
          <w:tcPr/>
          <w:p>
            <w:pPr>
              <w:pStyle w:val="Compact"/>
              <w:jc w:val="left"/>
            </w:pPr>
            <w:r>
              <w:t xml:space="preserve">内存消耗</w:t>
            </w:r>
          </w:p>
        </w:tc>
        <w:tc>
          <w:tcPr/>
          <w:p>
            <w:pPr>
              <w:pStyle w:val="Compact"/>
              <w:jc w:val="left"/>
            </w:pPr>
            <w:r>
              <w:t xml:space="preserve">~2倍模型参数</w:t>
            </w:r>
          </w:p>
        </w:tc>
        <w:tc>
          <w:tcPr/>
          <w:p>
            <w:pPr>
              <w:pStyle w:val="Compact"/>
              <w:jc w:val="left"/>
            </w:pPr>
            <w:r>
              <w:t xml:space="preserve">~1倍模型参数</w:t>
            </w:r>
          </w:p>
        </w:tc>
        <w:tc>
          <w:tcPr/>
          <w:p>
            <w:pPr>
              <w:pStyle w:val="Compact"/>
              <w:jc w:val="left"/>
            </w:pPr>
            <w:r>
              <w:t xml:space="preserve">GRPO可使用更大batch或更大模型</w:t>
            </w:r>
          </w:p>
        </w:tc>
      </w:tr>
      <w:tr>
        <w:tc>
          <w:tcPr/>
          <w:p>
            <w:pPr>
              <w:pStyle w:val="Compact"/>
              <w:jc w:val="left"/>
            </w:pPr>
            <w:r>
              <w:t xml:space="preserve">KL散度</w:t>
            </w:r>
          </w:p>
        </w:tc>
        <w:tc>
          <w:tcPr/>
          <w:p>
            <w:pPr>
              <w:pStyle w:val="Compact"/>
              <w:jc w:val="left"/>
            </w:pPr>
            <w:r>
              <w:t xml:space="preserve">在奖励函数中隐式添加</w:t>
            </w:r>
          </w:p>
        </w:tc>
        <w:tc>
          <w:tcPr/>
          <w:p>
            <w:pPr>
              <w:pStyle w:val="Compact"/>
              <w:jc w:val="left"/>
            </w:pPr>
            <w:r>
              <w:t xml:space="preserve">在loss函数中显式添加</w:t>
            </w:r>
          </w:p>
        </w:tc>
        <w:tc>
          <w:tcPr/>
          <w:p>
            <w:pPr>
              <w:pStyle w:val="Compact"/>
              <w:jc w:val="left"/>
            </w:pPr>
            <w:r>
              <w:t xml:space="preserve">GRPO KL控制更直接</w:t>
            </w:r>
          </w:p>
        </w:tc>
      </w:tr>
      <w:tr>
        <w:tc>
          <w:tcPr/>
          <w:p>
            <w:pPr>
              <w:pStyle w:val="Compact"/>
              <w:jc w:val="left"/>
            </w:pPr>
            <w:r>
              <w:t xml:space="preserve">在线采样</w:t>
            </w:r>
          </w:p>
        </w:tc>
        <w:tc>
          <w:tcPr/>
          <w:p>
            <w:pPr>
              <w:pStyle w:val="Compact"/>
              <w:jc w:val="left"/>
            </w:pPr>
            <w:r>
              <w:t xml:space="preserve">需要实时奖励模型评估</w:t>
            </w:r>
          </w:p>
        </w:tc>
        <w:tc>
          <w:tcPr/>
          <w:p>
            <w:pPr>
              <w:pStyle w:val="Compact"/>
              <w:jc w:val="left"/>
            </w:pPr>
            <w:r>
              <w:t xml:space="preserve">仅需要可验证奖励</w:t>
            </w:r>
          </w:p>
        </w:tc>
        <w:tc>
          <w:tcPr/>
          <w:p>
            <w:pPr>
              <w:pStyle w:val="Compact"/>
              <w:jc w:val="left"/>
            </w:pPr>
            <w:r>
              <w:t xml:space="preserve">GRPO适合可验证任务（数学/代码）</w:t>
            </w:r>
          </w:p>
        </w:tc>
      </w:tr>
      <w:tr>
        <w:tc>
          <w:tcPr/>
          <w:p>
            <w:pPr>
              <w:pStyle w:val="Compact"/>
              <w:jc w:val="left"/>
            </w:pPr>
            <w:r>
              <w:t xml:space="preserve">训练稳定性</w:t>
            </w:r>
          </w:p>
        </w:tc>
        <w:tc>
          <w:tcPr/>
          <w:p>
            <w:pPr>
              <w:pStyle w:val="Compact"/>
              <w:jc w:val="left"/>
            </w:pPr>
            <w:r>
              <w:t xml:space="preserve">超参数敏感，容易崩溃</w:t>
            </w:r>
          </w:p>
        </w:tc>
        <w:tc>
          <w:tcPr/>
          <w:p>
            <w:pPr>
              <w:pStyle w:val="Compact"/>
              <w:jc w:val="left"/>
            </w:pPr>
            <w:r>
              <w:t xml:space="preserve">更稳定，但存在熵崩塌风险</w:t>
            </w:r>
          </w:p>
        </w:tc>
        <w:tc>
          <w:tcPr/>
          <w:p>
            <w:pPr>
              <w:pStyle w:val="Compact"/>
              <w:jc w:val="left"/>
            </w:pPr>
            <w:r>
              <w:t xml:space="preserve">两者均需 careful tuning</w:t>
            </w:r>
          </w:p>
        </w:tc>
      </w:tr>
      <w:tr>
        <w:tc>
          <w:tcPr/>
          <w:p>
            <w:pPr>
              <w:pStyle w:val="Compact"/>
              <w:jc w:val="left"/>
            </w:pPr>
            <w:r>
              <w:t xml:space="preserve">适用任务</w:t>
            </w:r>
          </w:p>
        </w:tc>
        <w:tc>
          <w:tcPr/>
          <w:p>
            <w:pPr>
              <w:pStyle w:val="Compact"/>
              <w:jc w:val="left"/>
            </w:pPr>
            <w:r>
              <w:t xml:space="preserve">通用偏好对齐</w:t>
            </w:r>
          </w:p>
        </w:tc>
        <w:tc>
          <w:tcPr/>
          <w:p>
            <w:pPr>
              <w:pStyle w:val="Compact"/>
              <w:jc w:val="left"/>
            </w:pPr>
            <w:r>
              <w:t xml:space="preserve">可验证推理任务</w:t>
            </w:r>
          </w:p>
        </w:tc>
        <w:tc>
          <w:tcPr/>
          <w:p>
            <w:pPr>
              <w:pStyle w:val="Compact"/>
              <w:jc w:val="left"/>
            </w:pPr>
            <w:r>
              <w:t xml:space="preserve">任务类型决定方法选择</w:t>
            </w:r>
          </w:p>
        </w:tc>
      </w:tr>
    </w:tbl>
    <w:p>
      <w:pPr>
        <w:pStyle w:val="BodyText"/>
      </w:pPr>
      <w:r>
        <w:t xml:space="preserve">GRPO相比PPO的核心优势在于资源效率：省去Critic模型意味着显存消耗减半，无需训练Value model意味着减少了超参数调优空间。然而，GRPO并非在所有场景下都优于PPO。GRPO依赖组内回答的方差来获取学习信号——当所有回答都正确或都错误时（即零方差组），梯度信号消失，这是DAPO等后续改进重点解决的问题</w:t>
      </w:r>
      <w:r>
        <w:t xml:space="preserve"> </w:t>
      </w:r>
      <w:fldSimple w:instr="NOTEREF _Ref_Footnote_2 \h \f">
        <w:r>
          <w:rPr>
            <w:vertAlign w:val="superscript"/>
          </w:rPr>
          <w:t>2</w:t>
        </w:r>
      </w:fldSimple>
      <w:r>
        <w:t xml:space="preserve">。此外，PPO在需要精细偏好建模的开放域对话任务上仍具优势，因为这类任务难以获得简单的二值可验证奖励。</w:t>
      </w:r>
    </w:p>
    <w:bookmarkEnd w:id="47"/>
    <w:bookmarkEnd w:id="48"/>
    <w:bookmarkStart w:id="56" w:name="grpo变体算法群"/>
    <w:p>
      <w:pPr>
        <w:pStyle w:val="Heading3"/>
      </w:pPr>
      <w:r>
        <w:t xml:space="preserve">2.4 GRPO变体算法群</w:t>
      </w:r>
    </w:p>
    <w:p>
      <w:pPr>
        <w:pStyle w:val="FirstParagraph"/>
      </w:pPr>
      <w:r>
        <w:t xml:space="preserve">GRPO的成功催生了大量变体算法，形成了一个活跃的改进方向。这些变体围绕六个核心挑战展开：熵崩塌、零方差组、长度偏差、离群值敏感、MoE（Mixture of Experts，混合专家模型）兼容性和Value model需求。</w:t>
      </w:r>
    </w:p>
    <w:bookmarkStart w:id="52" w:name="dapo四大改进推动训练效率提升50"/>
    <w:p>
      <w:pPr>
        <w:pStyle w:val="Heading4"/>
      </w:pPr>
      <w:r>
        <w:t xml:space="preserve">2.4.1 DAPO：四大改进推动训练效率提升50%</w:t>
      </w:r>
    </w:p>
    <w:p>
      <w:pPr>
        <w:pStyle w:val="FirstParagraph"/>
      </w:pPr>
      <w:r>
        <w:t xml:space="preserve">DAPO（Decoupled Clip and Dynamic Sampling Policy Optimization）是当前GRPO最具影响力的变体之一</w:t>
      </w:r>
      <w:r>
        <w:t xml:space="preserve"> </w:t>
      </w:r>
      <w:fldSimple w:instr="NOTEREF _Ref_Footnote_2 \h \f">
        <w:r>
          <w:rPr>
            <w:vertAlign w:val="superscript"/>
          </w:rPr>
          <w:t>2</w:t>
        </w:r>
      </w:fldSimple>
      <w:r>
        <w:t xml:space="preserve">，通过四项关键技术使Qwen2.5-32B在AIME 2024上达到50分，仅需GRPO约50%的训练步数。</w:t>
      </w:r>
    </w:p>
    <w:p>
      <w:pPr>
        <w:pStyle w:val="BodyText"/>
      </w:pPr>
      <w:r>
        <w:rPr>
          <w:bCs/>
          <w:b/>
        </w:rPr>
        <w:t xml:space="preserve">改进一：Dynamic Sampling（动态采样）</w:t>
      </w:r>
      <w:r>
        <w:t xml:space="preserve">。过滤掉所有回答都正确或都错误的”零方差组”，确保每个batch中所有prompt都有有效梯度信号。约束条件为</w:t>
      </w:r>
      <m:oMath>
        <m:r>
          <m:t>0</m:t>
        </m:r>
        <m:r>
          <m:rPr>
            <m:sty m:val="p"/>
          </m:rPr>
          <m:t>&lt;</m:t>
        </m:r>
        <m:d>
          <m:dPr>
            <m:begChr m:val="|"/>
            <m:endChr m:val="|"/>
            <m:sepChr m:val=""/>
            <m:grow/>
          </m:dPr>
          <m:e>
            <m:r>
              <m:rPr>
                <m:sty m:val="p"/>
              </m:rPr>
              <m:t>{</m:t>
            </m:r>
            <m:sSub>
              <m:e>
                <m:r>
                  <m:t>o</m:t>
                </m:r>
              </m:e>
              <m:sub>
                <m:r>
                  <m:t>i</m:t>
                </m:r>
              </m:sub>
            </m:sSub>
            <m:r>
              <m:rPr>
                <m:sty m:val="p"/>
              </m:rPr>
              <m:t>∣</m:t>
            </m:r>
            <m:r>
              <m:rPr>
                <m:nor/>
                <m:sty m:val="p"/>
              </m:rPr>
              <m:t>is_equivalent</m:t>
            </m:r>
            <m:d>
              <m:dPr>
                <m:begChr m:val="("/>
                <m:endChr m:val=")"/>
                <m:sepChr m:val=""/>
                <m:grow/>
              </m:dPr>
              <m:e>
                <m:r>
                  <m:t>a</m:t>
                </m:r>
                <m:r>
                  <m:rPr>
                    <m:sty m:val="p"/>
                  </m:rPr>
                  <m:t>,</m:t>
                </m:r>
                <m:sSub>
                  <m:e>
                    <m:r>
                      <m:t>o</m:t>
                    </m:r>
                  </m:e>
                  <m:sub>
                    <m:r>
                      <m:t>i</m:t>
                    </m:r>
                  </m:sub>
                </m:sSub>
              </m:e>
            </m:d>
            <m:r>
              <m:rPr>
                <m:sty m:val="p"/>
              </m:rPr>
              <m:t>}</m:t>
            </m:r>
          </m:e>
        </m:d>
        <m:r>
          <m:rPr>
            <m:sty m:val="p"/>
          </m:rPr>
          <m:t>&lt;</m:t>
        </m:r>
        <m:r>
          <m:t>G</m:t>
        </m:r>
      </m:oMath>
      <w:r>
        <w:t xml:space="preserve"> </w:t>
      </w:r>
      <w:fldSimple w:instr="NOTEREF _Ref_Footnote_2 \h \f">
        <w:r>
          <w:rPr>
            <w:vertAlign w:val="superscript"/>
          </w:rPr>
          <w:t>2</w:t>
        </w:r>
      </w:fldSimple>
      <w:r>
        <w:t xml:space="preserve">。</w:t>
      </w:r>
    </w:p>
    <w:p>
      <w:pPr>
        <w:pStyle w:val="BodyText"/>
      </w:pPr>
      <w:r>
        <w:rPr>
          <w:bCs/>
          <w:b/>
        </w:rPr>
        <w:t xml:space="preserve">改进二：Clip-Higher（非对称裁剪）</w:t>
      </w:r>
      <w:r>
        <w:t xml:space="preserve">。将裁剪上下界解耦为</w:t>
      </w:r>
      <m:oMath>
        <m:sSub>
          <m:e>
            <m:r>
              <m:t>ϵ</m:t>
            </m:r>
          </m:e>
          <m:sub>
            <m:r>
              <m:t>l</m:t>
            </m:r>
            <m:r>
              <m:t>o</m:t>
            </m:r>
            <m:r>
              <m:t>w</m:t>
            </m:r>
          </m:sub>
        </m:sSub>
        <m:r>
          <m:rPr>
            <m:sty m:val="p"/>
          </m:rPr>
          <m:t>=</m:t>
        </m:r>
        <m:r>
          <m:t>0.20</m:t>
        </m:r>
      </m:oMath>
      <w:r>
        <w:t xml:space="preserve">和</w:t>
      </w:r>
      <m:oMath>
        <m:sSub>
          <m:e>
            <m:r>
              <m:t>ϵ</m:t>
            </m:r>
          </m:e>
          <m:sub>
            <m:r>
              <m:t>h</m:t>
            </m:r>
            <m:r>
              <m:t>i</m:t>
            </m:r>
            <m:r>
              <m:t>g</m:t>
            </m:r>
            <m:r>
              <m:t>h</m:t>
            </m:r>
          </m:sub>
        </m:sSub>
        <m:r>
          <m:rPr>
            <m:sty m:val="p"/>
          </m:rPr>
          <m:t>=</m:t>
        </m:r>
        <m:r>
          <m:t>0.28</m:t>
        </m:r>
      </m:oMath>
      <w:r>
        <w:t xml:space="preserve">，允许更大的正向策略更新幅度，有效缓解熵崩塌：</w:t>
      </w:r>
    </w:p>
    <w:p>
      <w:pPr>
        <w:pStyle w:val="BodyText"/>
      </w:pPr>
      <m:oMathPara>
        <m:oMathParaPr>
          <m:jc m:val="center"/>
        </m:oMathParaPr>
        <m:oMath>
          <m:r>
            <m:rPr>
              <m:nor/>
              <m:sty m:val="p"/>
            </m:rPr>
            <m:t>clip</m:t>
          </m:r>
          <m:d>
            <m:dPr>
              <m:begChr m:val="("/>
              <m:endChr m:val=")"/>
              <m:sepChr m:val=""/>
              <m:grow/>
            </m:dPr>
            <m:e>
              <m:sSub>
                <m:e>
                  <m:r>
                    <m:t>ρ</m:t>
                  </m:r>
                </m:e>
                <m:sub>
                  <m:r>
                    <m:t>i</m:t>
                  </m:r>
                  <m:r>
                    <m:rPr>
                      <m:sty m:val="p"/>
                    </m:rPr>
                    <m:t>,</m:t>
                  </m:r>
                  <m:r>
                    <m:t>t</m:t>
                  </m:r>
                </m:sub>
              </m:sSub>
              <m:r>
                <m:rPr>
                  <m:sty m:val="p"/>
                </m:rPr>
                <m:t>,</m:t>
              </m:r>
              <m:r>
                <m:t> </m:t>
              </m:r>
              <m:r>
                <m:t>1</m:t>
              </m:r>
              <m:r>
                <m:rPr>
                  <m:sty m:val="p"/>
                </m:rPr>
                <m:t>−</m:t>
              </m:r>
              <m:sSub>
                <m:e>
                  <m:r>
                    <m:t>ϵ</m:t>
                  </m:r>
                </m:e>
                <m:sub>
                  <m:r>
                    <m:t>l</m:t>
                  </m:r>
                  <m:r>
                    <m:t>o</m:t>
                  </m:r>
                  <m:r>
                    <m:t>w</m:t>
                  </m:r>
                </m:sub>
              </m:sSub>
              <m:r>
                <m:rPr>
                  <m:sty m:val="p"/>
                </m:rPr>
                <m:t>,</m:t>
              </m:r>
              <m:r>
                <m:t> </m:t>
              </m:r>
              <m:r>
                <m:t>1</m:t>
              </m:r>
              <m:r>
                <m:rPr>
                  <m:sty m:val="p"/>
                </m:rPr>
                <m:t>+</m:t>
              </m:r>
              <m:sSub>
                <m:e>
                  <m:r>
                    <m:t>ϵ</m:t>
                  </m:r>
                </m:e>
                <m:sub>
                  <m:r>
                    <m:t>h</m:t>
                  </m:r>
                  <m:r>
                    <m:t>i</m:t>
                  </m:r>
                  <m:r>
                    <m:t>g</m:t>
                  </m:r>
                  <m:r>
                    <m:t>h</m:t>
                  </m:r>
                </m:sub>
              </m:sSub>
            </m:e>
          </m:d>
        </m:oMath>
      </m:oMathPara>
    </w:p>
    <w:p>
      <w:pPr>
        <w:pStyle w:val="FirstParagraph"/>
      </w:pPr>
      <w:r>
        <w:rPr>
          <w:bCs/>
          <w:b/>
        </w:rPr>
        <w:t xml:space="preserve">改进三：Token-Level Policy Gradient Loss</w:t>
      </w:r>
      <w:r>
        <w:t xml:space="preserve">。用总token数归一化损失，替代GRPO中按序列数归一化：</w:t>
      </w:r>
    </w:p>
    <w:p>
      <w:pPr>
        <w:pStyle w:val="BodyText"/>
      </w:pPr>
      <m:oMathPara>
        <m:oMathParaPr>
          <m:jc m:val="center"/>
        </m:oMathParaPr>
        <m:oMath>
          <m:sSub>
            <m:e>
              <m:r>
                <m:rPr>
                  <m:sty m:val="p"/>
                  <m:scr m:val="script"/>
                </m:rPr>
                <m:t>J</m:t>
              </m:r>
            </m:e>
            <m:sub>
              <m:r>
                <m:t>D</m:t>
              </m:r>
              <m:r>
                <m:t>A</m:t>
              </m:r>
              <m:r>
                <m:t>P</m:t>
              </m:r>
              <m:r>
                <m:t>O</m:t>
              </m:r>
            </m:sub>
          </m:sSub>
          <m:r>
            <m:rPr>
              <m:sty m:val="p"/>
            </m:rPr>
            <m:t>=</m:t>
          </m:r>
          <m:r>
            <m:rPr>
              <m:sty m:val="p"/>
              <m:scr m:val="double-struck"/>
            </m:rPr>
            <m:t>E</m:t>
          </m:r>
          <m:d>
            <m:dPr>
              <m:begChr m:val="["/>
              <m:endChr m:val="]"/>
              <m:sepChr m:val=""/>
              <m:grow/>
            </m:dPr>
            <m:e>
              <m:f>
                <m:fPr>
                  <m:type m:val="bar"/>
                </m:fPr>
                <m:num>
                  <m:r>
                    <m:t>1</m:t>
                  </m:r>
                </m:num>
                <m:den>
                  <m:nary>
                    <m:naryPr>
                      <m:chr m:val="∑"/>
                      <m:limLoc m:val="undOvr"/>
                      <m:subHide m:val="0"/>
                      <m:supHide m:val="0"/>
                    </m:naryPr>
                    <m:sub>
                      <m:r>
                        <m:t>i</m:t>
                      </m:r>
                      <m:r>
                        <m:rPr>
                          <m:sty m:val="p"/>
                        </m:rPr>
                        <m:t>=</m:t>
                      </m:r>
                      <m:r>
                        <m:t>1</m:t>
                      </m:r>
                    </m:sub>
                    <m:sup>
                      <m:r>
                        <m:t>G</m:t>
                      </m:r>
                    </m:sup>
                    <m:e>
                      <m:d>
                        <m:dPr>
                          <m:begChr m:val="|"/>
                          <m:endChr m:val="|"/>
                          <m:sepChr m:val=""/>
                          <m:grow/>
                        </m:dPr>
                        <m:e>
                          <m:sSub>
                            <m:e>
                              <m:r>
                                <m:t>o</m:t>
                              </m:r>
                            </m:e>
                            <m:sub>
                              <m:r>
                                <m:t>i</m:t>
                              </m:r>
                            </m:sub>
                          </m:sSub>
                        </m:e>
                      </m:d>
                    </m:e>
                  </m:nary>
                </m:den>
              </m:f>
              <m:nary>
                <m:naryPr>
                  <m:chr m:val="∑"/>
                  <m:limLoc m:val="undOvr"/>
                  <m:subHide m:val="0"/>
                  <m:supHide m:val="0"/>
                </m:naryPr>
                <m:sub>
                  <m:r>
                    <m:t>i</m:t>
                  </m:r>
                  <m:r>
                    <m:rPr>
                      <m:sty m:val="p"/>
                    </m:rPr>
                    <m:t>=</m:t>
                  </m:r>
                  <m:r>
                    <m:t>1</m:t>
                  </m:r>
                </m:sub>
                <m:sup>
                  <m:r>
                    <m:t>G</m:t>
                  </m:r>
                </m:sup>
                <m:e>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e>
              </m:nary>
              <m:d>
                <m:dPr>
                  <m:begChr m:val="("/>
                  <m:endChr m:val=")"/>
                  <m:sepChr m:val=""/>
                  <m:grow/>
                </m:dPr>
                <m:e>
                  <m:sSub>
                    <m:e>
                      <m:r>
                        <m:t>ρ</m:t>
                      </m:r>
                    </m:e>
                    <m:sub>
                      <m:r>
                        <m:t>i</m:t>
                      </m:r>
                      <m:r>
                        <m:rPr>
                          <m:sty m:val="p"/>
                        </m:rPr>
                        <m:t>,</m:t>
                      </m:r>
                      <m:r>
                        <m:t>t</m:t>
                      </m:r>
                    </m:sub>
                  </m:sSub>
                  <m:sSub>
                    <m:e>
                      <m:acc>
                        <m:accPr>
                          <m:chr m:val="̂"/>
                        </m:accPr>
                        <m:e>
                          <m:r>
                            <m:t>A</m:t>
                          </m:r>
                        </m:e>
                      </m:acc>
                    </m:e>
                    <m:sub>
                      <m:r>
                        <m:t>i</m:t>
                      </m:r>
                    </m:sub>
                  </m:sSub>
                  <m:r>
                    <m:rPr>
                      <m:sty m:val="p"/>
                    </m:rPr>
                    <m:t>,</m:t>
                  </m:r>
                  <m:r>
                    <m:t> </m:t>
                  </m:r>
                  <m:r>
                    <m:rPr>
                      <m:nor/>
                      <m:sty m:val="p"/>
                    </m:rPr>
                    <m:t>clip</m:t>
                  </m:r>
                  <m:d>
                    <m:dPr>
                      <m:begChr m:val="("/>
                      <m:endChr m:val=")"/>
                      <m:sepChr m:val=""/>
                      <m:grow/>
                    </m:dPr>
                    <m:e>
                      <m:sSub>
                        <m:e>
                          <m:r>
                            <m:t>ρ</m:t>
                          </m:r>
                        </m:e>
                        <m:sub>
                          <m:r>
                            <m:t>i</m:t>
                          </m:r>
                          <m:r>
                            <m:rPr>
                              <m:sty m:val="p"/>
                            </m:rPr>
                            <m:t>,</m:t>
                          </m:r>
                          <m:r>
                            <m:t>t</m:t>
                          </m:r>
                        </m:sub>
                      </m:sSub>
                      <m:r>
                        <m:rPr>
                          <m:sty m:val="p"/>
                        </m:rPr>
                        <m:t>,</m:t>
                      </m:r>
                      <m:r>
                        <m:t>1</m:t>
                      </m:r>
                      <m:r>
                        <m:rPr>
                          <m:sty m:val="p"/>
                        </m:rPr>
                        <m:t>−</m:t>
                      </m:r>
                      <m:sSub>
                        <m:e>
                          <m:r>
                            <m:t>ϵ</m:t>
                          </m:r>
                        </m:e>
                        <m:sub>
                          <m:r>
                            <m:t>l</m:t>
                          </m:r>
                          <m:r>
                            <m:t>o</m:t>
                          </m:r>
                          <m:r>
                            <m:t>w</m:t>
                          </m:r>
                        </m:sub>
                      </m:sSub>
                      <m:r>
                        <m:rPr>
                          <m:sty m:val="p"/>
                        </m:rPr>
                        <m:t>,</m:t>
                      </m:r>
                      <m:r>
                        <m:t>1</m:t>
                      </m:r>
                      <m:r>
                        <m:rPr>
                          <m:sty m:val="p"/>
                        </m:rPr>
                        <m:t>+</m:t>
                      </m:r>
                      <m:sSub>
                        <m:e>
                          <m:r>
                            <m:t>ϵ</m:t>
                          </m:r>
                        </m:e>
                        <m:sub>
                          <m:r>
                            <m:t>h</m:t>
                          </m:r>
                          <m:r>
                            <m:t>i</m:t>
                          </m:r>
                          <m:r>
                            <m:t>g</m:t>
                          </m:r>
                          <m:r>
                            <m:t>h</m:t>
                          </m:r>
                        </m:sub>
                      </m:sSub>
                    </m:e>
                  </m:d>
                  <m:sSub>
                    <m:e>
                      <m:acc>
                        <m:accPr>
                          <m:chr m:val="̂"/>
                        </m:accPr>
                        <m:e>
                          <m:r>
                            <m:t>A</m:t>
                          </m:r>
                        </m:e>
                      </m:acc>
                    </m:e>
                    <m:sub>
                      <m:r>
                        <m:t>i</m:t>
                      </m:r>
                    </m:sub>
                  </m:sSub>
                </m:e>
              </m:d>
            </m:e>
          </m:d>
        </m:oMath>
      </m:oMathPara>
    </w:p>
    <w:p>
      <w:pPr>
        <w:pStyle w:val="FirstParagraph"/>
      </w:pPr>
      <w:r>
        <w:rPr>
          <w:bCs/>
          <w:b/>
        </w:rPr>
        <w:t xml:space="preserve">改进四：Overlong Reward Shaping（过长奖励塑形）</w:t>
      </w:r>
      <w:r>
        <w:t xml:space="preserve">。对超过预设长度阈值的回答施加soft惩罚，鼓励生成足够长的CoT（Chain-of-Thought，思维链）以容纳完整推理过程，但避免过度冗长</w:t>
      </w:r>
      <w:r>
        <w:t xml:space="preserve"> </w:t>
      </w:r>
      <w:fldSimple w:instr="NOTEREF _Ref_Footnote_2 \h \f">
        <w:r>
          <w:rPr>
            <w:vertAlign w:val="superscript"/>
          </w:rPr>
          <w:t>2</w:t>
        </w:r>
      </w:fldSimple>
      <w:r>
        <w:t xml:space="preserve">。</w:t>
      </w:r>
    </w:p>
    <w:p>
      <w:pPr>
        <w:pStyle w:val="CaptionedFigure"/>
      </w:pPr>
      <w:r>
        <w:drawing>
          <wp:inline>
            <wp:extent cx="5334000" cy="2883170"/>
            <wp:effectExtent b="0" l="0" r="0" t="0"/>
            <wp:docPr descr="DAPO渐进式技术添加效果" title="" id="50" name="Picture"/>
            <a:graphic>
              <a:graphicData uri="http://schemas.openxmlformats.org/drawingml/2006/picture">
                <pic:pic>
                  <pic:nvPicPr>
                    <pic:cNvPr descr="fig_sec02_dapo_ablation.png" id="51" name="Picture"/>
                    <pic:cNvPicPr>
                      <a:picLocks noChangeArrowheads="1" noChangeAspect="1"/>
                    </pic:cNvPicPr>
                  </pic:nvPicPr>
                  <pic:blipFill>
                    <a:blip r:embed="rId49"/>
                    <a:stretch>
                      <a:fillRect/>
                    </a:stretch>
                  </pic:blipFill>
                  <pic:spPr bwMode="auto">
                    <a:xfrm>
                      <a:off x="0" y="0"/>
                      <a:ext cx="5334000" cy="2883170"/>
                    </a:xfrm>
                    <a:prstGeom prst="rect">
                      <a:avLst/>
                    </a:prstGeom>
                    <a:noFill/>
                    <a:ln w="9525">
                      <a:noFill/>
                      <a:headEnd/>
                      <a:tailEnd/>
                    </a:ln>
                  </pic:spPr>
                </pic:pic>
              </a:graphicData>
            </a:graphic>
          </wp:inline>
        </w:drawing>
      </w:r>
    </w:p>
    <w:p>
      <w:pPr>
        <w:pStyle w:val="ImageCaption"/>
      </w:pPr>
      <w:r>
        <w:t xml:space="preserve">DAPO渐进式技术添加效果</w:t>
      </w:r>
    </w:p>
    <w:p>
      <w:pPr>
        <w:pStyle w:val="BodyText"/>
      </w:pPr>
      <w:r>
        <w:rPr>
          <w:iCs/>
          <w:i/>
        </w:rPr>
        <w:t xml:space="preserve">图2-2 DAPO渐进式技术添加效果。从Naive GRPO的30分出发，每一步改进都带来稳定提升：过长过滤+6分、非对称裁剪+2分、Soft过长惩罚+3分、Token级损失+1分、动态采样+8分，最终达到50分，超越DeepSeek-R1-Zero-Qwen-32B的47分</w:t>
      </w:r>
      <w:r>
        <w:rPr>
          <w:iCs/>
          <w:i/>
        </w:rPr>
        <w:t xml:space="preserve"> </w:t>
      </w:r>
      <w:fldSimple w:instr="NOTEREF _Ref_Footnote_2 \h \f">
        <w:r>
          <w:rPr>
            <w:vertAlign w:val="superscript"/>
          </w:rPr>
          <w:t>2</w:t>
        </w:r>
      </w:fldSimple>
      <w:r>
        <w:rPr>
          <w:iCs/>
          <w:i/>
        </w:rPr>
        <w:t xml:space="preserve">。</w:t>
      </w:r>
    </w:p>
    <w:bookmarkEnd w:id="52"/>
    <w:bookmarkStart w:id="53" w:name="dr.grpo长度归一化修正"/>
    <w:p>
      <w:pPr>
        <w:pStyle w:val="Heading4"/>
      </w:pPr>
      <w:r>
        <w:t xml:space="preserve">2.4.2 Dr.GRPO：长度归一化修正</w:t>
      </w:r>
    </w:p>
    <w:p>
      <w:pPr>
        <w:pStyle w:val="FirstParagraph"/>
      </w:pPr>
      <w:r>
        <w:t xml:space="preserve">Dr.GRPO识别出GRPO中两个导致训练偏差的源头</w:t>
      </w:r>
      <w:r>
        <w:t xml:space="preserve"> </w:t>
      </w:r>
      <w:fldSimple w:instr="NOTEREF _Ref_Footnote_13 \h \f">
        <w:r>
          <w:rPr>
            <w:vertAlign w:val="superscript"/>
          </w:rPr>
          <w:t>13</w:t>
        </w:r>
      </w:fldSimple>
      <w:r>
        <w:t xml:space="preserve">。</w:t>
      </w:r>
      <w:r>
        <w:rPr>
          <w:bCs/>
          <w:b/>
        </w:rPr>
        <w:t xml:space="preserve">长度偏差</w:t>
      </w:r>
      <w:r>
        <w:t xml:space="preserve">：GRPO对每个回答的损失除以</w:t>
      </w:r>
      <m:oMath>
        <m:d>
          <m:dPr>
            <m:begChr m:val="|"/>
            <m:endChr m:val="|"/>
            <m:sepChr m:val=""/>
            <m:grow/>
          </m:dPr>
          <m:e>
            <m:sSub>
              <m:e>
                <m:r>
                  <m:t>o</m:t>
                </m:r>
              </m:e>
              <m:sub>
                <m:r>
                  <m:t>i</m:t>
                </m:r>
              </m:sub>
            </m:sSub>
          </m:e>
        </m:d>
      </m:oMath>
      <w:r>
        <w:t xml:space="preserve">（回答长度），导致长回答中每个token的梯度被缩小，模型倾向于生成更长但不一定更好的回答。</w:t>
      </w:r>
      <w:r>
        <w:rPr>
          <w:bCs/>
          <w:b/>
        </w:rPr>
        <w:t xml:space="preserve">标准差偏差</w:t>
      </w:r>
      <w:r>
        <w:t xml:space="preserve">：除以组内标准差使得问题难度影响梯度大小，极端奖励分布的问题被过度加权。</w:t>
      </w:r>
    </w:p>
    <w:p>
      <w:pPr>
        <w:pStyle w:val="BodyText"/>
      </w:pPr>
      <w:r>
        <w:t xml:space="preserve">Dr.GRPO的修正方案是直接移除</w:t>
      </w:r>
      <m:oMath>
        <m:f>
          <m:fPr>
            <m:type m:val="bar"/>
          </m:fPr>
          <m:num>
            <m:r>
              <m:t>1</m:t>
            </m:r>
          </m:num>
          <m:den>
            <m:d>
              <m:dPr>
                <m:begChr m:val="|"/>
                <m:endChr m:val="|"/>
                <m:sepChr m:val=""/>
                <m:grow/>
              </m:dPr>
              <m:e>
                <m:sSub>
                  <m:e>
                    <m:r>
                      <m:t>o</m:t>
                    </m:r>
                  </m:e>
                  <m:sub>
                    <m:r>
                      <m:t>i</m:t>
                    </m:r>
                  </m:sub>
                </m:sSub>
              </m:e>
            </m:d>
          </m:den>
        </m:f>
      </m:oMath>
      <w:r>
        <w:t xml:space="preserve">和</w:t>
      </w:r>
      <m:oMath>
        <m:r>
          <m:rPr>
            <m:nor/>
            <m:sty m:val="p"/>
          </m:rPr>
          <m:t>std</m:t>
        </m:r>
        <m:d>
          <m:dPr>
            <m:begChr m:val="("/>
            <m:endChr m:val=")"/>
            <m:sepChr m:val=""/>
            <m:grow/>
          </m:dPr>
          <m:e>
            <m:r>
              <m:t>R</m:t>
            </m:r>
          </m:e>
        </m:d>
      </m:oMath>
      <w:r>
        <w:t xml:space="preserve">两项归一化，优势函数简化为：</w:t>
      </w:r>
    </w:p>
    <w:p>
      <w:pPr>
        <w:pStyle w:val="BodyText"/>
      </w:pPr>
      <m:oMathPara>
        <m:oMathParaPr>
          <m:jc m:val="center"/>
        </m:oMathParaPr>
        <m:oMath>
          <m:sSub>
            <m:e>
              <m:acc>
                <m:accPr>
                  <m:chr m:val="̂"/>
                </m:accPr>
                <m:e>
                  <m:r>
                    <m:t>A</m:t>
                  </m:r>
                </m:e>
              </m:acc>
            </m:e>
            <m:sub>
              <m:r>
                <m:t>i</m:t>
              </m:r>
            </m:sub>
          </m:sSub>
          <m:r>
            <m:rPr>
              <m:sty m:val="p"/>
            </m:rPr>
            <m:t>=</m:t>
          </m:r>
          <m:sSub>
            <m:e>
              <m:r>
                <m:t>r</m:t>
              </m:r>
            </m:e>
            <m:sub>
              <m:r>
                <m:t>i</m:t>
              </m:r>
            </m:sub>
          </m:sSub>
          <m:r>
            <m:rPr>
              <m:sty m:val="p"/>
            </m:rPr>
            <m:t>−</m:t>
          </m:r>
          <m:r>
            <m:rPr>
              <m:nor/>
              <m:sty m:val="p"/>
            </m:rPr>
            <m:t>mean</m:t>
          </m:r>
          <m:d>
            <m:dPr>
              <m:begChr m:val="("/>
              <m:endChr m:val=")"/>
              <m:sepChr m:val=""/>
              <m:grow/>
            </m:dPr>
            <m:e>
              <m:r>
                <m:t>R</m:t>
              </m:r>
            </m:e>
          </m:d>
        </m:oMath>
      </m:oMathPara>
    </w:p>
    <w:p>
      <w:pPr>
        <w:pStyle w:val="FirstParagraph"/>
      </w:pPr>
      <w:r>
        <w:t xml:space="preserve">使用7B模型在AIME 2024上达到43.3%，显著优于GRPO基线</w:t>
      </w:r>
      <w:r>
        <w:t xml:space="preserve"> </w:t>
      </w:r>
      <w:fldSimple w:instr="NOTEREF _Ref_Footnote_13 \h \f">
        <w:r>
          <w:rPr>
            <w:vertAlign w:val="superscript"/>
          </w:rPr>
          <w:t>13</w:t>
        </w:r>
      </w:fldSimple>
      <w:r>
        <w:t xml:space="preserve">。Dr.GRPO的优势在于实现简单——仅需修改几行代码即可从GRPO升级，同时有效提升token效率。</w:t>
      </w:r>
    </w:p>
    <w:bookmarkEnd w:id="53"/>
    <w:bookmarkStart w:id="54" w:name="gmpogspo几何平均与序列级优化"/>
    <w:p>
      <w:pPr>
        <w:pStyle w:val="Heading4"/>
      </w:pPr>
      <w:r>
        <w:t xml:space="preserve">2.4.3 GMPO/GSPO：几何平均与序列级优化</w:t>
      </w:r>
    </w:p>
    <w:p>
      <w:pPr>
        <w:pStyle w:val="FirstParagraph"/>
      </w:pPr>
      <w:r>
        <w:rPr>
          <w:bCs/>
          <w:b/>
        </w:rPr>
        <w:t xml:space="preserve">GMPO</w:t>
      </w:r>
      <w:r>
        <w:t xml:space="preserve">（Geometric-Mean Policy Optimization）用几何平均替代GRPO中的算术平均来聚合token级奖励</w:t>
      </w:r>
      <w:r>
        <w:t xml:space="preserve"> </w:t>
      </w:r>
      <w:fldSimple w:instr="NOTEREF _Ref_Footnote_3 \h \f">
        <w:r>
          <w:rPr>
            <w:vertAlign w:val="superscript"/>
          </w:rPr>
          <w:t>3</w:t>
        </w:r>
      </w:fldSimple>
      <w:r>
        <w:t xml:space="preserve">：</w:t>
      </w:r>
    </w:p>
    <w:p>
      <w:pPr>
        <w:pStyle w:val="BodyText"/>
      </w:pPr>
      <m:oMathPara>
        <m:oMathParaPr>
          <m:jc m:val="center"/>
        </m:oMathParaPr>
        <m:oMath>
          <m:sSub>
            <m:e>
              <m:r>
                <m:rPr>
                  <m:sty m:val="p"/>
                  <m:scr m:val="script"/>
                </m:rPr>
                <m:t>J</m:t>
              </m:r>
            </m:e>
            <m:sub>
              <m:r>
                <m:t>G</m:t>
              </m:r>
              <m:r>
                <m:t>M</m:t>
              </m:r>
              <m:r>
                <m:t>P</m:t>
              </m:r>
              <m:r>
                <m:t>O</m:t>
              </m:r>
            </m:sub>
          </m:sSub>
          <m:d>
            <m:dPr>
              <m:begChr m:val="("/>
              <m:endChr m:val=")"/>
              <m:sepChr m:val=""/>
              <m:grow/>
            </m:dPr>
            <m:e>
              <m:r>
                <m:t>θ</m:t>
              </m:r>
            </m:e>
          </m:d>
          <m:r>
            <m:rPr>
              <m:sty m:val="p"/>
            </m:rPr>
            <m:t>=</m:t>
          </m:r>
          <m:r>
            <m:rPr>
              <m:sty m:val="p"/>
              <m:scr m:val="double-struck"/>
            </m:rPr>
            <m:t>E</m:t>
          </m:r>
          <m:d>
            <m:dPr>
              <m:begChr m:val="["/>
              <m:endChr m:val="]"/>
              <m:sepChr m:val=""/>
              <m:grow/>
            </m:dPr>
            <m:e>
              <m:sSup>
                <m:e>
                  <m:d>
                    <m:dPr>
                      <m:begChr m:val="("/>
                      <m:endChr m:val=")"/>
                      <m:sepChr m:val=""/>
                      <m:grow/>
                    </m:dPr>
                    <m:e>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sSub>
                            <m:e>
                              <m:r>
                                <m:t>ρ</m:t>
                              </m:r>
                            </m:e>
                            <m:sub>
                              <m:r>
                                <m:t>i</m:t>
                              </m:r>
                              <m:r>
                                <m:rPr>
                                  <m:sty m:val="p"/>
                                </m:rPr>
                                <m:t>,</m:t>
                              </m:r>
                              <m:r>
                                <m:t>t</m:t>
                              </m:r>
                            </m:sub>
                          </m:sSub>
                        </m:e>
                      </m:nary>
                      <m:r>
                        <m:rPr>
                          <m:sty m:val="p"/>
                        </m:rPr>
                        <m:t>⋅</m:t>
                      </m:r>
                      <m:sSub>
                        <m:e>
                          <m:r>
                            <m:rPr>
                              <m:sty m:val="b"/>
                            </m:rPr>
                            <m:t>1</m:t>
                          </m:r>
                        </m:e>
                        <m:sub>
                          <m:d>
                            <m:dPr>
                              <m:begChr m:val="["/>
                              <m:endChr m:val="]"/>
                              <m:sepChr m:val=""/>
                              <m:grow/>
                            </m:dPr>
                            <m:e>
                              <m:r>
                                <m:rPr>
                                  <m:nor/>
                                  <m:sty m:val="p"/>
                                </m:rPr>
                                <m:t>unclipped</m:t>
                              </m:r>
                            </m:e>
                          </m:d>
                        </m:sub>
                      </m:sSub>
                    </m:e>
                  </m:d>
                </m:e>
                <m:sup>
                  <m:f>
                    <m:fPr>
                      <m:type m:val="bar"/>
                    </m:fPr>
                    <m:num>
                      <m:r>
                        <m:t>1</m:t>
                      </m:r>
                    </m:num>
                    <m:den>
                      <m:d>
                        <m:dPr>
                          <m:begChr m:val="|"/>
                          <m:endChr m:val="|"/>
                          <m:sepChr m:val=""/>
                          <m:grow/>
                        </m:dPr>
                        <m:e>
                          <m:sSub>
                            <m:e>
                              <m:r>
                                <m:t>o</m:t>
                              </m:r>
                            </m:e>
                            <m:sub>
                              <m:r>
                                <m:t>i</m:t>
                              </m:r>
                            </m:sub>
                          </m:sSub>
                        </m:e>
                      </m:d>
                    </m:den>
                  </m:f>
                </m:sup>
              </m:sSup>
              <m:r>
                <m:rPr>
                  <m:sty m:val="p"/>
                </m:rPr>
                <m:t>⋅</m:t>
              </m:r>
              <m:sSub>
                <m:e>
                  <m:acc>
                    <m:accPr>
                      <m:chr m:val="̂"/>
                    </m:accPr>
                    <m:e>
                      <m:r>
                        <m:t>A</m:t>
                      </m:r>
                    </m:e>
                  </m:acc>
                </m:e>
                <m:sub>
                  <m:r>
                    <m:t>i</m:t>
                  </m:r>
                </m:sub>
              </m:sSub>
            </m:e>
          </m:d>
        </m:oMath>
      </m:oMathPara>
    </w:p>
    <w:p>
      <w:pPr>
        <w:pStyle w:val="FirstParagraph"/>
      </w:pPr>
      <w:r>
        <w:t xml:space="preserve">等价于对数空间中的平均：</w:t>
      </w:r>
      <m:oMath>
        <m:r>
          <m:rPr>
            <m:sty m:val="p"/>
          </m:rPr>
          <m:t>log</m:t>
        </m:r>
        <m:sSub>
          <m:e>
            <m:r>
              <m:rPr>
                <m:sty m:val="p"/>
                <m:scr m:val="script"/>
              </m:rPr>
              <m:t>J</m:t>
            </m:r>
          </m:e>
          <m:sub>
            <m:r>
              <m:t>G</m:t>
            </m:r>
            <m:r>
              <m:t>M</m:t>
            </m:r>
            <m:r>
              <m:t>P</m:t>
            </m:r>
            <m:r>
              <m:t>O</m:t>
            </m:r>
          </m:sub>
        </m:sSub>
        <m:r>
          <m:rPr>
            <m:sty m:val="p"/>
          </m:rPr>
          <m:t>∝</m:t>
        </m:r>
        <m:f>
          <m:fPr>
            <m:type m:val="bar"/>
          </m:fPr>
          <m:num>
            <m:r>
              <m:t>1</m:t>
            </m:r>
          </m:num>
          <m:den>
            <m:d>
              <m:dPr>
                <m:begChr m:val="|"/>
                <m:endChr m:val="|"/>
                <m:sepChr m:val=""/>
                <m:grow/>
              </m:dPr>
              <m:e>
                <m:sSub>
                  <m:e>
                    <m:r>
                      <m:t>o</m:t>
                    </m:r>
                  </m:e>
                  <m:sub>
                    <m:r>
                      <m:t>i</m:t>
                    </m:r>
                  </m:sub>
                </m:sSub>
              </m:e>
            </m:d>
          </m:den>
        </m:f>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log</m:t>
            </m:r>
          </m:e>
        </m:nary>
        <m:sSub>
          <m:e>
            <m:r>
              <m:t>ρ</m:t>
            </m:r>
          </m:e>
          <m:sub>
            <m:r>
              <m:t>i</m:t>
            </m:r>
            <m:r>
              <m:rPr>
                <m:sty m:val="p"/>
              </m:rPr>
              <m:t>,</m:t>
            </m:r>
            <m:r>
              <m:t>t</m:t>
            </m:r>
          </m:sub>
        </m:sSub>
      </m:oMath>
      <w:r>
        <w:t xml:space="preserve">。几何平均对离群值不敏感（outlier robust），使重要性采样比率的范围更稳定，允许使用更宽的裁剪阈值而不失去稳定性</w:t>
      </w:r>
      <w:r>
        <w:t xml:space="preserve"> </w:t>
      </w:r>
      <w:fldSimple w:instr="NOTEREF _Ref_Footnote_3 \h \f">
        <w:r>
          <w:rPr>
            <w:vertAlign w:val="superscript"/>
          </w:rPr>
          <w:t>3</w:t>
        </w:r>
      </w:fldSimple>
      <w:r>
        <w:t xml:space="preserve">。GMPO-7B在AIME 2024、AMC、MATH-500等多个数学基准上平均超越GRPO 4.1个百分点。</w:t>
      </w:r>
    </w:p>
    <w:p>
      <w:pPr>
        <w:pStyle w:val="BodyText"/>
      </w:pPr>
      <w:r>
        <w:rPr>
          <w:bCs/>
          <w:b/>
        </w:rPr>
        <w:t xml:space="preserve">GSPO</w:t>
      </w:r>
      <w:r>
        <w:t xml:space="preserve">（Group Sequence Policy Optimization）则从另一维度改进——将优化粒度从token级提升到序列级</w:t>
      </w:r>
      <w:r>
        <w:t xml:space="preserve"> </w:t>
      </w:r>
      <w:fldSimple w:instr="NOTEREF _Ref_Footnote_4 \h \f">
        <w:r>
          <w:rPr>
            <w:vertAlign w:val="superscript"/>
          </w:rPr>
          <w:t>4</w:t>
        </w:r>
      </w:fldSimple>
      <w:r>
        <w:t xml:space="preserve">。GSPO定义序列级重要性比率：</w:t>
      </w:r>
    </w:p>
    <w:p>
      <w:pPr>
        <w:pStyle w:val="BodyText"/>
      </w:pPr>
      <m:oMathPara>
        <m:oMathParaPr>
          <m:jc m:val="center"/>
        </m:oMathParaPr>
        <m:oMath>
          <m:sSub>
            <m:e>
              <m:r>
                <m:t>s</m:t>
              </m:r>
            </m:e>
            <m:sub>
              <m:r>
                <m:t>i</m:t>
              </m:r>
            </m:sub>
          </m:sSub>
          <m:d>
            <m:dPr>
              <m:begChr m:val="("/>
              <m:endChr m:val=")"/>
              <m:sepChr m:val=""/>
              <m:grow/>
            </m:dPr>
            <m:e>
              <m:r>
                <m:t>θ</m:t>
              </m:r>
            </m:e>
          </m:d>
          <m:r>
            <m:rPr>
              <m:sty m:val="p"/>
            </m:rPr>
            <m:t>=</m:t>
          </m:r>
          <m:r>
            <m:rPr>
              <m:sty m:val="p"/>
            </m:rPr>
            <m:t>exp</m:t>
          </m:r>
          <m:d>
            <m:dPr>
              <m:begChr m:val="("/>
              <m:endChr m:val=")"/>
              <m:sepChr m:val=""/>
              <m:grow/>
            </m:dPr>
            <m:e>
              <m:f>
                <m:fPr>
                  <m:type m:val="bar"/>
                </m:fPr>
                <m:num>
                  <m:r>
                    <m:t>1</m:t>
                  </m:r>
                </m:num>
                <m:den>
                  <m:d>
                    <m:dPr>
                      <m:begChr m:val="|"/>
                      <m:endChr m:val="|"/>
                      <m:sepChr m:val=""/>
                      <m:grow/>
                    </m:dPr>
                    <m:e>
                      <m:sSub>
                        <m:e>
                          <m:r>
                            <m:t>y</m:t>
                          </m:r>
                        </m:e>
                        <m:sub>
                          <m:r>
                            <m:t>i</m:t>
                          </m:r>
                        </m:sub>
                      </m:sSub>
                    </m:e>
                  </m:d>
                </m:den>
              </m:f>
              <m:nary>
                <m:naryPr>
                  <m:chr m:val="∑"/>
                  <m:limLoc m:val="undOvr"/>
                  <m:subHide m:val="0"/>
                  <m:supHide m:val="0"/>
                </m:naryPr>
                <m:sub>
                  <m:r>
                    <m:t>t</m:t>
                  </m:r>
                  <m:r>
                    <m:rPr>
                      <m:sty m:val="p"/>
                    </m:rPr>
                    <m:t>=</m:t>
                  </m:r>
                  <m:r>
                    <m:t>1</m:t>
                  </m:r>
                </m:sub>
                <m:sup>
                  <m:d>
                    <m:dPr>
                      <m:begChr m:val="|"/>
                      <m:endChr m:val="|"/>
                      <m:sepChr m:val=""/>
                      <m:grow/>
                    </m:dPr>
                    <m:e>
                      <m:sSub>
                        <m:e>
                          <m:r>
                            <m:t>y</m:t>
                          </m:r>
                        </m:e>
                        <m:sub>
                          <m:r>
                            <m:t>i</m:t>
                          </m:r>
                        </m:sub>
                      </m:sSub>
                    </m:e>
                  </m:d>
                </m:sup>
                <m:e>
                  <m:r>
                    <m:rPr>
                      <m:sty m:val="p"/>
                    </m:rPr>
                    <m:t>log</m:t>
                  </m:r>
                </m:e>
              </m:nary>
              <m:f>
                <m:fPr>
                  <m:type m:val="bar"/>
                </m:fPr>
                <m:num>
                  <m:sSub>
                    <m:e>
                      <m:r>
                        <m:t>π</m:t>
                      </m:r>
                    </m:e>
                    <m:sub>
                      <m:r>
                        <m:t>θ</m:t>
                      </m:r>
                    </m:sub>
                  </m:sSub>
                  <m:d>
                    <m:dPr>
                      <m:begChr m:val="("/>
                      <m:endChr m:val=")"/>
                      <m:sepChr m:val=""/>
                      <m:grow/>
                    </m:dPr>
                    <m:e>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e>
                  </m:d>
                </m:num>
                <m:den>
                  <m:sSub>
                    <m:e>
                      <m:r>
                        <m:t>π</m:t>
                      </m:r>
                    </m:e>
                    <m:sub>
                      <m:sSub>
                        <m:e>
                          <m:r>
                            <m:t>θ</m:t>
                          </m:r>
                        </m:e>
                        <m:sub>
                          <m:r>
                            <m:t>o</m:t>
                          </m:r>
                          <m:r>
                            <m:t>l</m:t>
                          </m:r>
                          <m:r>
                            <m:t>d</m:t>
                          </m:r>
                        </m:sub>
                      </m:sSub>
                    </m:sub>
                  </m:sSub>
                  <m:d>
                    <m:dPr>
                      <m:begChr m:val="("/>
                      <m:endChr m:val=")"/>
                      <m:sepChr m:val=""/>
                      <m:grow/>
                    </m:dPr>
                    <m:e>
                      <m:sSub>
                        <m:e>
                          <m:r>
                            <m:t>y</m:t>
                          </m:r>
                        </m:e>
                        <m:sub>
                          <m:r>
                            <m:t>i</m:t>
                          </m:r>
                          <m:r>
                            <m:rPr>
                              <m:sty m:val="p"/>
                            </m:rPr>
                            <m:t>,</m:t>
                          </m:r>
                          <m:r>
                            <m:t>t</m:t>
                          </m:r>
                        </m:sub>
                      </m:sSub>
                      <m:r>
                        <m:rPr>
                          <m:sty m:val="p"/>
                        </m:rPr>
                        <m:t>|</m:t>
                      </m:r>
                      <m:r>
                        <m:t>x</m:t>
                      </m:r>
                      <m:r>
                        <m:rPr>
                          <m:sty m:val="p"/>
                        </m:rPr>
                        <m:t>,</m:t>
                      </m:r>
                      <m:sSub>
                        <m:e>
                          <m:r>
                            <m:t>y</m:t>
                          </m:r>
                        </m:e>
                        <m:sub>
                          <m:r>
                            <m:t>i</m:t>
                          </m:r>
                          <m:r>
                            <m:rPr>
                              <m:sty m:val="p"/>
                            </m:rPr>
                            <m:t>,</m:t>
                          </m:r>
                          <m:r>
                            <m:rPr>
                              <m:sty m:val="p"/>
                            </m:rPr>
                            <m:t>&lt;</m:t>
                          </m:r>
                          <m:r>
                            <m:t>t</m:t>
                          </m:r>
                        </m:sub>
                      </m:sSub>
                    </m:e>
                  </m:d>
                </m:den>
              </m:f>
            </m:e>
          </m:d>
        </m:oMath>
      </m:oMathPara>
    </w:p>
    <w:p>
      <w:pPr>
        <w:pStyle w:val="FirstParagraph"/>
      </w:pPr>
      <w:r>
        <w:t xml:space="preserve">并对整个序列统一裁剪：</w:t>
      </w:r>
      <m:oMath>
        <m:sSub>
          <m:e>
            <m:r>
              <m:rPr>
                <m:sty m:val="p"/>
                <m:scr m:val="script"/>
              </m:rPr>
              <m:t>J</m:t>
            </m:r>
          </m:e>
          <m:sub>
            <m:r>
              <m:t>G</m:t>
            </m:r>
            <m:r>
              <m:t>S</m:t>
            </m:r>
            <m:r>
              <m:t>P</m:t>
            </m:r>
            <m:r>
              <m:t>O</m:t>
            </m:r>
          </m:sub>
        </m:sSub>
        <m:r>
          <m:rPr>
            <m:sty m:val="p"/>
          </m:rPr>
          <m:t>=</m:t>
        </m:r>
        <m:r>
          <m:rPr>
            <m:sty m:val="p"/>
            <m:scr m:val="double-struck"/>
          </m:rPr>
          <m:t>E</m:t>
        </m:r>
        <m:d>
          <m:dPr>
            <m:begChr m:val="["/>
            <m:endChr m:val="]"/>
            <m:sepChr m:val=""/>
            <m:grow/>
          </m:dPr>
          <m:e>
            <m:r>
              <m:rPr>
                <m:sty m:val="p"/>
              </m:rPr>
              <m:t>min</m:t>
            </m:r>
            <m:d>
              <m:dPr>
                <m:begChr m:val="("/>
                <m:endChr m:val=")"/>
                <m:sepChr m:val=""/>
                <m:grow/>
              </m:dPr>
              <m:e>
                <m:sSub>
                  <m:e>
                    <m:r>
                      <m:t>s</m:t>
                    </m:r>
                  </m:e>
                  <m:sub>
                    <m:r>
                      <m:t>i</m:t>
                    </m:r>
                  </m:sub>
                </m:sSub>
                <m:sSub>
                  <m:e>
                    <m:acc>
                      <m:accPr>
                        <m:chr m:val="̂"/>
                      </m:accPr>
                      <m:e>
                        <m:r>
                          <m:t>A</m:t>
                        </m:r>
                      </m:e>
                    </m:acc>
                  </m:e>
                  <m:sub>
                    <m:r>
                      <m:t>i</m:t>
                    </m:r>
                  </m:sub>
                </m:sSub>
                <m:r>
                  <m:rPr>
                    <m:sty m:val="p"/>
                  </m:rPr>
                  <m:t>,</m:t>
                </m:r>
                <m:r>
                  <m:t> </m:t>
                </m:r>
                <m:r>
                  <m:rPr>
                    <m:nor/>
                    <m:sty m:val="p"/>
                  </m:rPr>
                  <m:t>clip</m:t>
                </m:r>
                <m:d>
                  <m:dPr>
                    <m:begChr m:val="("/>
                    <m:endChr m:val=")"/>
                    <m:sepChr m:val=""/>
                    <m:grow/>
                  </m:dPr>
                  <m:e>
                    <m:sSub>
                      <m:e>
                        <m:r>
                          <m:t>s</m:t>
                        </m:r>
                      </m:e>
                      <m:sub>
                        <m:r>
                          <m:t>i</m:t>
                        </m:r>
                      </m:sub>
                    </m:sSub>
                    <m:r>
                      <m:rPr>
                        <m:sty m:val="p"/>
                      </m:rPr>
                      <m:t>,</m:t>
                    </m:r>
                    <m:r>
                      <m:t>1</m:t>
                    </m:r>
                    <m:r>
                      <m:rPr>
                        <m:sty m:val="p"/>
                      </m:rPr>
                      <m:t>−</m:t>
                    </m:r>
                    <m:r>
                      <m:t>ϵ</m:t>
                    </m:r>
                    <m:r>
                      <m:rPr>
                        <m:sty m:val="p"/>
                      </m:rPr>
                      <m:t>,</m:t>
                    </m:r>
                    <m:r>
                      <m:t>1</m:t>
                    </m:r>
                    <m:r>
                      <m:rPr>
                        <m:sty m:val="p"/>
                      </m:rPr>
                      <m:t>+</m:t>
                    </m:r>
                    <m:r>
                      <m:t>ϵ</m:t>
                    </m:r>
                  </m:e>
                </m:d>
                <m:sSub>
                  <m:e>
                    <m:acc>
                      <m:accPr>
                        <m:chr m:val="̂"/>
                      </m:accPr>
                      <m:e>
                        <m:r>
                          <m:t>A</m:t>
                        </m:r>
                      </m:e>
                    </m:acc>
                  </m:e>
                  <m:sub>
                    <m:r>
                      <m:t>i</m:t>
                    </m:r>
                  </m:sub>
                </m:sSub>
              </m:e>
            </m:d>
          </m:e>
        </m:d>
      </m:oMath>
      <w:r>
        <w:t xml:space="preserve">。GSPO是Qwen3模型RL训练的核心算法，在MoE模型上展现出显著优于GRPO的训练稳定性</w:t>
      </w:r>
      <w:r>
        <w:t xml:space="preserve"> </w:t>
      </w:r>
      <w:fldSimple w:instr="NOTEREF _Ref_Footnote_4 \h \f">
        <w:r>
          <w:rPr>
            <w:vertAlign w:val="superscript"/>
          </w:rPr>
          <w:t>4</w:t>
        </w:r>
      </w:fldSimple>
      <w:r>
        <w:t xml:space="preserve">。</w:t>
      </w:r>
    </w:p>
    <w:bookmarkEnd w:id="54"/>
    <w:bookmarkStart w:id="55" w:name="其他变体vaposapom-grpolambda-grpo"/>
    <w:p>
      <w:pPr>
        <w:pStyle w:val="Heading4"/>
      </w:pPr>
      <w:r>
        <w:t xml:space="preserve">2.4.4 其他变体：VAPO、SAPO、M-GRPO、Lambda-GRPO</w:t>
      </w:r>
    </w:p>
    <w:p>
      <w:pPr>
        <w:pStyle w:val="FirstParagraph"/>
      </w:pPr>
      <w:r>
        <w:rPr>
          <w:bCs/>
          <w:b/>
        </w:rPr>
        <w:t xml:space="preserve">VAPO</w:t>
      </w:r>
      <w:r>
        <w:t xml:space="preserve">（Value-based Augmented Proximal Policy Optimization）是唯一回归使用Value model的变体，通过Value Pretraining（用reward model初始化value model）避免了vanilla PPO中value model学习崩塌的问题</w:t>
      </w:r>
      <w:r>
        <w:t xml:space="preserve"> </w:t>
      </w:r>
      <w:fldSimple w:instr="NOTEREF _Ref_Footnote_5 \h \f">
        <w:r>
          <w:rPr>
            <w:vertAlign w:val="superscript"/>
          </w:rPr>
          <w:t>5</w:t>
        </w:r>
      </w:fldSimple>
      <w:r>
        <w:t xml:space="preserve">。VAPO还引入解耦GAE、自适应GAE、正例LM损失和组采样等七项改进，在Qwen-32B上达到AIME 2024的60.4分新SOTA</w:t>
      </w:r>
      <w:r>
        <w:t xml:space="preserve"> </w:t>
      </w:r>
      <w:fldSimple w:instr="NOTEREF _Ref_Footnote_5 \h \f">
        <w:r>
          <w:rPr>
            <w:vertAlign w:val="superscript"/>
          </w:rPr>
          <w:t>5</w:t>
        </w:r>
      </w:fldSimple>
      <w:r>
        <w:t xml:space="preserve">。消融实验显示，仅正例LM损失一项就贡献6分提升，证明在RL训练中维持正样本的likelihood至关重要。</w:t>
      </w:r>
    </w:p>
    <w:p>
      <w:pPr>
        <w:pStyle w:val="BodyText"/>
      </w:pPr>
      <w:r>
        <w:rPr>
          <w:bCs/>
          <w:b/>
        </w:rPr>
        <w:t xml:space="preserve">SAPO</w:t>
      </w:r>
      <w:r>
        <w:t xml:space="preserve">（Soft Adaptive Policy Optimization）用平滑、温度控制的门控函数替代硬裁剪，通过Sigmoid函数实现token级自适应衰减</w:t>
      </w:r>
      <w:r>
        <w:t xml:space="preserve"> </w:t>
      </w:r>
      <w:r>
        <w:rPr>
          <w:vertAlign w:val="superscript"/>
        </w:rPr>
        <w:footnoteReference w:id="20"/>
      </w:r>
      <w:r>
        <w:t xml:space="preserve">。其核心设计哲学是对正优势token允许更大更新幅度，对负优势token施加更严格约束，非对称温度设计进一步区分正负token的处理。</w:t>
      </w:r>
    </w:p>
    <w:p>
      <w:pPr>
        <w:pStyle w:val="BodyText"/>
      </w:pPr>
      <w:r>
        <w:rPr>
          <w:bCs/>
          <w:b/>
        </w:rPr>
        <w:t xml:space="preserve">M-GRPO</w:t>
      </w:r>
      <w:r>
        <w:t xml:space="preserve">使用缓慢演变的momentum模型提供稳定训练目标，结合IQR自适应过滤方法动态剪除低熵轨迹，解决长程训练中的策略崩塌问题</w:t>
      </w:r>
      <w:r>
        <w:t xml:space="preserve"> </w:t>
      </w:r>
      <w:r>
        <w:rPr>
          <w:vertAlign w:val="superscript"/>
        </w:rPr>
        <w:footnoteReference w:id="21"/>
      </w:r>
      <w:r>
        <w:t xml:space="preserve">。</w:t>
      </w:r>
      <w:r>
        <w:rPr>
          <w:bCs/>
          <w:b/>
        </w:rPr>
        <w:t xml:space="preserve">Lambda-GRPO</w:t>
      </w:r>
      <w:r>
        <w:t xml:space="preserve">通过可学习token偏好参数统一GRPO框架，动态调整长度惩罚和偏好权重</w:t>
      </w:r>
      <w:r>
        <w:t xml:space="preserve"> </w:t>
      </w:r>
      <w:fldSimple w:instr="NOTEREF _Ref_Footnote_14 \h \f">
        <w:r>
          <w:rPr>
            <w:vertAlign w:val="superscript"/>
          </w:rPr>
          <w:t>14</w:t>
        </w:r>
      </w:fldSimple>
      <w:r>
        <w:t xml:space="preserve">。</w:t>
      </w:r>
    </w:p>
    <w:p>
      <w:pPr>
        <w:pStyle w:val="BodyText"/>
      </w:pPr>
      <w:r>
        <w:rPr>
          <w:bCs/>
          <w:b/>
        </w:rPr>
        <w:t xml:space="preserve">表2-4 GRPO变体算法系统性对比</w:t>
      </w:r>
    </w:p>
    <w:tbl>
      <w:tblPr>
        <w:tblStyle w:val="Table"/>
        <w:tblW w:type="pct" w:w="5000"/>
        <w:tblLook w:firstRow="1" w:lastRow="0" w:firstColumn="0" w:lastColumn="0" w:noHBand="0" w:noVBand="0" w:val="0020"/>
      </w:tblPr>
      <w:tblGrid>
        <w:gridCol w:w="880"/>
        <w:gridCol w:w="880"/>
        <w:gridCol w:w="1466"/>
        <w:gridCol w:w="2053"/>
        <w:gridCol w:w="880"/>
        <w:gridCol w:w="1760"/>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核心创新</w:t>
            </w:r>
          </w:p>
        </w:tc>
        <w:tc>
          <w:tcPr/>
          <w:p>
            <w:pPr>
              <w:pStyle w:val="Compact"/>
              <w:jc w:val="left"/>
            </w:pPr>
            <w:r>
              <w:t xml:space="preserve">解决的核心问题</w:t>
            </w:r>
          </w:p>
        </w:tc>
        <w:tc>
          <w:tcPr/>
          <w:p>
            <w:pPr>
              <w:pStyle w:val="Compact"/>
              <w:jc w:val="left"/>
            </w:pPr>
            <w:r>
              <w:t xml:space="preserve">局限</w:t>
            </w:r>
          </w:p>
        </w:tc>
        <w:tc>
          <w:tcPr/>
          <w:p>
            <w:pPr>
              <w:pStyle w:val="Compact"/>
              <w:jc w:val="left"/>
            </w:pPr>
            <w:r>
              <w:t xml:space="preserve">典型超参数</w:t>
            </w:r>
          </w:p>
        </w:tc>
      </w:tr>
      <w:tr>
        <w:tc>
          <w:tcPr/>
          <w:p>
            <w:pPr>
              <w:pStyle w:val="Compact"/>
              <w:jc w:val="left"/>
            </w:pPr>
            <w:r>
              <w:t xml:space="preserve">GRPO</w:t>
            </w:r>
            <w:r>
              <w:t xml:space="preserve"> </w:t>
            </w:r>
            <w:fldSimple w:instr="NOTEREF _Ref_Footnote_1 \h \f">
              <w:r>
                <w:rPr>
                  <w:vertAlign w:val="superscript"/>
                </w:rPr>
                <w:t>1</w:t>
              </w:r>
            </w:fldSimple>
          </w:p>
        </w:tc>
        <w:tc>
          <w:tcPr/>
          <w:p>
            <w:pPr>
              <w:pStyle w:val="Compact"/>
              <w:jc w:val="left"/>
            </w:pPr>
            <w:r>
              <w:t xml:space="preserve">2024</w:t>
            </w:r>
          </w:p>
        </w:tc>
        <w:tc>
          <w:tcPr/>
          <w:p>
            <w:pPr>
              <w:pStyle w:val="Compact"/>
              <w:jc w:val="left"/>
            </w:pPr>
            <w:r>
              <w:t xml:space="preserve">组内相对归一化</w:t>
            </w:r>
          </w:p>
        </w:tc>
        <w:tc>
          <w:tcPr/>
          <w:p>
            <w:pPr>
              <w:pStyle w:val="Compact"/>
              <w:jc w:val="left"/>
            </w:pPr>
            <w:r>
              <w:t xml:space="preserve">无需Critic</w:t>
            </w:r>
          </w:p>
        </w:tc>
        <w:tc>
          <w:tcPr/>
          <w:p>
            <w:pPr>
              <w:pStyle w:val="Compact"/>
              <w:jc w:val="left"/>
            </w:pPr>
            <w:r>
              <w:t xml:space="preserve">熵崩塌，零方差，长度偏差</w:t>
            </w:r>
          </w:p>
        </w:tc>
        <w:tc>
          <w:tcPr/>
          <w:p>
            <w:pPr>
              <w:pStyle w:val="Compact"/>
              <w:jc w:val="left"/>
            </w:pPr>
            <m:oMath>
              <m:r>
                <m:t>G</m:t>
              </m:r>
            </m:oMath>
            <w:r>
              <w:t xml:space="preserve">=64，</w:t>
            </w:r>
            <m:oMath>
              <m:r>
                <m:t>β</m:t>
              </m:r>
            </m:oMath>
            <w:r>
              <w:t xml:space="preserve">=0.04，lr=1e-6</w:t>
            </w:r>
          </w:p>
        </w:tc>
      </w:tr>
      <w:tr>
        <w:tc>
          <w:tcPr/>
          <w:p>
            <w:pPr>
              <w:pStyle w:val="Compact"/>
              <w:jc w:val="left"/>
            </w:pPr>
            <w:r>
              <w:t xml:space="preserve">DAPO</w:t>
            </w:r>
            <w:r>
              <w:t xml:space="preserve"> </w:t>
            </w:r>
            <w:fldSimple w:instr="NOTEREF _Ref_Footnote_2 \h \f">
              <w:r>
                <w:rPr>
                  <w:vertAlign w:val="superscript"/>
                </w:rPr>
                <w:t>2</w:t>
              </w:r>
            </w:fldSimple>
          </w:p>
        </w:tc>
        <w:tc>
          <w:tcPr/>
          <w:p>
            <w:pPr>
              <w:pStyle w:val="Compact"/>
              <w:jc w:val="left"/>
            </w:pPr>
            <w:r>
              <w:t xml:space="preserve">2025</w:t>
            </w:r>
          </w:p>
        </w:tc>
        <w:tc>
          <w:tcPr/>
          <w:p>
            <w:pPr>
              <w:pStyle w:val="Compact"/>
              <w:jc w:val="left"/>
            </w:pPr>
            <w:r>
              <w:t xml:space="preserve">动态采样+Clip-Higher+Token级损失+过长惩罚</w:t>
            </w:r>
          </w:p>
        </w:tc>
        <w:tc>
          <w:tcPr/>
          <w:p>
            <w:pPr>
              <w:pStyle w:val="Compact"/>
              <w:jc w:val="left"/>
            </w:pPr>
            <w:r>
              <w:t xml:space="preserve">零方差，熵崩塌，训练效率</w:t>
            </w:r>
          </w:p>
        </w:tc>
        <w:tc>
          <w:tcPr/>
          <w:p>
            <w:pPr>
              <w:pStyle w:val="Compact"/>
              <w:jc w:val="left"/>
            </w:pPr>
            <w:r>
              <w:t xml:space="preserve">实现复杂度中等</w:t>
            </w:r>
          </w:p>
        </w:tc>
        <w:tc>
          <w:tcPr/>
          <w:p>
            <w:pPr>
              <w:pStyle w:val="Compact"/>
              <w:jc w:val="left"/>
            </w:pPr>
            <m:oMath>
              <m:sSub>
                <m:e>
                  <m:r>
                    <m:t>ϵ</m:t>
                  </m:r>
                </m:e>
                <m:sub>
                  <m:r>
                    <m:t>l</m:t>
                  </m:r>
                  <m:r>
                    <m:t>o</m:t>
                  </m:r>
                  <m:r>
                    <m:t>w</m:t>
                  </m:r>
                </m:sub>
              </m:sSub>
            </m:oMath>
            <w:r>
              <w:t xml:space="preserve">=0.20，</w:t>
            </w:r>
            <m:oMath>
              <m:sSub>
                <m:e>
                  <m:r>
                    <m:t>ϵ</m:t>
                  </m:r>
                </m:e>
                <m:sub>
                  <m:r>
                    <m:t>h</m:t>
                  </m:r>
                  <m:r>
                    <m:t>i</m:t>
                  </m:r>
                  <m:r>
                    <m:t>g</m:t>
                  </m:r>
                  <m:r>
                    <m:t>h</m:t>
                  </m:r>
                </m:sub>
              </m:sSub>
            </m:oMath>
            <w:r>
              <w:t xml:space="preserve">=0.28，KL=0</w:t>
            </w:r>
          </w:p>
        </w:tc>
      </w:tr>
      <w:tr>
        <w:tc>
          <w:tcPr/>
          <w:p>
            <w:pPr>
              <w:pStyle w:val="Compact"/>
              <w:jc w:val="left"/>
            </w:pPr>
            <w:r>
              <w:t xml:space="preserve">Dr.GRPO</w:t>
            </w:r>
            <w:r>
              <w:t xml:space="preserve"> </w:t>
            </w:r>
            <w:fldSimple w:instr="NOTEREF _Ref_Footnote_13 \h \f">
              <w:r>
                <w:rPr>
                  <w:vertAlign w:val="superscript"/>
                </w:rPr>
                <w:t>13</w:t>
              </w:r>
            </w:fldSimple>
          </w:p>
        </w:tc>
        <w:tc>
          <w:tcPr/>
          <w:p>
            <w:pPr>
              <w:pStyle w:val="Compact"/>
              <w:jc w:val="left"/>
            </w:pPr>
            <w:r>
              <w:t xml:space="preserve">2025</w:t>
            </w:r>
          </w:p>
        </w:tc>
        <w:tc>
          <w:tcPr/>
          <w:p>
            <w:pPr>
              <w:pStyle w:val="Compact"/>
              <w:jc w:val="left"/>
            </w:pPr>
            <w:r>
              <w:t xml:space="preserve">移除长度/std归一化</w:t>
            </w:r>
          </w:p>
        </w:tc>
        <w:tc>
          <w:tcPr/>
          <w:p>
            <w:pPr>
              <w:pStyle w:val="Compact"/>
              <w:jc w:val="left"/>
            </w:pPr>
            <w:r>
              <w:t xml:space="preserve">长度偏差，难度偏差</w:t>
            </w:r>
          </w:p>
        </w:tc>
        <w:tc>
          <w:tcPr/>
          <w:p>
            <w:pPr>
              <w:pStyle w:val="Compact"/>
              <w:jc w:val="left"/>
            </w:pPr>
            <w:r>
              <w:t xml:space="preserve">标准差信息丢失</w:t>
            </w:r>
          </w:p>
        </w:tc>
        <w:tc>
          <w:tcPr/>
          <w:p>
            <w:pPr>
              <w:pStyle w:val="Compact"/>
              <w:jc w:val="left"/>
            </w:pPr>
            <m:oMath>
              <m:r>
                <m:t>G</m:t>
              </m:r>
            </m:oMath>
            <w:r>
              <w:t xml:space="preserve">=8-16，lr=1e-6</w:t>
            </w:r>
          </w:p>
        </w:tc>
      </w:tr>
      <w:tr>
        <w:tc>
          <w:tcPr/>
          <w:p>
            <w:pPr>
              <w:pStyle w:val="Compact"/>
              <w:jc w:val="left"/>
            </w:pPr>
            <w:r>
              <w:t xml:space="preserve">GMPO</w:t>
            </w:r>
            <w:r>
              <w:t xml:space="preserve"> </w:t>
            </w:r>
            <w:fldSimple w:instr="NOTEREF _Ref_Footnote_3 \h \f">
              <w:r>
                <w:rPr>
                  <w:vertAlign w:val="superscript"/>
                </w:rPr>
                <w:t>3</w:t>
              </w:r>
            </w:fldSimple>
          </w:p>
        </w:tc>
        <w:tc>
          <w:tcPr/>
          <w:p>
            <w:pPr>
              <w:pStyle w:val="Compact"/>
              <w:jc w:val="left"/>
            </w:pPr>
            <w:r>
              <w:t xml:space="preserve">2025</w:t>
            </w:r>
          </w:p>
        </w:tc>
        <w:tc>
          <w:tcPr/>
          <w:p>
            <w:pPr>
              <w:pStyle w:val="Compact"/>
              <w:jc w:val="left"/>
            </w:pPr>
            <w:r>
              <w:t xml:space="preserve">几何平均替代算术平均</w:t>
            </w:r>
          </w:p>
        </w:tc>
        <w:tc>
          <w:tcPr/>
          <w:p>
            <w:pPr>
              <w:pStyle w:val="Compact"/>
              <w:jc w:val="left"/>
            </w:pPr>
            <w:r>
              <w:t xml:space="preserve">离群值敏感</w:t>
            </w:r>
          </w:p>
        </w:tc>
        <w:tc>
          <w:tcPr/>
          <w:p>
            <w:pPr>
              <w:pStyle w:val="Compact"/>
              <w:jc w:val="left"/>
            </w:pPr>
            <w:r>
              <w:t xml:space="preserve">实现需特殊处理</w:t>
            </w:r>
          </w:p>
        </w:tc>
        <w:tc>
          <w:tcPr/>
          <w:p>
            <w:pPr>
              <w:pStyle w:val="Compact"/>
              <w:jc w:val="left"/>
            </w:pPr>
            <m:oMath>
              <m:r>
                <m:t>G</m:t>
              </m:r>
            </m:oMath>
            <w:r>
              <w:t xml:space="preserve">=8-16，lr=1e-6</w:t>
            </w:r>
          </w:p>
        </w:tc>
      </w:tr>
      <w:tr>
        <w:tc>
          <w:tcPr/>
          <w:p>
            <w:pPr>
              <w:pStyle w:val="Compact"/>
              <w:jc w:val="left"/>
            </w:pPr>
            <w:r>
              <w:t xml:space="preserve">GSPO</w:t>
            </w:r>
            <w:r>
              <w:t xml:space="preserve"> </w:t>
            </w:r>
            <w:fldSimple w:instr="NOTEREF _Ref_Footnote_4 \h \f">
              <w:r>
                <w:rPr>
                  <w:vertAlign w:val="superscript"/>
                </w:rPr>
                <w:t>4</w:t>
              </w:r>
            </w:fldSimple>
          </w:p>
        </w:tc>
        <w:tc>
          <w:tcPr/>
          <w:p>
            <w:pPr>
              <w:pStyle w:val="Compact"/>
              <w:jc w:val="left"/>
            </w:pPr>
            <w:r>
              <w:t xml:space="preserve">2025</w:t>
            </w:r>
          </w:p>
        </w:tc>
        <w:tc>
          <w:tcPr/>
          <w:p>
            <w:pPr>
              <w:pStyle w:val="Compact"/>
              <w:jc w:val="left"/>
            </w:pPr>
            <w:r>
              <w:t xml:space="preserve">序列级重要性比率与裁剪</w:t>
            </w:r>
          </w:p>
        </w:tc>
        <w:tc>
          <w:tcPr/>
          <w:p>
            <w:pPr>
              <w:pStyle w:val="Compact"/>
              <w:jc w:val="left"/>
            </w:pPr>
            <w:r>
              <w:t xml:space="preserve">MoE兼容，熵稳定</w:t>
            </w:r>
          </w:p>
        </w:tc>
        <w:tc>
          <w:tcPr/>
          <w:p>
            <w:pPr>
              <w:pStyle w:val="Compact"/>
              <w:jc w:val="left"/>
            </w:pPr>
            <w:r>
              <w:t xml:space="preserve">信息粒度较粗</w:t>
            </w:r>
          </w:p>
        </w:tc>
        <w:tc>
          <w:tcPr/>
          <w:p>
            <w:pPr>
              <w:pStyle w:val="Compact"/>
              <w:jc w:val="left"/>
            </w:pPr>
            <m:oMath>
              <m:r>
                <m:t>G</m:t>
              </m:r>
            </m:oMath>
            <w:r>
              <w:t xml:space="preserve">=8-16，lr=1e-6</w:t>
            </w:r>
          </w:p>
        </w:tc>
      </w:tr>
      <w:tr>
        <w:tc>
          <w:tcPr/>
          <w:p>
            <w:pPr>
              <w:pStyle w:val="Compact"/>
              <w:jc w:val="left"/>
            </w:pPr>
            <w:r>
              <w:t xml:space="preserve">VAPO</w:t>
            </w:r>
            <w:r>
              <w:t xml:space="preserve"> </w:t>
            </w:r>
            <w:fldSimple w:instr="NOTEREF _Ref_Footnote_5 \h \f">
              <w:r>
                <w:rPr>
                  <w:vertAlign w:val="superscript"/>
                </w:rPr>
                <w:t>5</w:t>
              </w:r>
            </w:fldSimple>
          </w:p>
        </w:tc>
        <w:tc>
          <w:tcPr/>
          <w:p>
            <w:pPr>
              <w:pStyle w:val="Compact"/>
              <w:jc w:val="left"/>
            </w:pPr>
            <w:r>
              <w:t xml:space="preserve">2025</w:t>
            </w:r>
          </w:p>
        </w:tc>
        <w:tc>
          <w:tcPr/>
          <w:p>
            <w:pPr>
              <w:pStyle w:val="Compact"/>
              <w:jc w:val="left"/>
            </w:pPr>
            <w:r>
              <w:t xml:space="preserve">Value预训练+7项改进</w:t>
            </w:r>
          </w:p>
        </w:tc>
        <w:tc>
          <w:tcPr/>
          <w:p>
            <w:pPr>
              <w:pStyle w:val="Compact"/>
              <w:jc w:val="left"/>
            </w:pPr>
            <w:r>
              <w:t xml:space="preserve">Value崩塌，长CoT</w:t>
            </w:r>
          </w:p>
        </w:tc>
        <w:tc>
          <w:tcPr/>
          <w:p>
            <w:pPr>
              <w:pStyle w:val="Compact"/>
              <w:jc w:val="left"/>
            </w:pPr>
            <w:r>
              <w:t xml:space="preserve">需维护Critic，复杂度高</w:t>
            </w:r>
          </w:p>
        </w:tc>
        <w:tc>
          <w:tcPr/>
          <w:p>
            <w:pPr>
              <w:pStyle w:val="Compact"/>
              <w:jc w:val="left"/>
            </w:pPr>
            <w:r>
              <w:t xml:space="preserve">Actor lr=1e-6，Critic lr=2e-6</w:t>
            </w:r>
          </w:p>
        </w:tc>
      </w:tr>
      <w:tr>
        <w:tc>
          <w:tcPr/>
          <w:p>
            <w:pPr>
              <w:pStyle w:val="Compact"/>
              <w:jc w:val="left"/>
            </w:pPr>
            <w:r>
              <w:t xml:space="preserve">SAPO</w:t>
            </w:r>
            <w:r>
              <w:t xml:space="preserve"> </w:t>
            </w:r>
            <w:fldSimple w:instr="NOTEREF _Ref_Footnote_20 \h \f">
              <w:r>
                <w:rPr>
                  <w:vertAlign w:val="superscript"/>
                </w:rPr>
                <w:t>20</w:t>
              </w:r>
            </w:fldSimple>
          </w:p>
        </w:tc>
        <w:tc>
          <w:tcPr/>
          <w:p>
            <w:pPr>
              <w:pStyle w:val="Compact"/>
              <w:jc w:val="left"/>
            </w:pPr>
            <w:r>
              <w:t xml:space="preserve">2025</w:t>
            </w:r>
          </w:p>
        </w:tc>
        <w:tc>
          <w:tcPr/>
          <w:p>
            <w:pPr>
              <w:pStyle w:val="Compact"/>
              <w:jc w:val="left"/>
            </w:pPr>
            <w:r>
              <w:t xml:space="preserve">软门控替代硬裁剪</w:t>
            </w:r>
          </w:p>
        </w:tc>
        <w:tc>
          <w:tcPr/>
          <w:p>
            <w:pPr>
              <w:pStyle w:val="Compact"/>
              <w:jc w:val="left"/>
            </w:pPr>
            <w:r>
              <w:t xml:space="preserve">硬裁剪信号丢失</w:t>
            </w:r>
          </w:p>
        </w:tc>
        <w:tc>
          <w:tcPr/>
          <w:p>
            <w:pPr>
              <w:pStyle w:val="Compact"/>
              <w:jc w:val="left"/>
            </w:pPr>
            <w:r>
              <w:t xml:space="preserve">温度参数需调</w:t>
            </w:r>
          </w:p>
        </w:tc>
        <w:tc>
          <w:tcPr/>
          <w:p>
            <w:pPr>
              <w:pStyle w:val="Compact"/>
              <w:jc w:val="left"/>
            </w:pPr>
            <m:oMath>
              <m:sSub>
                <m:e>
                  <m:r>
                    <m:t>τ</m:t>
                  </m:r>
                </m:e>
                <m:sub>
                  <m:r>
                    <m:t>p</m:t>
                  </m:r>
                  <m:r>
                    <m:t>o</m:t>
                  </m:r>
                  <m:r>
                    <m:t>s</m:t>
                  </m:r>
                </m:sub>
              </m:sSub>
            </m:oMath>
            <w:r>
              <w:t xml:space="preserve">/</w:t>
            </w:r>
            <m:oMath>
              <m:sSub>
                <m:e>
                  <m:r>
                    <m:t>τ</m:t>
                  </m:r>
                </m:e>
                <m:sub>
                  <m:r>
                    <m:t>n</m:t>
                  </m:r>
                  <m:r>
                    <m:t>e</m:t>
                  </m:r>
                  <m:r>
                    <m:t>g</m:t>
                  </m:r>
                </m:sub>
              </m:sSub>
            </m:oMath>
            <w:r>
              <w:t xml:space="preserve">非对称</w:t>
            </w:r>
          </w:p>
        </w:tc>
      </w:tr>
      <w:tr>
        <w:tc>
          <w:tcPr/>
          <w:p>
            <w:pPr>
              <w:pStyle w:val="Compact"/>
              <w:jc w:val="left"/>
            </w:pPr>
            <w:r>
              <w:t xml:space="preserve">M-GRPO</w:t>
            </w:r>
            <w:r>
              <w:t xml:space="preserve"> </w:t>
            </w:r>
            <w:fldSimple w:instr="NOTEREF _Ref_Footnote_21 \h \f">
              <w:r>
                <w:rPr>
                  <w:vertAlign w:val="superscript"/>
                </w:rPr>
                <w:t>21</w:t>
              </w:r>
            </w:fldSimple>
          </w:p>
        </w:tc>
        <w:tc>
          <w:tcPr/>
          <w:p>
            <w:pPr>
              <w:pStyle w:val="Compact"/>
              <w:jc w:val="left"/>
            </w:pPr>
            <w:r>
              <w:t xml:space="preserve">2025</w:t>
            </w:r>
          </w:p>
        </w:tc>
        <w:tc>
          <w:tcPr/>
          <w:p>
            <w:pPr>
              <w:pStyle w:val="Compact"/>
              <w:jc w:val="left"/>
            </w:pPr>
            <w:r>
              <w:t xml:space="preserve">Momentum锚定+IQR过滤</w:t>
            </w:r>
          </w:p>
        </w:tc>
        <w:tc>
          <w:tcPr/>
          <w:p>
            <w:pPr>
              <w:pStyle w:val="Compact"/>
              <w:jc w:val="left"/>
            </w:pPr>
            <w:r>
              <w:t xml:space="preserve">长程策略崩塌</w:t>
            </w:r>
          </w:p>
        </w:tc>
        <w:tc>
          <w:tcPr/>
          <w:p>
            <w:pPr>
              <w:pStyle w:val="Compact"/>
              <w:jc w:val="left"/>
            </w:pPr>
            <w:r>
              <w:t xml:space="preserve">Momentum更新频率</w:t>
            </w:r>
          </w:p>
        </w:tc>
        <w:tc>
          <w:tcPr/>
          <w:p>
            <w:pPr>
              <w:pStyle w:val="Compact"/>
              <w:jc w:val="left"/>
            </w:pPr>
            <w:r>
              <w:t xml:space="preserve">Momentum decay=0.99</w:t>
            </w:r>
          </w:p>
        </w:tc>
      </w:tr>
      <w:tr>
        <w:tc>
          <w:tcPr/>
          <w:p>
            <w:pPr>
              <w:pStyle w:val="Compact"/>
              <w:jc w:val="left"/>
            </w:pPr>
            <w:r>
              <w:t xml:space="preserve">Lambda-GRPO</w:t>
            </w:r>
            <w:r>
              <w:t xml:space="preserve"> </w:t>
            </w:r>
            <w:fldSimple w:instr="NOTEREF _Ref_Footnote_14 \h \f">
              <w:r>
                <w:rPr>
                  <w:vertAlign w:val="superscript"/>
                </w:rPr>
                <w:t>14</w:t>
              </w:r>
            </w:fldSimple>
          </w:p>
        </w:tc>
        <w:tc>
          <w:tcPr/>
          <w:p>
            <w:pPr>
              <w:pStyle w:val="Compact"/>
              <w:jc w:val="left"/>
            </w:pPr>
            <w:r>
              <w:t xml:space="preserve">2025</w:t>
            </w:r>
          </w:p>
        </w:tc>
        <w:tc>
          <w:tcPr/>
          <w:p>
            <w:pPr>
              <w:pStyle w:val="Compact"/>
              <w:jc w:val="left"/>
            </w:pPr>
            <w:r>
              <w:t xml:space="preserve">可学习token偏好参数</w:t>
            </w:r>
          </w:p>
        </w:tc>
        <w:tc>
          <w:tcPr/>
          <w:p>
            <w:pPr>
              <w:pStyle w:val="Compact"/>
              <w:jc w:val="left"/>
            </w:pPr>
            <w:r>
              <w:t xml:space="preserve">统一框架</w:t>
            </w:r>
          </w:p>
        </w:tc>
        <w:tc>
          <w:tcPr/>
          <w:p>
            <w:pPr>
              <w:pStyle w:val="Compact"/>
              <w:jc w:val="left"/>
            </w:pPr>
            <w:r>
              <w:t xml:space="preserve">额外参数量</w:t>
            </w:r>
          </w:p>
        </w:tc>
        <w:tc>
          <w:tcPr/>
          <w:p>
            <w:pPr>
              <w:pStyle w:val="Compact"/>
              <w:jc w:val="left"/>
            </w:pPr>
            <w:r>
              <w:t xml:space="preserve">可学习</w:t>
            </w:r>
            <m:oMath>
              <m:r>
                <m:t>λ</m:t>
              </m:r>
            </m:oMath>
            <w:r>
              <w:t xml:space="preserve">参数</w:t>
            </w:r>
          </w:p>
        </w:tc>
      </w:tr>
    </w:tbl>
    <w:bookmarkEnd w:id="55"/>
    <w:bookmarkEnd w:id="56"/>
    <w:bookmarkStart w:id="59" w:name="方法选择决策框架"/>
    <w:p>
      <w:pPr>
        <w:pStyle w:val="Heading3"/>
      </w:pPr>
      <w:r>
        <w:t xml:space="preserve">2.5 方法选择决策框架</w:t>
      </w:r>
    </w:p>
    <w:bookmarkStart w:id="57" w:name="场景-方法匹配"/>
    <w:p>
      <w:pPr>
        <w:pStyle w:val="Heading4"/>
      </w:pPr>
      <w:r>
        <w:t xml:space="preserve">2.5.1 场景-方法匹配</w:t>
      </w:r>
    </w:p>
    <w:p>
      <w:pPr>
        <w:pStyle w:val="FirstParagraph"/>
      </w:pPr>
      <w:r>
        <w:t xml:space="preserve">基于上述分析，以下决策框架帮助研究者根据任务特性选择最合适的算法：</w:t>
      </w:r>
    </w:p>
    <w:p>
      <w:pPr>
        <w:pStyle w:val="BodyText"/>
      </w:pPr>
      <w:r>
        <w:rPr>
          <w:bCs/>
          <w:b/>
        </w:rPr>
        <w:t xml:space="preserve">表2-5 场景-方法匹配决策表</w:t>
      </w:r>
    </w:p>
    <w:tbl>
      <w:tblPr>
        <w:tblStyle w:val="Table"/>
        <w:tblW w:type="pct" w:w="5000"/>
        <w:tblLook w:firstRow="1" w:lastRow="0" w:firstColumn="0" w:lastColumn="0" w:noHBand="0" w:noVBand="0" w:val="0020"/>
      </w:tblPr>
      <w:tblGrid>
        <w:gridCol w:w="1523"/>
        <w:gridCol w:w="1523"/>
        <w:gridCol w:w="1523"/>
        <w:gridCol w:w="1827"/>
        <w:gridCol w:w="1523"/>
      </w:tblGrid>
      <w:tr>
        <w:trPr>
          <w:tblHeader w:val="true"/>
        </w:trPr>
        <w:tc>
          <w:tcPr/>
          <w:p>
            <w:pPr>
              <w:pStyle w:val="Compact"/>
              <w:jc w:val="left"/>
            </w:pPr>
            <w:r>
              <w:t xml:space="preserve">应用场景</w:t>
            </w:r>
          </w:p>
        </w:tc>
        <w:tc>
          <w:tcPr/>
          <w:p>
            <w:pPr>
              <w:pStyle w:val="Compact"/>
              <w:jc w:val="left"/>
            </w:pPr>
            <w:r>
              <w:t xml:space="preserve">推荐方法</w:t>
            </w:r>
          </w:p>
        </w:tc>
        <w:tc>
          <w:tcPr/>
          <w:p>
            <w:pPr>
              <w:pStyle w:val="Compact"/>
              <w:jc w:val="left"/>
            </w:pPr>
            <w:r>
              <w:t xml:space="preserve">备选方法</w:t>
            </w:r>
          </w:p>
        </w:tc>
        <w:tc>
          <w:tcPr/>
          <w:p>
            <w:pPr>
              <w:pStyle w:val="Compact"/>
              <w:jc w:val="left"/>
            </w:pPr>
            <w:r>
              <w:t xml:space="preserve">不推荐方法</w:t>
            </w:r>
          </w:p>
        </w:tc>
        <w:tc>
          <w:tcPr/>
          <w:p>
            <w:pPr>
              <w:pStyle w:val="Compact"/>
              <w:jc w:val="left"/>
            </w:pPr>
            <w:r>
              <w:t xml:space="preserve">关键考量</w:t>
            </w:r>
          </w:p>
        </w:tc>
      </w:tr>
      <w:tr>
        <w:tc>
          <w:tcPr/>
          <w:p>
            <w:pPr>
              <w:pStyle w:val="Compact"/>
              <w:jc w:val="left"/>
            </w:pPr>
            <w:r>
              <w:t xml:space="preserve">通用偏好对齐（对话/指令跟随）</w:t>
            </w:r>
          </w:p>
        </w:tc>
        <w:tc>
          <w:tcPr/>
          <w:p>
            <w:pPr>
              <w:pStyle w:val="Compact"/>
              <w:jc w:val="left"/>
            </w:pPr>
            <w:r>
              <w:t xml:space="preserve">SimPO</w:t>
            </w:r>
            <w:r>
              <w:t xml:space="preserve"> </w:t>
            </w:r>
            <w:fldSimple w:instr="NOTEREF _Ref_Footnote_8 \h \f">
              <w:r>
                <w:rPr>
                  <w:vertAlign w:val="superscript"/>
                </w:rPr>
                <w:t>8</w:t>
              </w:r>
            </w:fldSimple>
          </w:p>
        </w:tc>
        <w:tc>
          <w:tcPr/>
          <w:p>
            <w:pPr>
              <w:pStyle w:val="Compact"/>
              <w:jc w:val="left"/>
            </w:pPr>
            <w:r>
              <w:t xml:space="preserve">DPO</w:t>
            </w:r>
            <w:r>
              <w:t xml:space="preserve"> </w:t>
            </w:r>
            <w:fldSimple w:instr="NOTEREF _Ref_Footnote_18 \h \f">
              <w:r>
                <w:rPr>
                  <w:vertAlign w:val="superscript"/>
                </w:rPr>
                <w:t>18</w:t>
              </w:r>
            </w:fldSimple>
            <w:r>
              <w:t xml:space="preserve">, KTO</w:t>
            </w:r>
            <w:r>
              <w:t xml:space="preserve"> </w:t>
            </w:r>
            <w:fldSimple w:instr="NOTEREF _Ref_Footnote_9 \h \f">
              <w:r>
                <w:rPr>
                  <w:vertAlign w:val="superscript"/>
                </w:rPr>
                <w:t>9</w:t>
              </w:r>
            </w:fldSimple>
          </w:p>
        </w:tc>
        <w:tc>
          <w:tcPr/>
          <w:p>
            <w:pPr>
              <w:pStyle w:val="Compact"/>
              <w:jc w:val="left"/>
            </w:pPr>
            <w:r>
              <w:t xml:space="preserve">GRPO</w:t>
            </w:r>
          </w:p>
        </w:tc>
        <w:tc>
          <w:tcPr/>
          <w:p>
            <w:pPr>
              <w:pStyle w:val="Compact"/>
              <w:jc w:val="left"/>
            </w:pPr>
            <w:r>
              <w:t xml:space="preserve">SimPO无参考模型且与生成目标对齐</w:t>
            </w:r>
          </w:p>
        </w:tc>
      </w:tr>
      <w:tr>
        <w:tc>
          <w:tcPr/>
          <w:p>
            <w:pPr>
              <w:pStyle w:val="Compact"/>
              <w:jc w:val="left"/>
            </w:pPr>
            <w:r>
              <w:t xml:space="preserve">数学/科学推理训练</w:t>
            </w:r>
          </w:p>
        </w:tc>
        <w:tc>
          <w:tcPr/>
          <w:p>
            <w:pPr>
              <w:pStyle w:val="Compact"/>
              <w:jc w:val="left"/>
            </w:pPr>
            <w:r>
              <w:t xml:space="preserve">DAPO</w:t>
            </w:r>
            <w:r>
              <w:t xml:space="preserve"> </w:t>
            </w:r>
            <w:fldSimple w:instr="NOTEREF _Ref_Footnote_2 \h \f">
              <w:r>
                <w:rPr>
                  <w:vertAlign w:val="superscript"/>
                </w:rPr>
                <w:t>2</w:t>
              </w:r>
            </w:fldSimple>
          </w:p>
        </w:tc>
        <w:tc>
          <w:tcPr/>
          <w:p>
            <w:pPr>
              <w:pStyle w:val="Compact"/>
              <w:jc w:val="left"/>
            </w:pPr>
            <w:r>
              <w:t xml:space="preserve">GRPO</w:t>
            </w:r>
            <w:r>
              <w:t xml:space="preserve"> </w:t>
            </w:r>
            <w:fldSimple w:instr="NOTEREF _Ref_Footnote_1 \h \f">
              <w:r>
                <w:rPr>
                  <w:vertAlign w:val="superscript"/>
                </w:rPr>
                <w:t>1</w:t>
              </w:r>
            </w:fldSimple>
            <w:r>
              <w:t xml:space="preserve">, Dr.GRPO</w:t>
            </w:r>
            <w:r>
              <w:t xml:space="preserve"> </w:t>
            </w:r>
            <w:fldSimple w:instr="NOTEREF _Ref_Footnote_13 \h \f">
              <w:r>
                <w:rPr>
                  <w:vertAlign w:val="superscript"/>
                </w:rPr>
                <w:t>13</w:t>
              </w:r>
            </w:fldSimple>
          </w:p>
        </w:tc>
        <w:tc>
          <w:tcPr/>
          <w:p>
            <w:pPr>
              <w:pStyle w:val="Compact"/>
              <w:jc w:val="left"/>
            </w:pPr>
            <w:r>
              <w:t xml:space="preserve">PPO</w:t>
            </w:r>
          </w:p>
        </w:tc>
        <w:tc>
          <w:tcPr/>
          <w:p>
            <w:pPr>
              <w:pStyle w:val="Compact"/>
              <w:jc w:val="left"/>
            </w:pPr>
            <w:r>
              <w:t xml:space="preserve">需可验证奖励信号；DAPO效率最高</w:t>
            </w:r>
          </w:p>
        </w:tc>
      </w:tr>
      <w:tr>
        <w:tc>
          <w:tcPr/>
          <w:p>
            <w:pPr>
              <w:pStyle w:val="Compact"/>
              <w:jc w:val="left"/>
            </w:pPr>
            <w:r>
              <w:t xml:space="preserve">代码生成与验证</w:t>
            </w:r>
          </w:p>
        </w:tc>
        <w:tc>
          <w:tcPr/>
          <w:p>
            <w:pPr>
              <w:pStyle w:val="Compact"/>
              <w:jc w:val="left"/>
            </w:pPr>
            <w:r>
              <w:t xml:space="preserve">GRPO/DAPO</w:t>
            </w:r>
          </w:p>
        </w:tc>
        <w:tc>
          <w:tcPr/>
          <w:p>
            <w:pPr>
              <w:pStyle w:val="Compact"/>
              <w:jc w:val="left"/>
            </w:pPr>
            <w:r>
              <w:t xml:space="preserve">PPO</w:t>
            </w:r>
            <w:r>
              <w:t xml:space="preserve"> </w:t>
            </w:r>
            <w:fldSimple w:instr="NOTEREF _Ref_Footnote_11 \h \f">
              <w:r>
                <w:rPr>
                  <w:vertAlign w:val="superscript"/>
                </w:rPr>
                <w:t>11</w:t>
              </w:r>
            </w:fldSimple>
          </w:p>
        </w:tc>
        <w:tc>
          <w:tcPr/>
          <w:p>
            <w:pPr>
              <w:pStyle w:val="Compact"/>
              <w:jc w:val="left"/>
            </w:pPr>
            <w:r>
              <w:t xml:space="preserve">DPO/SimPO</w:t>
            </w:r>
          </w:p>
        </w:tc>
        <w:tc>
          <w:tcPr/>
          <w:p>
            <w:pPr>
              <w:pStyle w:val="Compact"/>
              <w:jc w:val="left"/>
            </w:pPr>
            <w:r>
              <w:t xml:space="preserve">PPO在复杂代码探索上仍有优势</w:t>
            </w:r>
          </w:p>
        </w:tc>
      </w:tr>
      <w:tr>
        <w:tc>
          <w:tcPr/>
          <w:p>
            <w:pPr>
              <w:pStyle w:val="Compact"/>
              <w:jc w:val="left"/>
            </w:pPr>
            <w:r>
              <w:t xml:space="preserve">多目标对齐（安全+有用）</w:t>
            </w:r>
          </w:p>
        </w:tc>
        <w:tc>
          <w:tcPr/>
          <w:p>
            <w:pPr>
              <w:pStyle w:val="Compact"/>
              <w:jc w:val="left"/>
            </w:pPr>
            <w:r>
              <w:t xml:space="preserve">MODPO</w:t>
            </w:r>
            <w:r>
              <w:t xml:space="preserve"> </w:t>
            </w:r>
            <w:r>
              <w:rPr>
                <w:vertAlign w:val="superscript"/>
              </w:rPr>
              <w:footnoteReference w:id="22"/>
            </w:r>
          </w:p>
        </w:tc>
        <w:tc>
          <w:tcPr/>
          <w:p>
            <w:pPr>
              <w:pStyle w:val="Compact"/>
              <w:jc w:val="left"/>
            </w:pPr>
            <w:r>
              <w:t xml:space="preserve">MO-ODPO</w:t>
            </w:r>
            <w:r>
              <w:t xml:space="preserve"> </w:t>
            </w:r>
            <w:r>
              <w:rPr>
                <w:vertAlign w:val="superscript"/>
              </w:rPr>
              <w:footnoteReference w:id="23"/>
            </w:r>
          </w:p>
        </w:tc>
        <w:tc>
          <w:tcPr/>
          <w:p>
            <w:pPr>
              <w:pStyle w:val="Compact"/>
              <w:jc w:val="left"/>
            </w:pPr>
            <w:r>
              <w:t xml:space="preserve">单一目标方法</w:t>
            </w:r>
          </w:p>
        </w:tc>
        <w:tc>
          <w:tcPr/>
          <w:p>
            <w:pPr>
              <w:pStyle w:val="Compact"/>
              <w:jc w:val="left"/>
            </w:pPr>
            <w:r>
              <w:t xml:space="preserve">需Pareto最优trade-off</w:t>
            </w:r>
          </w:p>
        </w:tc>
      </w:tr>
      <w:tr>
        <w:tc>
          <w:tcPr/>
          <w:p>
            <w:pPr>
              <w:pStyle w:val="Compact"/>
              <w:jc w:val="left"/>
            </w:pPr>
            <w:r>
              <w:t xml:space="preserve">数据极度受限（仅二元标签）</w:t>
            </w:r>
          </w:p>
        </w:tc>
        <w:tc>
          <w:tcPr/>
          <w:p>
            <w:pPr>
              <w:pStyle w:val="Compact"/>
              <w:jc w:val="left"/>
            </w:pPr>
            <w:r>
              <w:t xml:space="preserve">KTO</w:t>
            </w:r>
            <w:r>
              <w:t xml:space="preserve"> </w:t>
            </w:r>
            <w:fldSimple w:instr="NOTEREF _Ref_Footnote_9 \h \f">
              <w:r>
                <w:rPr>
                  <w:vertAlign w:val="superscript"/>
                </w:rPr>
                <w:t>9</w:t>
              </w:r>
            </w:fldSimple>
          </w:p>
        </w:tc>
        <w:tc>
          <w:tcPr/>
          <w:p>
            <w:pPr>
              <w:pStyle w:val="Compact"/>
              <w:jc w:val="left"/>
            </w:pPr>
            <w:r>
              <w:t xml:space="preserve">-</w:t>
            </w:r>
          </w:p>
        </w:tc>
        <w:tc>
          <w:tcPr/>
          <w:p>
            <w:pPr>
              <w:pStyle w:val="Compact"/>
              <w:jc w:val="left"/>
            </w:pPr>
            <w:r>
              <w:t xml:space="preserve">DPO/SimPO</w:t>
            </w:r>
          </w:p>
        </w:tc>
        <w:tc>
          <w:tcPr/>
          <w:p>
            <w:pPr>
              <w:pStyle w:val="Compact"/>
              <w:jc w:val="left"/>
            </w:pPr>
            <w:r>
              <w:t xml:space="preserve">KTO仅需二元信号</w:t>
            </w:r>
          </w:p>
        </w:tc>
      </w:tr>
      <w:tr>
        <w:tc>
          <w:tcPr/>
          <w:p>
            <w:pPr>
              <w:pStyle w:val="Compact"/>
              <w:jc w:val="left"/>
            </w:pPr>
            <w:r>
              <w:t xml:space="preserve">长链推理（30K+ tokens）</w:t>
            </w:r>
          </w:p>
        </w:tc>
        <w:tc>
          <w:tcPr/>
          <w:p>
            <w:pPr>
              <w:pStyle w:val="Compact"/>
              <w:jc w:val="left"/>
            </w:pPr>
            <w:r>
              <w:t xml:space="preserve">VAPO</w:t>
            </w:r>
            <w:r>
              <w:t xml:space="preserve"> </w:t>
            </w:r>
            <w:fldSimple w:instr="NOTEREF _Ref_Footnote_5 \h \f">
              <w:r>
                <w:rPr>
                  <w:vertAlign w:val="superscript"/>
                </w:rPr>
                <w:t>5</w:t>
              </w:r>
            </w:fldSimple>
          </w:p>
        </w:tc>
        <w:tc>
          <w:tcPr/>
          <w:p>
            <w:pPr>
              <w:pStyle w:val="Compact"/>
              <w:jc w:val="left"/>
            </w:pPr>
            <w:r>
              <w:t xml:space="preserve">DAPO</w:t>
            </w:r>
            <w:r>
              <w:t xml:space="preserve"> </w:t>
            </w:r>
            <w:fldSimple w:instr="NOTEREF _Ref_Footnote_2 \h \f">
              <w:r>
                <w:rPr>
                  <w:vertAlign w:val="superscript"/>
                </w:rPr>
                <w:t>2</w:t>
              </w:r>
            </w:fldSimple>
          </w:p>
        </w:tc>
        <w:tc>
          <w:tcPr/>
          <w:p>
            <w:pPr>
              <w:pStyle w:val="Compact"/>
              <w:jc w:val="left"/>
            </w:pPr>
            <w:r>
              <w:t xml:space="preserve">标准GRPO</w:t>
            </w:r>
          </w:p>
        </w:tc>
        <w:tc>
          <w:tcPr/>
          <w:p>
            <w:pPr>
              <w:pStyle w:val="Compact"/>
              <w:jc w:val="left"/>
            </w:pPr>
            <w:r>
              <w:t xml:space="preserve">VAPO的Value model对长CoT有帮助</w:t>
            </w:r>
          </w:p>
        </w:tc>
      </w:tr>
      <w:tr>
        <w:tc>
          <w:tcPr/>
          <w:p>
            <w:pPr>
              <w:pStyle w:val="Compact"/>
              <w:jc w:val="left"/>
            </w:pPr>
            <w:r>
              <w:t xml:space="preserve">MoE模型训练</w:t>
            </w:r>
          </w:p>
        </w:tc>
        <w:tc>
          <w:tcPr/>
          <w:p>
            <w:pPr>
              <w:pStyle w:val="Compact"/>
              <w:jc w:val="left"/>
            </w:pPr>
            <w:r>
              <w:t xml:space="preserve">GSPO</w:t>
            </w:r>
            <w:r>
              <w:t xml:space="preserve"> </w:t>
            </w:r>
            <w:fldSimple w:instr="NOTEREF _Ref_Footnote_4 \h \f">
              <w:r>
                <w:rPr>
                  <w:vertAlign w:val="superscript"/>
                </w:rPr>
                <w:t>4</w:t>
              </w:r>
            </w:fldSimple>
          </w:p>
        </w:tc>
        <w:tc>
          <w:tcPr/>
          <w:p>
            <w:pPr>
              <w:pStyle w:val="Compact"/>
              <w:jc w:val="left"/>
            </w:pPr>
            <w:r>
              <w:t xml:space="preserve">SAPO</w:t>
            </w:r>
            <w:r>
              <w:t xml:space="preserve"> </w:t>
            </w:r>
            <w:fldSimple w:instr="NOTEREF _Ref_Footnote_20 \h \f">
              <w:r>
                <w:rPr>
                  <w:vertAlign w:val="superscript"/>
                </w:rPr>
                <w:t>20</w:t>
              </w:r>
            </w:fldSimple>
          </w:p>
        </w:tc>
        <w:tc>
          <w:tcPr/>
          <w:p>
            <w:pPr>
              <w:pStyle w:val="Compact"/>
              <w:jc w:val="left"/>
            </w:pPr>
            <w:r>
              <w:t xml:space="preserve">GRPO</w:t>
            </w:r>
          </w:p>
        </w:tc>
        <w:tc>
          <w:tcPr/>
          <w:p>
            <w:pPr>
              <w:pStyle w:val="Compact"/>
              <w:jc w:val="left"/>
            </w:pPr>
            <w:r>
              <w:t xml:space="preserve">序列级优化对MoE更稳定</w:t>
            </w:r>
          </w:p>
        </w:tc>
      </w:tr>
      <w:tr>
        <w:tc>
          <w:tcPr/>
          <w:p>
            <w:pPr>
              <w:pStyle w:val="Compact"/>
              <w:jc w:val="left"/>
            </w:pPr>
            <w:r>
              <w:t xml:space="preserve">快速原型验证/资源受限</w:t>
            </w:r>
          </w:p>
        </w:tc>
        <w:tc>
          <w:tcPr/>
          <w:p>
            <w:pPr>
              <w:pStyle w:val="Compact"/>
              <w:jc w:val="left"/>
            </w:pPr>
            <w:r>
              <w:t xml:space="preserve">Dr.GRPO</w:t>
            </w:r>
            <w:r>
              <w:t xml:space="preserve"> </w:t>
            </w:r>
            <w:fldSimple w:instr="NOTEREF _Ref_Footnote_13 \h \f">
              <w:r>
                <w:rPr>
                  <w:vertAlign w:val="superscript"/>
                </w:rPr>
                <w:t>13</w:t>
              </w:r>
            </w:fldSimple>
          </w:p>
        </w:tc>
        <w:tc>
          <w:tcPr/>
          <w:p>
            <w:pPr>
              <w:pStyle w:val="Compact"/>
              <w:jc w:val="left"/>
            </w:pPr>
            <w:r>
              <w:t xml:space="preserve">GRPO</w:t>
            </w:r>
            <w:r>
              <w:t xml:space="preserve"> </w:t>
            </w:r>
            <w:fldSimple w:instr="NOTEREF _Ref_Footnote_1 \h \f">
              <w:r>
                <w:rPr>
                  <w:vertAlign w:val="superscript"/>
                </w:rPr>
                <w:t>1</w:t>
              </w:r>
            </w:fldSimple>
          </w:p>
        </w:tc>
        <w:tc>
          <w:tcPr/>
          <w:p>
            <w:pPr>
              <w:pStyle w:val="Compact"/>
              <w:jc w:val="left"/>
            </w:pPr>
            <w:r>
              <w:t xml:space="preserve">VAPO/PPO</w:t>
            </w:r>
          </w:p>
        </w:tc>
        <w:tc>
          <w:tcPr/>
          <w:p>
            <w:pPr>
              <w:pStyle w:val="Compact"/>
              <w:jc w:val="left"/>
            </w:pPr>
            <w:r>
              <w:t xml:space="preserve">Dr.GRPO实现最简单</w:t>
            </w:r>
          </w:p>
        </w:tc>
      </w:tr>
      <w:tr>
        <w:tc>
          <w:tcPr/>
          <w:p>
            <w:pPr>
              <w:pStyle w:val="Compact"/>
              <w:jc w:val="left"/>
            </w:pPr>
            <w:r>
              <w:t xml:space="preserve">端到端单阶段训练</w:t>
            </w:r>
          </w:p>
        </w:tc>
        <w:tc>
          <w:tcPr/>
          <w:p>
            <w:pPr>
              <w:pStyle w:val="Compact"/>
              <w:jc w:val="left"/>
            </w:pPr>
            <w:r>
              <w:t xml:space="preserve">ORPO</w:t>
            </w:r>
            <w:r>
              <w:t xml:space="preserve"> </w:t>
            </w:r>
            <w:fldSimple w:instr="NOTEREF _Ref_Footnote_10 \h \f">
              <w:r>
                <w:rPr>
                  <w:vertAlign w:val="superscript"/>
                </w:rPr>
                <w:t>10</w:t>
              </w:r>
            </w:fldSimple>
          </w:p>
        </w:tc>
        <w:tc>
          <w:tcPr/>
          <w:p>
            <w:pPr>
              <w:pStyle w:val="Compact"/>
              <w:jc w:val="left"/>
            </w:pPr>
            <w:r>
              <w:t xml:space="preserve">CPO</w:t>
            </w:r>
            <w:r>
              <w:t xml:space="preserve"> </w:t>
            </w:r>
            <w:r>
              <w:rPr>
                <w:vertAlign w:val="superscript"/>
              </w:rPr>
              <w:footnoteReference w:id="24"/>
            </w:r>
          </w:p>
        </w:tc>
        <w:tc>
          <w:tcPr/>
          <w:p>
            <w:pPr>
              <w:pStyle w:val="Compact"/>
              <w:jc w:val="left"/>
            </w:pPr>
            <w:r>
              <w:t xml:space="preserve">DPO</w:t>
            </w:r>
          </w:p>
        </w:tc>
        <w:tc>
          <w:tcPr/>
          <w:p>
            <w:pPr>
              <w:pStyle w:val="Compact"/>
              <w:jc w:val="left"/>
            </w:pPr>
            <w:r>
              <w:t xml:space="preserve">ORPO合并SFT和偏好优化</w:t>
            </w:r>
          </w:p>
        </w:tc>
      </w:tr>
    </w:tbl>
    <w:p>
      <w:pPr>
        <w:pStyle w:val="BodyText"/>
      </w:pPr>
      <w:r>
        <w:t xml:space="preserve">该框架的核心理念是：</w:t>
      </w:r>
      <w:r>
        <w:rPr>
          <w:bCs/>
          <w:b/>
        </w:rPr>
        <w:t xml:space="preserve">任务类型决定方法选择</w:t>
      </w:r>
      <w:r>
        <w:t xml:space="preserve">。对于可验证的推理任务（数学、代码），GRPO系列方法因无需人工标注偏好数据且训练高效而成为首选；对于开放域的偏好对齐任务（对话质量、风格调整），DPO系列方法因更贴合人类主观偏好评估而更适合</w:t>
      </w:r>
      <w:r>
        <w:t xml:space="preserve"> </w:t>
      </w:r>
      <w:fldSimple w:instr="NOTEREF _Ref_Footnote_11 \h \f">
        <w:r>
          <w:rPr>
            <w:vertAlign w:val="superscript"/>
          </w:rPr>
          <w:t>11</w:t>
        </w:r>
      </w:fldSimple>
      <w:r>
        <w:t xml:space="preserve"> </w:t>
      </w:r>
      <w:fldSimple w:instr="NOTEREF _Ref_Footnote_1 \h \f">
        <w:r>
          <w:rPr>
            <w:vertAlign w:val="superscript"/>
          </w:rPr>
          <w:t>1</w:t>
        </w:r>
      </w:fldSimple>
      <w:r>
        <w:t xml:space="preserve">。</w:t>
      </w:r>
    </w:p>
    <w:bookmarkEnd w:id="57"/>
    <w:bookmarkStart w:id="58" w:name="各方法benchmark覆盖矩阵与性能边界"/>
    <w:p>
      <w:pPr>
        <w:pStyle w:val="Heading4"/>
      </w:pPr>
      <w:r>
        <w:t xml:space="preserve">2.5.2 各方法Benchmark覆盖矩阵与性能边界</w:t>
      </w:r>
    </w:p>
    <w:p>
      <w:pPr>
        <w:pStyle w:val="FirstParagraph"/>
      </w:pPr>
      <w:r>
        <w:rPr>
          <w:bCs/>
          <w:b/>
        </w:rPr>
        <w:t xml:space="preserve">表2-6 核心算法Benchmark覆盖矩阵</w:t>
      </w:r>
    </w:p>
    <w:tbl>
      <w:tblPr>
        <w:tblStyle w:val="Table"/>
        <w:tblW w:type="pct" w:w="5000"/>
        <w:tblLook w:firstRow="1" w:lastRow="0" w:firstColumn="0" w:lastColumn="0" w:noHBand="0" w:noVBand="0" w:val="0020"/>
      </w:tblPr>
      <w:tblGrid>
        <w:gridCol w:w="709"/>
        <w:gridCol w:w="1536"/>
        <w:gridCol w:w="1182"/>
        <w:gridCol w:w="827"/>
        <w:gridCol w:w="1182"/>
        <w:gridCol w:w="1300"/>
        <w:gridCol w:w="1182"/>
      </w:tblGrid>
      <w:tr>
        <w:trPr>
          <w:tblHeader w:val="true"/>
        </w:trPr>
        <w:tc>
          <w:tcPr/>
          <w:p>
            <w:pPr>
              <w:pStyle w:val="Compact"/>
              <w:jc w:val="left"/>
            </w:pPr>
            <w:r>
              <w:t xml:space="preserve">方法</w:t>
            </w:r>
          </w:p>
        </w:tc>
        <w:tc>
          <w:tcPr/>
          <w:p>
            <w:pPr>
              <w:pStyle w:val="Compact"/>
              <w:jc w:val="left"/>
            </w:pPr>
            <w:r>
              <w:t xml:space="preserve">AlpacaEval 2</w:t>
            </w:r>
          </w:p>
        </w:tc>
        <w:tc>
          <w:tcPr/>
          <w:p>
            <w:pPr>
              <w:pStyle w:val="Compact"/>
              <w:jc w:val="left"/>
            </w:pPr>
            <w:r>
              <w:t xml:space="preserve">MT-Bench</w:t>
            </w:r>
          </w:p>
        </w:tc>
        <w:tc>
          <w:tcPr/>
          <w:p>
            <w:pPr>
              <w:pStyle w:val="Compact"/>
              <w:jc w:val="left"/>
            </w:pPr>
            <w:r>
              <w:t xml:space="preserve">GSM8K</w:t>
            </w:r>
          </w:p>
        </w:tc>
        <w:tc>
          <w:tcPr/>
          <w:p>
            <w:pPr>
              <w:pStyle w:val="Compact"/>
              <w:jc w:val="left"/>
            </w:pPr>
            <w:r>
              <w:t xml:space="preserve">MATH-500</w:t>
            </w:r>
          </w:p>
        </w:tc>
        <w:tc>
          <w:tcPr/>
          <w:p>
            <w:pPr>
              <w:pStyle w:val="Compact"/>
              <w:jc w:val="left"/>
            </w:pPr>
            <w:r>
              <w:t xml:space="preserve">AIME 2024</w:t>
            </w:r>
          </w:p>
        </w:tc>
        <w:tc>
          <w:tcPr/>
          <w:p>
            <w:pPr>
              <w:pStyle w:val="Compact"/>
              <w:jc w:val="left"/>
            </w:pPr>
            <w:r>
              <w:t xml:space="preserve">代码生成</w:t>
            </w:r>
          </w:p>
        </w:tc>
      </w:tr>
      <w:tr>
        <w:tc>
          <w:tcPr/>
          <w:p>
            <w:pPr>
              <w:pStyle w:val="Compact"/>
              <w:jc w:val="left"/>
            </w:pPr>
            <w:r>
              <w:t xml:space="preserve">PPO</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优</w:t>
            </w:r>
            <w:r>
              <w:t xml:space="preserve"> </w:t>
            </w:r>
            <w:fldSimple w:instr="NOTEREF _Ref_Footnote_11 \h \f">
              <w:r>
                <w:rPr>
                  <w:vertAlign w:val="superscript"/>
                </w:rPr>
                <w:t>11</w:t>
              </w:r>
            </w:fldSimple>
          </w:p>
        </w:tc>
      </w:tr>
      <w:tr>
        <w:tc>
          <w:tcPr/>
          <w:p>
            <w:pPr>
              <w:pStyle w:val="Compact"/>
              <w:jc w:val="left"/>
            </w:pPr>
            <w:r>
              <w:t xml:space="preserve">DPO</w:t>
            </w:r>
          </w:p>
        </w:tc>
        <w:tc>
          <w:tcPr/>
          <w:p>
            <w:pPr>
              <w:pStyle w:val="Compact"/>
              <w:jc w:val="left"/>
            </w:pPr>
            <w:r>
              <w:t xml:space="preserve">良好</w:t>
            </w:r>
          </w:p>
        </w:tc>
        <w:tc>
          <w:tcPr/>
          <w:p>
            <w:pPr>
              <w:pStyle w:val="Compact"/>
              <w:jc w:val="left"/>
            </w:pPr>
            <w:r>
              <w:t xml:space="preserve">良好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SimPO</w:t>
            </w:r>
          </w:p>
        </w:tc>
        <w:tc>
          <w:tcPr/>
          <w:p>
            <w:pPr>
              <w:pStyle w:val="Compact"/>
              <w:jc w:val="left"/>
            </w:pPr>
            <w:r>
              <w:rPr>
                <w:bCs/>
                <w:b/>
              </w:rPr>
              <w:t xml:space="preserve">40.2%</w:t>
            </w:r>
            <w:r>
              <w:t xml:space="preserve"> </w:t>
            </w:r>
            <w:fldSimple w:instr="NOTEREF _Ref_Footnote_8 \h \f">
              <w:r>
                <w:rPr>
                  <w:vertAlign w:val="superscript"/>
                </w:rPr>
                <w:t>8</w:t>
              </w:r>
            </w:fldSimple>
          </w:p>
        </w:tc>
        <w:tc>
          <w:tcPr/>
          <w:p>
            <w:pPr>
              <w:pStyle w:val="Compact"/>
              <w:jc w:val="left"/>
            </w:pPr>
            <w:r>
              <w:t xml:space="preserve">良好</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ORPO</w:t>
            </w:r>
          </w:p>
        </w:tc>
        <w:tc>
          <w:tcPr/>
          <w:p>
            <w:pPr>
              <w:pStyle w:val="Compact"/>
              <w:jc w:val="left"/>
            </w:pPr>
            <w:r>
              <w:t xml:space="preserve">12.20%</w:t>
            </w:r>
            <w:r>
              <w:t xml:space="preserve"> </w:t>
            </w:r>
            <w:fldSimple w:instr="NOTEREF _Ref_Footnote_10 \h \f">
              <w:r>
                <w:rPr>
                  <w:vertAlign w:val="superscript"/>
                </w:rPr>
                <w:t>10</w:t>
              </w:r>
            </w:fldSimple>
          </w:p>
        </w:tc>
        <w:tc>
          <w:tcPr/>
          <w:p>
            <w:pPr>
              <w:pStyle w:val="Compact"/>
              <w:jc w:val="left"/>
            </w:pPr>
            <w:r>
              <w:t xml:space="preserve">7.32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KTO</w:t>
            </w:r>
          </w:p>
        </w:tc>
        <w:tc>
          <w:tcPr/>
          <w:p>
            <w:pPr>
              <w:pStyle w:val="Compact"/>
              <w:jc w:val="left"/>
            </w:pPr>
            <w:r>
              <w:t xml:space="preserve">匹配DPO</w:t>
            </w:r>
            <w:r>
              <w:t xml:space="preserve"> </w:t>
            </w:r>
            <w:fldSimple w:instr="NOTEREF _Ref_Footnote_9 \h \f">
              <w:r>
                <w:rPr>
                  <w:vertAlign w:val="superscript"/>
                </w:rPr>
                <w:t>9</w:t>
              </w:r>
            </w:fldSimple>
          </w:p>
        </w:tc>
        <w:tc>
          <w:tcPr/>
          <w:p>
            <w:pPr>
              <w:pStyle w:val="Compact"/>
              <w:jc w:val="left"/>
            </w:pPr>
            <w:r>
              <w:t xml:space="preserve">匹配DPO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差</w:t>
            </w:r>
          </w:p>
        </w:tc>
      </w:tr>
      <w:tr>
        <w:tc>
          <w:tcPr/>
          <w:p>
            <w:pPr>
              <w:pStyle w:val="Compact"/>
              <w:jc w:val="left"/>
            </w:pPr>
            <w:r>
              <w:t xml:space="preserve">GRPO</w:t>
            </w:r>
          </w:p>
        </w:tc>
        <w:tc>
          <w:tcPr/>
          <w:p>
            <w:pPr>
              <w:pStyle w:val="Compact"/>
              <w:jc w:val="left"/>
            </w:pPr>
            <w:r>
              <w:t xml:space="preserve">-</w:t>
            </w:r>
          </w:p>
        </w:tc>
        <w:tc>
          <w:tcPr/>
          <w:p>
            <w:pPr>
              <w:pStyle w:val="Compact"/>
              <w:jc w:val="left"/>
            </w:pPr>
            <w:r>
              <w:t xml:space="preserve">-</w:t>
            </w:r>
          </w:p>
        </w:tc>
        <w:tc>
          <w:tcPr/>
          <w:p>
            <w:pPr>
              <w:pStyle w:val="Compact"/>
              <w:jc w:val="left"/>
            </w:pPr>
            <w:r>
              <w:t xml:space="preserve">88.2%</w:t>
            </w:r>
            <w:r>
              <w:t xml:space="preserve"> </w:t>
            </w:r>
            <w:fldSimple w:instr="NOTEREF _Ref_Footnote_1 \h \f">
              <w:r>
                <w:rPr>
                  <w:vertAlign w:val="superscript"/>
                </w:rPr>
                <w:t>1</w:t>
              </w:r>
            </w:fldSimple>
          </w:p>
        </w:tc>
        <w:tc>
          <w:tcPr/>
          <w:p>
            <w:pPr>
              <w:pStyle w:val="Compact"/>
              <w:jc w:val="left"/>
            </w:pPr>
            <w:r>
              <w:t xml:space="preserve">51.7%</w:t>
            </w:r>
            <w:r>
              <w:t xml:space="preserve"> </w:t>
            </w:r>
            <w:fldSimple w:instr="NOTEREF _Ref_Footnote_1 \h \f">
              <w:r>
                <w:rPr>
                  <w:vertAlign w:val="superscript"/>
                </w:rPr>
                <w:t>1</w:t>
              </w:r>
            </w:fldSimple>
          </w:p>
        </w:tc>
        <w:tc>
          <w:tcPr/>
          <w:p>
            <w:pPr>
              <w:pStyle w:val="Compact"/>
              <w:jc w:val="left"/>
            </w:pPr>
            <w:r>
              <w:t xml:space="preserve">~30</w:t>
            </w:r>
          </w:p>
        </w:tc>
        <w:tc>
          <w:tcPr/>
          <w:p>
            <w:pPr>
              <w:pStyle w:val="Compact"/>
              <w:jc w:val="left"/>
            </w:pPr>
            <w:r>
              <w:t xml:space="preserve">良好</w:t>
            </w:r>
          </w:p>
        </w:tc>
      </w:tr>
      <w:tr>
        <w:tc>
          <w:tcPr/>
          <w:p>
            <w:pPr>
              <w:pStyle w:val="Compact"/>
              <w:jc w:val="left"/>
            </w:pPr>
            <w:r>
              <w:t xml:space="preserve">DAPO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50</w:t>
            </w:r>
            <w:r>
              <w:t xml:space="preserve"> </w:t>
            </w:r>
            <w:fldSimple w:instr="NOTEREF _Ref_Footnote_2 \h \f">
              <w:r>
                <w:rPr>
                  <w:vertAlign w:val="superscript"/>
                </w:rPr>
                <w:t>2</w:t>
              </w:r>
            </w:fldSimple>
          </w:p>
        </w:tc>
        <w:tc>
          <w:tcPr/>
          <w:p>
            <w:pPr>
              <w:pStyle w:val="Compact"/>
              <w:jc w:val="left"/>
            </w:pPr>
            <w:r>
              <w:t xml:space="preserve">良好</w:t>
            </w:r>
          </w:p>
        </w:tc>
      </w:tr>
      <w:tr>
        <w:tc>
          <w:tcPr/>
          <w:p>
            <w:pPr>
              <w:pStyle w:val="Compact"/>
              <w:jc w:val="left"/>
            </w:pPr>
            <w:r>
              <w:t xml:space="preserve">Dr.GRPO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43.3</w:t>
            </w:r>
            <w:r>
              <w:t xml:space="preserve"> </w:t>
            </w:r>
            <w:fldSimple w:instr="NOTEREF _Ref_Footnote_13 \h \f">
              <w:r>
                <w:rPr>
                  <w:vertAlign w:val="superscript"/>
                </w:rPr>
                <w:t>13</w:t>
              </w:r>
            </w:fldSimple>
          </w:p>
        </w:tc>
        <w:tc>
          <w:tcPr/>
          <w:p>
            <w:pPr>
              <w:pStyle w:val="Compact"/>
              <w:jc w:val="left"/>
            </w:pPr>
            <w:r>
              <w:t xml:space="preserve">良好</w:t>
            </w:r>
          </w:p>
        </w:tc>
      </w:tr>
      <w:tr>
        <w:tc>
          <w:tcPr/>
          <w:p>
            <w:pPr>
              <w:pStyle w:val="Compact"/>
              <w:jc w:val="left"/>
            </w:pPr>
            <w:r>
              <w:t xml:space="preserve">VAPO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60.4</w:t>
            </w:r>
            <w:r>
              <w:t xml:space="preserve"> </w:t>
            </w:r>
            <w:fldSimple w:instr="NOTEREF _Ref_Footnote_5 \h \f">
              <w:r>
                <w:rPr>
                  <w:vertAlign w:val="superscript"/>
                </w:rPr>
                <w:t>5</w:t>
              </w:r>
            </w:fldSimple>
          </w:p>
        </w:tc>
        <w:tc>
          <w:tcPr/>
          <w:p>
            <w:pPr>
              <w:pStyle w:val="Compact"/>
              <w:jc w:val="left"/>
            </w:pPr>
            <w:r>
              <w:t xml:space="preserve">良好</w:t>
            </w:r>
          </w:p>
        </w:tc>
      </w:tr>
      <w:tr>
        <w:tc>
          <w:tcPr/>
          <w:p>
            <w:pPr>
              <w:pStyle w:val="Compact"/>
              <w:jc w:val="left"/>
            </w:pPr>
            <w:r>
              <w:t xml:space="preserve">GMPO</w:t>
            </w:r>
          </w:p>
        </w:tc>
        <w:tc>
          <w:tcPr/>
          <w:p>
            <w:pPr>
              <w:pStyle w:val="Compact"/>
              <w:jc w:val="left"/>
            </w:pPr>
            <w:r>
              <w:t xml:space="preserve">-</w:t>
            </w:r>
          </w:p>
        </w:tc>
        <w:tc>
          <w:tcPr/>
          <w:p>
            <w:pPr>
              <w:pStyle w:val="Compact"/>
              <w:jc w:val="left"/>
            </w:pPr>
            <w:r>
              <w:t xml:space="preserve">-</w:t>
            </w:r>
          </w:p>
        </w:tc>
        <w:tc>
          <w:tcPr/>
          <w:p>
            <w:pPr>
              <w:pStyle w:val="Compact"/>
              <w:jc w:val="left"/>
            </w:pPr>
            <w:r>
              <w:t xml:space="preserve">+4.1%</w:t>
            </w:r>
            <w:r>
              <w:t xml:space="preserve"> </w:t>
            </w:r>
            <w:fldSimple w:instr="NOTEREF _Ref_Footnote_3 \h \f">
              <w:r>
                <w:rPr>
                  <w:vertAlign w:val="superscript"/>
                </w:rPr>
                <w:t>3</w:t>
              </w:r>
            </w:fldSimple>
          </w:p>
        </w:tc>
        <w:tc>
          <w:tcPr/>
          <w:p>
            <w:pPr>
              <w:pStyle w:val="Compact"/>
              <w:jc w:val="left"/>
            </w:pPr>
            <w:r>
              <w:t xml:space="preserve">+4.1%</w:t>
            </w:r>
            <w:r>
              <w:t xml:space="preserve"> </w:t>
            </w:r>
            <w:fldSimple w:instr="NOTEREF _Ref_Footnote_3 \h \f">
              <w:r>
                <w:rPr>
                  <w:vertAlign w:val="superscript"/>
                </w:rPr>
                <w:t>3</w:t>
              </w:r>
            </w:fldSimple>
          </w:p>
        </w:tc>
        <w:tc>
          <w:tcPr/>
          <w:p>
            <w:pPr>
              <w:pStyle w:val="Compact"/>
              <w:jc w:val="left"/>
            </w:pPr>
            <w:r>
              <w:t xml:space="preserve">+4.1%</w:t>
            </w:r>
            <w:r>
              <w:t xml:space="preserve"> </w:t>
            </w:r>
            <w:fldSimple w:instr="NOTEREF _Ref_Footnote_3 \h \f">
              <w:r>
                <w:rPr>
                  <w:vertAlign w:val="superscript"/>
                </w:rPr>
                <w:t>3</w:t>
              </w:r>
            </w:fldSimple>
          </w:p>
        </w:tc>
        <w:tc>
          <w:tcPr/>
          <w:p>
            <w:pPr>
              <w:pStyle w:val="Compact"/>
              <w:jc w:val="left"/>
            </w:pPr>
            <w:r>
              <w:t xml:space="preserve">良好</w:t>
            </w:r>
          </w:p>
        </w:tc>
      </w:tr>
    </w:tbl>
    <w:p>
      <w:pPr>
        <w:pStyle w:val="BodyText"/>
      </w:pPr>
      <w:r>
        <w:t xml:space="preserve">上表中的数据揭示了算法性能与评估任务之间的结构性关联。偏好优化方法（DPO/SimPO/ORPO/KTO）在对话评估基准（AlpacaEval、MT-Bench）上表现突出，但在需要多步推理的数学基准上几乎无覆盖。相反，GRPO系列方法专注于数学推理基准，在GSM8K和AIME上取得显著进展。这种”任务-方法绑定”现象说明当前LLM+RL领域已形成两个相对独立的技术生态：偏好对齐生态以DPO系列为核心，推理训练生态以GRPO系列为核心</w:t>
      </w:r>
      <w:r>
        <w:t xml:space="preserve"> </w:t>
      </w:r>
      <w:fldSimple w:instr="NOTEREF _Ref_Footnote_1 \h \f">
        <w:r>
          <w:rPr>
            <w:vertAlign w:val="superscript"/>
          </w:rPr>
          <w:t>1</w:t>
        </w:r>
      </w:fldSimple>
      <w:r>
        <w:t xml:space="preserve"> </w:t>
      </w:r>
      <w:fldSimple w:instr="NOTEREF _Ref_Footnote_18 \h \f">
        <w:r>
          <w:rPr>
            <w:vertAlign w:val="superscript"/>
          </w:rPr>
          <w:t>18</w:t>
        </w:r>
      </w:fldSimple>
      <w:r>
        <w:t xml:space="preserve">。</w:t>
      </w:r>
    </w:p>
    <w:p>
      <w:pPr>
        <w:pStyle w:val="BodyText"/>
      </w:pPr>
      <w:r>
        <w:t xml:space="preserve">值得注意的是，VAPO在AIME 2024上达到的60.4分是目前公开报告中的最高分</w:t>
      </w:r>
      <w:r>
        <w:t xml:space="preserve"> </w:t>
      </w:r>
      <w:fldSimple w:instr="NOTEREF _Ref_Footnote_5 \h \f">
        <w:r>
          <w:rPr>
            <w:vertAlign w:val="superscript"/>
          </w:rPr>
          <w:t>5</w:t>
        </w:r>
      </w:fldSimple>
      <w:r>
        <w:t xml:space="preserve">，但这一结果依赖于Value model的使用，增加了训练复杂度。对于大多数实际应用场景，DAPO以更低的实现复杂度（无需Value model）提供了极具竞争力的性能——50分在Qwen2.5-32B上超越DeepSeek-R1-Zero-Qwen-32B的47分</w:t>
      </w:r>
      <w:r>
        <w:t xml:space="preserve"> </w:t>
      </w:r>
      <w:fldSimple w:instr="NOTEREF _Ref_Footnote_2 \h \f">
        <w:r>
          <w:rPr>
            <w:vertAlign w:val="superscript"/>
          </w:rPr>
          <w:t>2</w:t>
        </w:r>
      </w:fldSimple>
      <w:r>
        <w:t xml:space="preserve">，且训练步数仅为GRPO的50%。对于资源受限的研究者，Dr.GRPO仅需修改GRPO的几行归一化代码即可获得约43.3分的强基线结果</w:t>
      </w:r>
      <w:r>
        <w:t xml:space="preserve"> </w:t>
      </w:r>
      <w:fldSimple w:instr="NOTEREF _Ref_Footnote_13 \h \f">
        <w:r>
          <w:rPr>
            <w:vertAlign w:val="superscript"/>
          </w:rPr>
          <w:t>13</w:t>
        </w:r>
      </w:fldSimple>
      <w:r>
        <w:t xml:space="preserve">，是性价比最高的入门选择。</w:t>
      </w:r>
    </w:p>
    <w:bookmarkEnd w:id="58"/>
    <w:bookmarkEnd w:id="59"/>
    <w:bookmarkEnd w:id="60"/>
    <w:bookmarkStart w:id="74" w:name="过程奖励模型与信用分配"/>
    <w:p>
      <w:pPr>
        <w:pStyle w:val="Heading2"/>
      </w:pPr>
      <w:r>
        <w:t xml:space="preserve">3. 过程奖励模型与信用分配</w:t>
      </w:r>
    </w:p>
    <w:p>
      <w:pPr>
        <w:pStyle w:val="FirstParagraph"/>
      </w:pPr>
      <w:r>
        <w:t xml:space="preserve">信用分配（Credit Assignment, CA）是LLM强化学习训练中的核心机制。当模型生成长达30K tokens的推理链时，最终答案的正确或错误必须被精确归因到序列中的各个位置——是初始理解错误，还是中间某步计算失误，抑或仅是最终表达疏忽？这一归因过程的精确度直接决定了策略梯度更新的有效性。研究表明，在单轮推理中信用分配已趋于成熟，而在多轮Agent交互中仍面临随机环境、部分可观察性和非可验证中间状态等根本性挑战</w:t>
      </w:r>
      <w:r>
        <w:t xml:space="preserve"> </w:t>
      </w:r>
      <w:fldSimple w:instr="NOTEREF _Ref_Footnote_1 \h \f">
        <w:r>
          <w:rPr>
            <w:vertAlign w:val="superscript"/>
          </w:rPr>
          <w:t>1</w:t>
        </w:r>
      </w:fldSimple>
      <w:r>
        <w:t xml:space="preserve">。</w:t>
      </w:r>
    </w:p>
    <w:bookmarkStart w:id="64" w:name="过程监督基础"/>
    <w:p>
      <w:pPr>
        <w:pStyle w:val="Heading3"/>
      </w:pPr>
      <w:r>
        <w:t xml:space="preserve">3.1 过程监督基础</w:t>
      </w:r>
    </w:p>
    <w:bookmarkStart w:id="61" w:name="prm-vs-orm从结果到过程的范式转移"/>
    <w:p>
      <w:pPr>
        <w:pStyle w:val="Heading4"/>
      </w:pPr>
      <w:r>
        <w:t xml:space="preserve">3.1.1 PRM vs ORM：从结果到过程的范式转移</w:t>
      </w:r>
    </w:p>
    <w:p>
      <w:pPr>
        <w:pStyle w:val="FirstParagraph"/>
      </w:pPr>
      <w:r>
        <w:t xml:space="preserve">过程奖励模型（Process Reward Model, PRM）与结果奖励模型（Outcome Reward Model, ORM）的分野构成了LLM强化学习信用分配研究的方法论起点。PRM对推理链的每一步输出一个标量奖励信号，而ORM仅对最终答案进行评估。OpenAI在2023年发表的”Let’s Verify Step by Step”通过人工标注80万步级标签构建了PRM800K数据集，首次以大规模实验证明PRM在best-of-K选择中显著优于ORM（78.2% vs 72.4% vs 69.6%多数投票），奠定了过程监督的实证基础</w:t>
      </w:r>
      <w:r>
        <w:t xml:space="preserve"> </w:t>
      </w:r>
      <w:fldSimple w:instr="NOTEREF _Ref_Footnote_2 \h \f">
        <w:r>
          <w:rPr>
            <w:vertAlign w:val="superscript"/>
          </w:rPr>
          <w:t>2</w:t>
        </w:r>
      </w:fldSimple>
      <w:r>
        <w:t xml:space="preserve"> </w:t>
      </w:r>
      <w:r>
        <w:rPr>
          <w:vertAlign w:val="superscript"/>
        </w:rPr>
        <w:footnoteReference w:id="25"/>
      </w:r>
      <w:r>
        <w:t xml:space="preserve">。</w:t>
      </w:r>
    </w:p>
    <w:p>
      <w:pPr>
        <w:pStyle w:val="BodyText"/>
      </w:pPr>
      <w:r>
        <w:rPr>
          <w:bCs/>
          <w:b/>
        </w:rPr>
        <w:t xml:space="preserve">表1：PRM与ORM核心属性对比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ORM（结果奖励模型）</w:t>
            </w:r>
          </w:p>
        </w:tc>
        <w:tc>
          <w:tcPr/>
          <w:p>
            <w:pPr>
              <w:pStyle w:val="Compact"/>
              <w:jc w:val="left"/>
            </w:pPr>
            <w:r>
              <w:t xml:space="preserve">PRM（过程奖励模型）</w:t>
            </w:r>
          </w:p>
        </w:tc>
      </w:tr>
      <w:tr>
        <w:tc>
          <w:tcPr/>
          <w:p>
            <w:pPr>
              <w:pStyle w:val="Compact"/>
              <w:jc w:val="left"/>
            </w:pPr>
            <w:r>
              <w:t xml:space="preserve">监督粒度</w:t>
            </w:r>
          </w:p>
        </w:tc>
        <w:tc>
          <w:tcPr/>
          <w:p>
            <w:pPr>
              <w:pStyle w:val="Compact"/>
              <w:jc w:val="left"/>
            </w:pPr>
            <w:r>
              <w:t xml:space="preserve">仅评估最终答案</w:t>
            </w:r>
          </w:p>
        </w:tc>
        <w:tc>
          <w:tcPr/>
          <w:p>
            <w:pPr>
              <w:pStyle w:val="Compact"/>
              <w:jc w:val="left"/>
            </w:pPr>
            <w:r>
              <w:t xml:space="preserve">每步/每token评估</w:t>
            </w:r>
          </w:p>
        </w:tc>
      </w:tr>
      <w:tr>
        <w:tc>
          <w:tcPr/>
          <w:p>
            <w:pPr>
              <w:pStyle w:val="Compact"/>
              <w:jc w:val="left"/>
            </w:pPr>
            <w:r>
              <w:t xml:space="preserve">标注成本</w:t>
            </w:r>
          </w:p>
        </w:tc>
        <w:tc>
          <w:tcPr/>
          <w:p>
            <w:pPr>
              <w:pStyle w:val="Compact"/>
              <w:jc w:val="left"/>
            </w:pPr>
            <w:r>
              <w:t xml:space="preserve">低（仅需最终结果标签）</w:t>
            </w:r>
          </w:p>
        </w:tc>
        <w:tc>
          <w:tcPr/>
          <w:p>
            <w:pPr>
              <w:pStyle w:val="Compact"/>
              <w:jc w:val="left"/>
            </w:pPr>
            <w:r>
              <w:t xml:space="preserve">高（需步级标签，人工约$1-2/步</w:t>
            </w:r>
            <w:r>
              <w:t xml:space="preserve"> </w:t>
            </w:r>
            <w:fldSimple w:instr="NOTEREF _Ref_Footnote_4 \h \f">
              <w:r>
                <w:rPr>
                  <w:vertAlign w:val="superscript"/>
                </w:rPr>
                <w:t>4</w:t>
              </w:r>
            </w:fldSimple>
            <w:r>
              <w:t xml:space="preserve">）</w:t>
            </w:r>
          </w:p>
        </w:tc>
      </w:tr>
      <w:tr>
        <w:tc>
          <w:tcPr/>
          <w:p>
            <w:pPr>
              <w:pStyle w:val="Compact"/>
              <w:jc w:val="left"/>
            </w:pPr>
            <w:r>
              <w:t xml:space="preserve">信用分配密度</w:t>
            </w:r>
          </w:p>
        </w:tc>
        <w:tc>
          <w:tcPr/>
          <w:p>
            <w:pPr>
              <w:pStyle w:val="Compact"/>
              <w:jc w:val="left"/>
            </w:pPr>
            <w:r>
              <w:t xml:space="preserve">稀疏，延迟反馈</w:t>
            </w:r>
          </w:p>
        </w:tc>
        <w:tc>
          <w:tcPr/>
          <w:p>
            <w:pPr>
              <w:pStyle w:val="Compact"/>
              <w:jc w:val="left"/>
            </w:pPr>
            <w:r>
              <w:t xml:space="preserve">密集，即时反馈</w:t>
            </w:r>
          </w:p>
        </w:tc>
      </w:tr>
      <w:tr>
        <w:tc>
          <w:tcPr/>
          <w:p>
            <w:pPr>
              <w:pStyle w:val="Compact"/>
              <w:jc w:val="left"/>
            </w:pPr>
            <w:r>
              <w:t xml:space="preserve">奖励黑客风险</w:t>
            </w:r>
          </w:p>
        </w:tc>
        <w:tc>
          <w:tcPr/>
          <w:p>
            <w:pPr>
              <w:pStyle w:val="Compact"/>
              <w:jc w:val="left"/>
            </w:pPr>
            <w:r>
              <w:t xml:space="preserve">较低</w:t>
            </w:r>
          </w:p>
        </w:tc>
        <w:tc>
          <w:tcPr/>
          <w:p>
            <w:pPr>
              <w:pStyle w:val="Compact"/>
              <w:jc w:val="left"/>
            </w:pPr>
            <w:r>
              <w:t xml:space="preserve">较高（可能优化表面正确性）</w:t>
            </w:r>
          </w:p>
        </w:tc>
      </w:tr>
      <w:tr>
        <w:tc>
          <w:tcPr/>
          <w:p>
            <w:pPr>
              <w:pStyle w:val="Compact"/>
              <w:jc w:val="left"/>
            </w:pPr>
            <w:r>
              <w:t xml:space="preserve">推理可解释性</w:t>
            </w:r>
          </w:p>
        </w:tc>
        <w:tc>
          <w:tcPr/>
          <w:p>
            <w:pPr>
              <w:pStyle w:val="Compact"/>
              <w:jc w:val="left"/>
            </w:pPr>
            <w:r>
              <w:t xml:space="preserve">低（无法定位错误）</w:t>
            </w:r>
          </w:p>
        </w:tc>
        <w:tc>
          <w:tcPr/>
          <w:p>
            <w:pPr>
              <w:pStyle w:val="Compact"/>
              <w:jc w:val="left"/>
            </w:pPr>
            <w:r>
              <w:t xml:space="preserve">高（可精确到错误步）</w:t>
            </w:r>
          </w:p>
        </w:tc>
      </w:tr>
      <w:tr>
        <w:tc>
          <w:tcPr/>
          <w:p>
            <w:pPr>
              <w:pStyle w:val="Compact"/>
              <w:jc w:val="left"/>
            </w:pPr>
            <w:r>
              <w:t xml:space="preserve">测试时扩展能力</w:t>
            </w:r>
          </w:p>
        </w:tc>
        <w:tc>
          <w:tcPr/>
          <w:p>
            <w:pPr>
              <w:pStyle w:val="Compact"/>
              <w:jc w:val="left"/>
            </w:pPr>
            <w:r>
              <w:t xml:space="preserve">弱（仅选最终答案）</w:t>
            </w:r>
          </w:p>
        </w:tc>
        <w:tc>
          <w:tcPr/>
          <w:p>
            <w:pPr>
              <w:pStyle w:val="Compact"/>
              <w:jc w:val="left"/>
            </w:pPr>
            <w:r>
              <w:t xml:space="preserve">强（可引导搜索/剪枝）</w:t>
            </w:r>
          </w:p>
        </w:tc>
      </w:tr>
      <w:tr>
        <w:tc>
          <w:tcPr/>
          <w:p>
            <w:pPr>
              <w:pStyle w:val="Compact"/>
              <w:jc w:val="left"/>
            </w:pPr>
            <w:r>
              <w:t xml:space="preserve">适用场景</w:t>
            </w:r>
          </w:p>
        </w:tc>
        <w:tc>
          <w:tcPr/>
          <w:p>
            <w:pPr>
              <w:pStyle w:val="Compact"/>
              <w:jc w:val="left"/>
            </w:pPr>
            <w:r>
              <w:t xml:space="preserve">短推理、可验证任务</w:t>
            </w:r>
          </w:p>
        </w:tc>
        <w:tc>
          <w:tcPr/>
          <w:p>
            <w:pPr>
              <w:pStyle w:val="Compact"/>
              <w:jc w:val="left"/>
            </w:pPr>
            <w:r>
              <w:t xml:space="preserve">长推理、多步复杂任务</w:t>
            </w:r>
          </w:p>
        </w:tc>
      </w:tr>
      <w:tr>
        <w:tc>
          <w:tcPr/>
          <w:p>
            <w:pPr>
              <w:pStyle w:val="Compact"/>
              <w:jc w:val="left"/>
            </w:pPr>
            <w:r>
              <w:t xml:space="preserve">代表方法</w:t>
            </w:r>
          </w:p>
        </w:tc>
        <w:tc>
          <w:tcPr/>
          <w:p>
            <w:pPr>
              <w:pStyle w:val="Compact"/>
              <w:jc w:val="left"/>
            </w:pPr>
            <w:r>
              <w:t xml:space="preserve">GRPO、PPO</w:t>
            </w:r>
          </w:p>
        </w:tc>
        <w:tc>
          <w:tcPr/>
          <w:p>
            <w:pPr>
              <w:pStyle w:val="Compact"/>
              <w:jc w:val="left"/>
            </w:pPr>
            <w:r>
              <w:t xml:space="preserve">PURE、VinePPO、SPO</w:t>
            </w:r>
          </w:p>
        </w:tc>
      </w:tr>
    </w:tbl>
    <w:p>
      <w:pPr>
        <w:pStyle w:val="BodyText"/>
      </w:pPr>
      <w:r>
        <w:t xml:space="preserve">PRM的优势在需要长链推理的竞赛级数学问题上尤为突出：PRM能够引导树搜索中的剪枝决策，因其步级信号可以识别并排除错误分支</w:t>
      </w:r>
      <w:r>
        <w:t xml:space="preserve"> </w:t>
      </w:r>
      <w:fldSimple w:instr="NOTEREF _Ref_Footnote_5 \h \f">
        <w:r>
          <w:rPr>
            <w:vertAlign w:val="superscript"/>
          </w:rPr>
          <w:t>5</w:t>
        </w:r>
      </w:fldSimple>
      <w:r>
        <w:t xml:space="preserve">。然而，PRM的高标注成本长期制约其扩展性——人工标注每步正确性的成本约为最终结果标注的50-75倍</w:t>
      </w:r>
      <w:r>
        <w:t xml:space="preserve"> </w:t>
      </w:r>
      <w:fldSimple w:instr="NOTEREF _Ref_Footnote_4 \h \f">
        <w:r>
          <w:rPr>
            <w:vertAlign w:val="superscript"/>
          </w:rPr>
          <w:t>4</w:t>
        </w:r>
      </w:fldSimple>
      <w:r>
        <w:t xml:space="preserve">。ORM虽然在简单任务上表现足够，但当推理链超过一定长度时，稀疏的终端反馈无法为中间步骤提供有效的学习信号。值得指出的是，DeepSeek-R1的实验表明纯ORM配合大规模RL训练也能激发强推理能力，这意味着PRM并非必要条件，而是在特定场景下提升训练效率和最终性能的有力工具</w:t>
      </w:r>
      <w:r>
        <w:t xml:space="preserve"> </w:t>
      </w:r>
      <w:fldSimple w:instr="NOTEREF _Ref_Footnote_1 \h \f">
        <w:r>
          <w:rPr>
            <w:vertAlign w:val="superscript"/>
          </w:rPr>
          <w:t>1</w:t>
        </w:r>
      </w:fldSimple>
      <w:r>
        <w:t xml:space="preserve">。</w:t>
      </w:r>
    </w:p>
    <w:bookmarkEnd w:id="61"/>
    <w:bookmarkStart w:id="62" w:name="自动化标注math-shepherd与omegaprm"/>
    <w:p>
      <w:pPr>
        <w:pStyle w:val="Heading4"/>
      </w:pPr>
      <w:r>
        <w:t xml:space="preserve">3.1.2 自动化标注：Math-Shepherd与OmegaPRM</w:t>
      </w:r>
    </w:p>
    <w:p>
      <w:pPr>
        <w:pStyle w:val="FirstParagraph"/>
      </w:pPr>
      <w:r>
        <w:t xml:space="preserve">PRM标注成本问题的首个系统性解决方案来自Math-Shepherd（ACL 2024）。该方法对每个推理步骤进行蒙特卡洛（Monte Carlo, MC）采样：从当前步出发独立采样多条后续轨迹，计算到达正确答案的比例作为该步的过程监督分数</w:t>
      </w:r>
      <w:r>
        <w:t xml:space="preserve"> </w:t>
      </w:r>
      <w:fldSimple w:instr="NOTEREF _Ref_Footnote_13 \h \f">
        <w:r>
          <w:rPr>
            <w:vertAlign w:val="superscript"/>
          </w:rPr>
          <w:t>13</w:t>
        </w:r>
      </w:fldSimple>
      <w:r>
        <w:t xml:space="preserve">。Math-Shepherd以Mistral-7B为基座模型，在GSM8K和MATH基准上验证了自动标注PRM的可行性，但其采样成本仍然较高——每步需数十条完整rollout才能获得稳定的估计。</w:t>
      </w:r>
    </w:p>
    <w:p>
      <w:pPr>
        <w:pStyle w:val="BodyText"/>
      </w:pPr>
      <w:r>
        <w:t xml:space="preserve">OmegaPRM（2024）通过引入分治式蒙特卡洛树搜索（MCTS）结合二分搜索策略，显著降低了标注开销。该方法将定位推理链中首个错误步的问题建模为树搜索过程，通过优先探索高不确定性区域，在保持标注质量的同时将成本降低约75倍</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。OmegaPRM使用Gemini Pro模型自动生成超过150万过程监督标注，将MATH500上的表现从51%提升至69.4%，GSM8K达到93.6%</w:t>
      </w:r>
      <w:r>
        <w:t xml:space="preserve"> </w:t>
      </w:r>
      <w:fldSimple w:instr="NOTEREF _Ref_Footnote_3 \h \f">
        <w:r>
          <w:rPr>
            <w:vertAlign w:val="superscript"/>
          </w:rPr>
          <w:t>3</w:t>
        </w:r>
      </w:fldSimple>
      <w:r>
        <w:t xml:space="preserve">。AlphaMath（2024）则采用了更为激进的策略——从结果监督直接推导伪过程监督标签，完全消除了步级标注需求，但引入了标注噪声与推理质量之间的权衡</w:t>
      </w:r>
      <w:r>
        <w:t xml:space="preserve"> </w:t>
      </w:r>
      <w:fldSimple w:instr="NOTEREF _Ref_Footnote_2 \h \f">
        <w:r>
          <w:rPr>
            <w:vertAlign w:val="superscript"/>
          </w:rPr>
          <w:t>2</w:t>
        </w:r>
      </w:fldSimple>
      <w:r>
        <w:t xml:space="preserve"> </w:t>
      </w:r>
      <w:r>
        <w:rPr>
          <w:vertAlign w:val="superscript"/>
        </w:rPr>
        <w:footnoteReference w:id="26"/>
      </w:r>
      <w:r>
        <w:t xml:space="preserve">。</w:t>
      </w:r>
    </w:p>
    <w:bookmarkEnd w:id="62"/>
    <w:bookmarkStart w:id="63" w:name="隐式prmprime的在线学习路径"/>
    <w:p>
      <w:pPr>
        <w:pStyle w:val="Heading4"/>
      </w:pPr>
      <w:r>
        <w:t xml:space="preserve">3.1.3 隐式PRM：PRIME的在线学习路径</w:t>
      </w:r>
    </w:p>
    <w:p>
      <w:pPr>
        <w:pStyle w:val="FirstParagraph"/>
      </w:pPr>
      <w:r>
        <w:t xml:space="preserve">PRIME（Process Reinforcement through Implicit Rewards, 2025）代表了一种根本不同的PRM构建思路：无需任何显式过程标注，而是从策略模型和参考模型的对数似然比中推导token级别的密集奖励</w:t>
      </w:r>
      <w:r>
        <w:t xml:space="preserve"> </w:t>
      </w:r>
      <w:fldSimple w:instr="NOTEREF _Ref_Footnote_21 \h \f">
        <w:r>
          <w:rPr>
            <w:vertAlign w:val="superscript"/>
          </w:rPr>
          <w:t>21</w:t>
        </w:r>
      </w:fldSimple>
      <w:r>
        <w:t xml:space="preserve">。其隐式过程奖励定义为</w:t>
      </w:r>
      <w:r>
        <w:t xml:space="preserve"> </w:t>
      </w:r>
      <m:oMath>
        <m:sSub>
          <m:e>
            <m:r>
              <m:t>r</m:t>
            </m:r>
          </m:e>
          <m:sub>
            <m:r>
              <m:t>ϕ</m:t>
            </m:r>
          </m:sub>
        </m:sSub>
        <m:d>
          <m:dPr>
            <m:begChr m:val="("/>
            <m:endChr m:val=")"/>
            <m:sepChr m:val=""/>
            <m:grow/>
          </m:dPr>
          <m:e>
            <m:sSub>
              <m:e>
                <m:r>
                  <m:t>y</m:t>
                </m:r>
              </m:e>
              <m:sub>
                <m:r>
                  <m:t>t</m:t>
                </m:r>
              </m:sub>
            </m:sSub>
          </m:e>
        </m:d>
        <m:box>
          <m:boxPr>
            <m:opEmu m:val="1"/>
          </m:boxPr>
          <m:e>
            <m:r>
              <m:rPr>
                <m:sty m:val="p"/>
              </m:rPr>
              <m:t>:=</m:t>
            </m:r>
          </m:e>
        </m:box>
        <m:r>
          <m:t>β</m:t>
        </m:r>
        <m:r>
          <m:rPr>
            <m:sty m:val="p"/>
          </m:rPr>
          <m:t>log</m:t>
        </m:r>
        <m:f>
          <m:fPr>
            <m:type m:val="bar"/>
          </m:fPr>
          <m:num>
            <m:sSub>
              <m:e>
                <m:r>
                  <m:t>π</m:t>
                </m:r>
              </m:e>
              <m:sub>
                <m:r>
                  <m:t>ϕ</m:t>
                </m:r>
              </m:sub>
            </m:sSub>
            <m:d>
              <m:dPr>
                <m:begChr m:val="("/>
                <m:endChr m:val=")"/>
                <m:sepChr m:val=""/>
                <m:grow/>
              </m:dPr>
              <m:e>
                <m:sSub>
                  <m:e>
                    <m:r>
                      <m:t>y</m:t>
                    </m:r>
                  </m:e>
                  <m:sub>
                    <m:r>
                      <m:t>t</m:t>
                    </m:r>
                  </m:sub>
                </m:sSub>
                <m:r>
                  <m:rPr>
                    <m:sty m:val="p"/>
                  </m:rPr>
                  <m:t>|</m:t>
                </m:r>
                <m:sSub>
                  <m:e>
                    <m:r>
                      <m:t>y</m:t>
                    </m:r>
                  </m:e>
                  <m:sub>
                    <m:r>
                      <m:rPr>
                        <m:sty m:val="p"/>
                      </m:rPr>
                      <m:t>&lt;</m:t>
                    </m:r>
                    <m:r>
                      <m:t>t</m:t>
                    </m:r>
                  </m:sub>
                </m:sSub>
              </m:e>
            </m:d>
          </m:num>
          <m:den>
            <m:sSub>
              <m:e>
                <m:r>
                  <m:t>π</m:t>
                </m:r>
              </m:e>
              <m:sub>
                <m:r>
                  <m:t>r</m:t>
                </m:r>
                <m:r>
                  <m:t>e</m:t>
                </m:r>
                <m:r>
                  <m:t>f</m:t>
                </m:r>
              </m:sub>
            </m:sSub>
            <m:d>
              <m:dPr>
                <m:begChr m:val="("/>
                <m:endChr m:val=")"/>
                <m:sepChr m:val=""/>
                <m:grow/>
              </m:dPr>
              <m:e>
                <m:sSub>
                  <m:e>
                    <m:r>
                      <m:t>y</m:t>
                    </m:r>
                  </m:e>
                  <m:sub>
                    <m:r>
                      <m:t>t</m:t>
                    </m:r>
                  </m:sub>
                </m:sSub>
                <m:r>
                  <m:rPr>
                    <m:sty m:val="p"/>
                  </m:rPr>
                  <m:t>|</m:t>
                </m:r>
                <m:sSub>
                  <m:e>
                    <m:r>
                      <m:t>y</m:t>
                    </m:r>
                  </m:e>
                  <m:sub>
                    <m:r>
                      <m:rPr>
                        <m:sty m:val="p"/>
                      </m:rPr>
                      <m:t>&lt;</m:t>
                    </m:r>
                    <m:r>
                      <m:t>t</m:t>
                    </m:r>
                  </m:sub>
                </m:sSub>
              </m:e>
            </m:d>
          </m:den>
        </m:f>
      </m:oMath>
      <w:r>
        <w:t xml:space="preserve">，即策略模型与参考模型在生成每个token时的概率差异。PRIME的核心优势在于策略和隐式PRM可以同时在线更新：策略通过强化学习优化，PRM通过交叉熵损失更新，两者仅需结果级标签驱动。实验表明，从Qwen2.5-Math-7B-Base出发，PRIME在多个数学和代码推理基准上平均提升15.1%，训练出Eurus-2-7B-PRIME模型</w:t>
      </w:r>
      <w:r>
        <w:t xml:space="preserve"> </w:t>
      </w:r>
      <w:fldSimple w:instr="NOTEREF _Ref_Footnote_21 \h \f">
        <w:r>
          <w:rPr>
            <w:vertAlign w:val="superscript"/>
          </w:rPr>
          <w:t>21</w:t>
        </w:r>
      </w:fldSimple>
      <w:r>
        <w:t xml:space="preserve">。PRIME开创了隐式信用分配（Implicit Credit Assignment, ICA）的研究方向，为后续FreePRM和ThinkPRM等工作奠定了理论基础。</w:t>
      </w:r>
    </w:p>
    <w:bookmarkEnd w:id="63"/>
    <w:bookmarkEnd w:id="64"/>
    <w:bookmarkStart w:id="72" w:name="信用分配方法全景"/>
    <w:p>
      <w:pPr>
        <w:pStyle w:val="Heading3"/>
      </w:pPr>
      <w:r>
        <w:t xml:space="preserve">3.2 信用分配方法全景</w:t>
      </w:r>
    </w:p>
    <w:p>
      <w:pPr>
        <w:pStyle w:val="FirstParagraph"/>
      </w:pPr>
      <w:r>
        <w:t xml:space="preserve">信用分配方法可按监督粒度划分为四个层级：token-level、step-level、segment-level和turn-level。每个层级在计算开销与估计精度之间存在根本性权衡，适用于不同的任务场景和计算约束。</w:t>
      </w:r>
    </w:p>
    <w:p>
      <w:pPr>
        <w:pStyle w:val="BodyText"/>
      </w:pPr>
      <w:r>
        <w:rPr>
          <w:bCs/>
          <w:b/>
        </w:rPr>
        <w:t xml:space="preserve">表2：信用分配方法粒度分类全景</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方法</w:t>
            </w:r>
          </w:p>
        </w:tc>
        <w:tc>
          <w:tcPr/>
          <w:p>
            <w:pPr>
              <w:pStyle w:val="Compact"/>
              <w:jc w:val="left"/>
            </w:pPr>
            <w:r>
              <w:t xml:space="preserve">粒度</w:t>
            </w:r>
          </w:p>
        </w:tc>
        <w:tc>
          <w:tcPr/>
          <w:p>
            <w:pPr>
              <w:pStyle w:val="Compact"/>
              <w:jc w:val="left"/>
            </w:pPr>
            <w:r>
              <w:t xml:space="preserve">核心机制</w:t>
            </w:r>
          </w:p>
        </w:tc>
        <w:tc>
          <w:tcPr/>
          <w:p>
            <w:pPr>
              <w:pStyle w:val="Compact"/>
              <w:jc w:val="left"/>
            </w:pPr>
            <w:r>
              <w:t xml:space="preserve">需辅助模型</w:t>
            </w:r>
          </w:p>
        </w:tc>
        <w:tc>
          <w:tcPr/>
          <w:p>
            <w:pPr>
              <w:pStyle w:val="Compact"/>
              <w:jc w:val="left"/>
            </w:pPr>
            <w:r>
              <w:t xml:space="preserve">计算开销</w:t>
            </w:r>
          </w:p>
        </w:tc>
        <w:tc>
          <w:tcPr/>
          <w:p>
            <w:pPr>
              <w:pStyle w:val="Compact"/>
              <w:jc w:val="left"/>
            </w:pPr>
            <w:r>
              <w:t xml:space="preserve">精度</w:t>
            </w:r>
          </w:p>
        </w:tc>
        <w:tc>
          <w:tcPr/>
          <w:p>
            <w:pPr>
              <w:pStyle w:val="Compact"/>
              <w:jc w:val="left"/>
            </w:pPr>
            <w:r>
              <w:t xml:space="preserve">场景</w:t>
            </w:r>
          </w:p>
        </w:tc>
      </w:tr>
      <w:tr>
        <w:tc>
          <w:tcPr/>
          <w:p>
            <w:pPr>
              <w:pStyle w:val="Compact"/>
              <w:jc w:val="left"/>
            </w:pPr>
            <w:r>
              <w:t xml:space="preserve">VinePPO</w:t>
            </w:r>
            <w:r>
              <w:t xml:space="preserve"> </w:t>
            </w:r>
            <w:fldSimple w:instr="NOTEREF _Ref_Footnote_12 \h \f">
              <w:r>
                <w:rPr>
                  <w:vertAlign w:val="superscript"/>
                </w:rPr>
                <w:t>12</w:t>
              </w:r>
            </w:fldSimple>
          </w:p>
        </w:tc>
        <w:tc>
          <w:tcPr/>
          <w:p>
            <w:pPr>
              <w:pStyle w:val="Compact"/>
              <w:jc w:val="left"/>
            </w:pPr>
            <w:r>
              <w:t xml:space="preserve">Token</w:t>
            </w:r>
          </w:p>
        </w:tc>
        <w:tc>
          <w:tcPr/>
          <w:p>
            <w:pPr>
              <w:pStyle w:val="Compact"/>
              <w:jc w:val="left"/>
            </w:pPr>
            <w:r>
              <w:t xml:space="preserve">无偏MC价值估计：每token分叉K条vine rollout</w:t>
            </w:r>
          </w:p>
        </w:tc>
        <w:tc>
          <w:tcPr/>
          <w:p>
            <w:pPr>
              <w:pStyle w:val="Compact"/>
              <w:jc w:val="left"/>
            </w:pPr>
            <w:r>
              <w:t xml:space="preserve">否</w:t>
            </w:r>
          </w:p>
        </w:tc>
        <w:tc>
          <w:tcPr/>
          <w:p>
            <w:pPr>
              <w:pStyle w:val="Compact"/>
              <w:jc w:val="left"/>
            </w:pPr>
            <w:r>
              <w:t xml:space="preserve">高（</w:t>
            </w:r>
            <m:oMath>
              <m:r>
                <m:t>O</m:t>
              </m:r>
              <m:d>
                <m:dPr>
                  <m:begChr m:val="("/>
                  <m:endChr m:val=")"/>
                  <m:sepChr m:val=""/>
                  <m:grow/>
                </m:dPr>
                <m:e>
                  <m:r>
                    <m:t>K</m:t>
                  </m:r>
                  <m:r>
                    <m:rPr>
                      <m:sty m:val="p"/>
                    </m:rPr>
                    <m:t>⋅</m:t>
                  </m:r>
                  <m:r>
                    <m:t>L</m:t>
                  </m:r>
                </m:e>
              </m:d>
            </m:oMath>
            <w:r>
              <w:t xml:space="preserve">）</w:t>
            </w:r>
          </w:p>
        </w:tc>
        <w:tc>
          <w:tcPr/>
          <w:p>
            <w:pPr>
              <w:pStyle w:val="Compact"/>
              <w:jc w:val="left"/>
            </w:pPr>
            <w:r>
              <w:t xml:space="preserve">最高</w:t>
            </w:r>
          </w:p>
        </w:tc>
        <w:tc>
          <w:tcPr/>
          <w:p>
            <w:pPr>
              <w:pStyle w:val="Compact"/>
              <w:jc w:val="left"/>
            </w:pPr>
            <w:r>
              <w:t xml:space="preserve">长推理链</w:t>
            </w:r>
          </w:p>
        </w:tc>
      </w:tr>
      <w:tr>
        <w:tc>
          <w:tcPr/>
          <w:p>
            <w:pPr>
              <w:pStyle w:val="Compact"/>
              <w:jc w:val="left"/>
            </w:pPr>
            <w:r>
              <w:t xml:space="preserve">RED</w:t>
            </w:r>
            <w:r>
              <w:t xml:space="preserve"> </w:t>
            </w:r>
            <w:fldSimple w:instr="NOTEREF _Ref_Footnote_6 \h \f">
              <w:r>
                <w:rPr>
                  <w:vertAlign w:val="superscript"/>
                </w:rPr>
                <w:t>6</w:t>
              </w:r>
            </w:fldSimple>
          </w:p>
        </w:tc>
        <w:tc>
          <w:tcPr/>
          <w:p>
            <w:pPr>
              <w:pStyle w:val="Compact"/>
              <w:jc w:val="left"/>
            </w:pPr>
            <w:r>
              <w:t xml:space="preserve">Token</w:t>
            </w:r>
          </w:p>
        </w:tc>
        <w:tc>
          <w:tcPr/>
          <w:p>
            <w:pPr>
              <w:pStyle w:val="Compact"/>
              <w:jc w:val="left"/>
            </w:pPr>
            <w:r>
              <w:t xml:space="preserve">从RM隐藏层提取token级边际贡献</w:t>
            </w:r>
          </w:p>
        </w:tc>
        <w:tc>
          <w:tcPr/>
          <w:p>
            <w:pPr>
              <w:pStyle w:val="Compact"/>
              <w:jc w:val="left"/>
            </w:pPr>
            <w:r>
              <w:t xml:space="preserve">需RM</w:t>
            </w:r>
          </w:p>
        </w:tc>
        <w:tc>
          <w:tcPr/>
          <w:p>
            <w:pPr>
              <w:pStyle w:val="Compact"/>
              <w:jc w:val="left"/>
            </w:pPr>
            <w:r>
              <w:t xml:space="preserve">低（零额外RL成本）</w:t>
            </w:r>
          </w:p>
        </w:tc>
        <w:tc>
          <w:tcPr/>
          <w:p>
            <w:pPr>
              <w:pStyle w:val="Compact"/>
              <w:jc w:val="left"/>
            </w:pPr>
            <w:r>
              <w:t xml:space="preserve">高</w:t>
            </w:r>
          </w:p>
        </w:tc>
        <w:tc>
          <w:tcPr/>
          <w:p>
            <w:pPr>
              <w:pStyle w:val="Compact"/>
              <w:jc w:val="left"/>
            </w:pPr>
            <w:r>
              <w:t xml:space="preserve">已有RM复用</w:t>
            </w:r>
          </w:p>
        </w:tc>
      </w:tr>
      <w:tr>
        <w:tc>
          <w:tcPr/>
          <w:p>
            <w:pPr>
              <w:pStyle w:val="Compact"/>
              <w:jc w:val="left"/>
            </w:pPr>
            <w:r>
              <w:t xml:space="preserve">T-REG</w:t>
            </w:r>
            <w:r>
              <w:t xml:space="preserve"> </w:t>
            </w:r>
            <w:r>
              <w:rPr>
                <w:vertAlign w:val="superscript"/>
              </w:rPr>
              <w:footnoteReference w:id="27"/>
            </w:r>
          </w:p>
        </w:tc>
        <w:tc>
          <w:tcPr/>
          <w:p>
            <w:pPr>
              <w:pStyle w:val="Compact"/>
              <w:jc w:val="left"/>
            </w:pPr>
            <w:r>
              <w:t xml:space="preserve">Token</w:t>
            </w:r>
          </w:p>
        </w:tc>
        <w:tc>
          <w:tcPr/>
          <w:p>
            <w:pPr>
              <w:pStyle w:val="Compact"/>
              <w:jc w:val="left"/>
            </w:pPr>
            <w:r>
              <w:t xml:space="preserve">对比自提示生成正确/错误解的log-prob差异</w:t>
            </w:r>
          </w:p>
        </w:tc>
        <w:tc>
          <w:tcPr/>
          <w:p>
            <w:pPr>
              <w:pStyle w:val="Compact"/>
              <w:jc w:val="left"/>
            </w:pPr>
            <w:r>
              <w:t xml:space="preserve">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偏好优化</w:t>
            </w:r>
          </w:p>
        </w:tc>
      </w:tr>
      <w:tr>
        <w:tc>
          <w:tcPr/>
          <w:p>
            <w:pPr>
              <w:pStyle w:val="Compact"/>
              <w:jc w:val="left"/>
            </w:pPr>
            <w:r>
              <w:t xml:space="preserve">TEMPO</w:t>
            </w:r>
            <w:r>
              <w:t xml:space="preserve"> </w:t>
            </w:r>
            <w:r>
              <w:rPr>
                <w:vertAlign w:val="superscript"/>
              </w:rPr>
              <w:footnoteReference w:id="28"/>
            </w:r>
          </w:p>
        </w:tc>
        <w:tc>
          <w:tcPr/>
          <w:p>
            <w:pPr>
              <w:pStyle w:val="Compact"/>
              <w:jc w:val="left"/>
            </w:pPr>
            <w:r>
              <w:t xml:space="preserve">Token/Seg</w:t>
            </w:r>
          </w:p>
        </w:tc>
        <w:tc>
          <w:tcPr/>
          <w:p>
            <w:pPr>
              <w:pStyle w:val="Compact"/>
              <w:jc w:val="left"/>
            </w:pPr>
            <w:r>
              <w:t xml:space="preserve">Prefix-to-Tree + branch-gated TD修正</w:t>
            </w:r>
          </w:p>
        </w:tc>
        <w:tc>
          <w:tcPr/>
          <w:p>
            <w:pPr>
              <w:pStyle w:val="Compact"/>
              <w:jc w:val="left"/>
            </w:pPr>
            <w:r>
              <w:t xml:space="preserve">否</w:t>
            </w:r>
          </w:p>
        </w:tc>
        <w:tc>
          <w:tcPr/>
          <w:p>
            <w:pPr>
              <w:pStyle w:val="Compact"/>
              <w:jc w:val="left"/>
            </w:pPr>
            <w:r>
              <w:t xml:space="preserve">中</w:t>
            </w:r>
          </w:p>
        </w:tc>
        <w:tc>
          <w:tcPr/>
          <w:p>
            <w:pPr>
              <w:pStyle w:val="Compact"/>
              <w:jc w:val="left"/>
            </w:pPr>
            <w:r>
              <w:t xml:space="preserve">高</w:t>
            </w:r>
          </w:p>
        </w:tc>
        <w:tc>
          <w:tcPr/>
          <w:p>
            <w:pPr>
              <w:pStyle w:val="Compact"/>
              <w:jc w:val="left"/>
            </w:pPr>
            <w:r>
              <w:t xml:space="preserve">短/长CoT</w:t>
            </w:r>
          </w:p>
        </w:tc>
      </w:tr>
      <w:tr>
        <w:tc>
          <w:tcPr/>
          <w:p>
            <w:pPr>
              <w:pStyle w:val="Compact"/>
              <w:jc w:val="left"/>
            </w:pPr>
            <w:r>
              <w:t xml:space="preserve">PURE</w:t>
            </w:r>
            <w:r>
              <w:t xml:space="preserve"> </w:t>
            </w:r>
            <w:r>
              <w:rPr>
                <w:vertAlign w:val="superscript"/>
              </w:rPr>
              <w:footnoteReference w:id="29"/>
            </w:r>
          </w:p>
        </w:tc>
        <w:tc>
          <w:tcPr/>
          <w:p>
            <w:pPr>
              <w:pStyle w:val="Compact"/>
              <w:jc w:val="left"/>
            </w:pPr>
            <w:r>
              <w:t xml:space="preserve">Step</w:t>
            </w:r>
          </w:p>
        </w:tc>
        <w:tc>
          <w:tcPr/>
          <w:p>
            <w:pPr>
              <w:pStyle w:val="Compact"/>
              <w:jc w:val="left"/>
            </w:pPr>
            <w:r>
              <w:t xml:space="preserve">Min-form</w:t>
            </w:r>
            <w:r>
              <w:t xml:space="preserve"> </w:t>
            </w:r>
            <m:oMath>
              <m:r>
                <m:t>V</m:t>
              </m:r>
              <m:d>
                <m:dPr>
                  <m:begChr m:val="("/>
                  <m:endChr m:val=")"/>
                  <m:sepChr m:val=""/>
                  <m:grow/>
                </m:dPr>
                <m:e>
                  <m:sSub>
                    <m:e>
                      <m:r>
                        <m:t>s</m:t>
                      </m:r>
                    </m:e>
                    <m:sub>
                      <m:r>
                        <m:t>t</m:t>
                      </m:r>
                    </m:sub>
                  </m:sSub>
                </m:e>
              </m:d>
              <m:r>
                <m:rPr>
                  <m:sty m:val="p"/>
                </m:rPr>
                <m:t>=</m:t>
              </m:r>
              <m:r>
                <m:rPr>
                  <m:sty m:val="p"/>
                </m:rPr>
                <m:t>min</m:t>
              </m:r>
              <m:sSub>
                <m:e>
                  <m:r>
                    <m:t>r</m:t>
                  </m:r>
                </m:e>
                <m:sub>
                  <m:r>
                    <m:t>τ</m:t>
                  </m:r>
                </m:sub>
              </m:sSub>
            </m:oMath>
            <w:r>
              <w:t xml:space="preserve"> </w:t>
            </w:r>
            <w:r>
              <w:t xml:space="preserve">替代求和</w:t>
            </w:r>
          </w:p>
        </w:tc>
        <w:tc>
          <w:tcPr/>
          <w:p>
            <w:pPr>
              <w:pStyle w:val="Compact"/>
              <w:jc w:val="left"/>
            </w:pPr>
            <w:r>
              <w:t xml:space="preserve">需PRM</w:t>
            </w:r>
          </w:p>
        </w:tc>
        <w:tc>
          <w:tcPr/>
          <w:p>
            <w:pPr>
              <w:pStyle w:val="Compact"/>
              <w:jc w:val="left"/>
            </w:pPr>
            <w:r>
              <w:t xml:space="preserve">中</w:t>
            </w:r>
          </w:p>
        </w:tc>
        <w:tc>
          <w:tcPr/>
          <w:p>
            <w:pPr>
              <w:pStyle w:val="Compact"/>
              <w:jc w:val="left"/>
            </w:pPr>
            <w:r>
              <w:t xml:space="preserve">高</w:t>
            </w:r>
          </w:p>
        </w:tc>
        <w:tc>
          <w:tcPr/>
          <w:p>
            <w:pPr>
              <w:pStyle w:val="Compact"/>
              <w:jc w:val="left"/>
            </w:pPr>
            <w:r>
              <w:t xml:space="preserve">竞赛数学</w:t>
            </w:r>
          </w:p>
        </w:tc>
      </w:tr>
      <w:tr>
        <w:tc>
          <w:tcPr/>
          <w:p>
            <w:pPr>
              <w:pStyle w:val="Compact"/>
              <w:jc w:val="left"/>
            </w:pPr>
            <w:r>
              <w:t xml:space="preserve">SPRO</w:t>
            </w:r>
            <w:r>
              <w:t xml:space="preserve"> </w:t>
            </w:r>
            <w:r>
              <w:rPr>
                <w:vertAlign w:val="superscript"/>
              </w:rPr>
              <w:footnoteReference w:id="30"/>
            </w:r>
          </w:p>
        </w:tc>
        <w:tc>
          <w:tcPr/>
          <w:p>
            <w:pPr>
              <w:pStyle w:val="Compact"/>
              <w:jc w:val="left"/>
            </w:pPr>
            <w:r>
              <w:t xml:space="preserve">Step</w:t>
            </w:r>
          </w:p>
        </w:tc>
        <w:tc>
          <w:tcPr/>
          <w:p>
            <w:pPr>
              <w:pStyle w:val="Compact"/>
              <w:jc w:val="left"/>
            </w:pPr>
            <w:r>
              <w:t xml:space="preserve">从策略本身推导CPR+MSA，critic-free</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工业部署</w:t>
            </w:r>
          </w:p>
        </w:tc>
      </w:tr>
      <w:tr>
        <w:tc>
          <w:tcPr/>
          <w:p>
            <w:pPr>
              <w:pStyle w:val="Compact"/>
              <w:jc w:val="left"/>
            </w:pPr>
            <w:r>
              <w:t xml:space="preserve">CAPO</w:t>
            </w:r>
            <w:r>
              <w:t xml:space="preserve"> </w:t>
            </w:r>
            <w:r>
              <w:rPr>
                <w:vertAlign w:val="superscript"/>
              </w:rPr>
              <w:footnoteReference w:id="31"/>
            </w:r>
          </w:p>
        </w:tc>
        <w:tc>
          <w:tcPr/>
          <w:p>
            <w:pPr>
              <w:pStyle w:val="Compact"/>
              <w:jc w:val="left"/>
            </w:pPr>
            <w:r>
              <w:t xml:space="preserve">Step</w:t>
            </w:r>
          </w:p>
        </w:tc>
        <w:tc>
          <w:tcPr/>
          <w:p>
            <w:pPr>
              <w:pStyle w:val="Compact"/>
              <w:jc w:val="left"/>
            </w:pPr>
            <w:r>
              <w:t xml:space="preserve">LLM-as-Critic生成式PRM自我批评</w:t>
            </w:r>
          </w:p>
        </w:tc>
        <w:tc>
          <w:tcPr/>
          <w:p>
            <w:pPr>
              <w:pStyle w:val="Compact"/>
              <w:jc w:val="left"/>
            </w:pPr>
            <w:r>
              <w:t xml:space="preserve">需LLM</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自包含系统</w:t>
            </w:r>
          </w:p>
        </w:tc>
      </w:tr>
      <w:tr>
        <w:tc>
          <w:tcPr/>
          <w:p>
            <w:pPr>
              <w:pStyle w:val="Compact"/>
              <w:jc w:val="left"/>
            </w:pPr>
            <w:r>
              <w:t xml:space="preserve">ACPO</w:t>
            </w:r>
            <w:r>
              <w:t xml:space="preserve"> </w:t>
            </w:r>
            <w:r>
              <w:rPr>
                <w:vertAlign w:val="superscript"/>
              </w:rPr>
              <w:footnoteReference w:id="32"/>
            </w:r>
          </w:p>
        </w:tc>
        <w:tc>
          <w:tcPr/>
          <w:p>
            <w:pPr>
              <w:pStyle w:val="Compact"/>
              <w:jc w:val="left"/>
            </w:pPr>
            <w:r>
              <w:t xml:space="preserve">Step</w:t>
            </w:r>
          </w:p>
        </w:tc>
        <w:tc>
          <w:tcPr/>
          <w:p>
            <w:pPr>
              <w:pStyle w:val="Compact"/>
              <w:jc w:val="left"/>
            </w:pPr>
            <w:r>
              <w:t xml:space="preserve">梯度归因分解结果奖励为步级贡献</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w:t>
            </w:r>
          </w:p>
        </w:tc>
        <w:tc>
          <w:tcPr/>
          <w:p>
            <w:pPr>
              <w:pStyle w:val="Compact"/>
              <w:jc w:val="left"/>
            </w:pPr>
            <w:r>
              <w:t xml:space="preserve">课程学习</w:t>
            </w:r>
          </w:p>
        </w:tc>
      </w:tr>
      <w:tr>
        <w:tc>
          <w:tcPr/>
          <w:p>
            <w:pPr>
              <w:pStyle w:val="Compact"/>
              <w:jc w:val="left"/>
            </w:pPr>
            <w:r>
              <w:t xml:space="preserve">HICRA</w:t>
            </w:r>
            <w:r>
              <w:t xml:space="preserve"> </w:t>
            </w:r>
            <w:r>
              <w:rPr>
                <w:vertAlign w:val="superscript"/>
              </w:rPr>
              <w:footnoteReference w:id="33"/>
            </w:r>
          </w:p>
        </w:tc>
        <w:tc>
          <w:tcPr/>
          <w:p>
            <w:pPr>
              <w:pStyle w:val="Compact"/>
              <w:jc w:val="left"/>
            </w:pPr>
            <w:r>
              <w:t xml:space="preserve">Step</w:t>
            </w:r>
          </w:p>
        </w:tc>
        <w:tc>
          <w:tcPr/>
          <w:p>
            <w:pPr>
              <w:pStyle w:val="Compact"/>
              <w:jc w:val="left"/>
            </w:pPr>
            <w:r>
              <w:t xml:space="preserve">关注高影响力规划token的两阶段动态</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复杂推理</w:t>
            </w:r>
          </w:p>
        </w:tc>
      </w:tr>
      <w:tr>
        <w:tc>
          <w:tcPr/>
          <w:p>
            <w:pPr>
              <w:pStyle w:val="Compact"/>
              <w:jc w:val="left"/>
            </w:pPr>
            <w:r>
              <w:t xml:space="preserve">SPO</w:t>
            </w:r>
            <w:r>
              <w:t xml:space="preserve"> </w:t>
            </w:r>
            <w:r>
              <w:rPr>
                <w:vertAlign w:val="superscript"/>
              </w:rPr>
              <w:footnoteReference w:id="34"/>
            </w:r>
          </w:p>
        </w:tc>
        <w:tc>
          <w:tcPr/>
          <w:p>
            <w:pPr>
              <w:pStyle w:val="Compact"/>
              <w:jc w:val="left"/>
            </w:pPr>
            <w:r>
              <w:t xml:space="preserve">Segment</w:t>
            </w:r>
          </w:p>
        </w:tc>
        <w:tc>
          <w:tcPr/>
          <w:p>
            <w:pPr>
              <w:pStyle w:val="Compact"/>
              <w:jc w:val="left"/>
            </w:pPr>
            <w:r>
              <w:t xml:space="preserve">MC段级优势估计（chain/tree双实例）</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通用推理</w:t>
            </w:r>
          </w:p>
        </w:tc>
      </w:tr>
      <w:tr>
        <w:tc>
          <w:tcPr/>
          <w:p>
            <w:pPr>
              <w:pStyle w:val="Compact"/>
              <w:jc w:val="left"/>
            </w:pPr>
            <w:r>
              <w:t xml:space="preserve">SCAR</w:t>
            </w:r>
            <w:r>
              <w:t xml:space="preserve"> </w:t>
            </w:r>
            <w:r>
              <w:rPr>
                <w:vertAlign w:val="superscript"/>
              </w:rPr>
              <w:footnoteReference w:id="35"/>
            </w:r>
          </w:p>
        </w:tc>
        <w:tc>
          <w:tcPr/>
          <w:p>
            <w:pPr>
              <w:pStyle w:val="Compact"/>
              <w:jc w:val="left"/>
            </w:pPr>
            <w:r>
              <w:t xml:space="preserve">Segment</w:t>
            </w:r>
          </w:p>
        </w:tc>
        <w:tc>
          <w:tcPr/>
          <w:p>
            <w:pPr>
              <w:pStyle w:val="Compact"/>
              <w:jc w:val="left"/>
            </w:pPr>
            <w:r>
              <w:t xml:space="preserve">Shapley值从合作博弈论分配边际贡献</w:t>
            </w:r>
          </w:p>
        </w:tc>
        <w:tc>
          <w:tcPr/>
          <w:p>
            <w:pPr>
              <w:pStyle w:val="Compact"/>
              <w:jc w:val="left"/>
            </w:pPr>
            <w:r>
              <w:t xml:space="preserve">否</w:t>
            </w:r>
          </w:p>
        </w:tc>
        <w:tc>
          <w:tcPr/>
          <w:p>
            <w:pPr>
              <w:pStyle w:val="Compact"/>
              <w:jc w:val="left"/>
            </w:pPr>
            <w:r>
              <w:t xml:space="preserve">高</w:t>
            </w:r>
          </w:p>
        </w:tc>
        <w:tc>
          <w:tcPr/>
          <w:p>
            <w:pPr>
              <w:pStyle w:val="Compact"/>
              <w:jc w:val="left"/>
            </w:pPr>
            <w:r>
              <w:t xml:space="preserve">高</w:t>
            </w:r>
          </w:p>
        </w:tc>
        <w:tc>
          <w:tcPr/>
          <w:p>
            <w:pPr>
              <w:pStyle w:val="Compact"/>
              <w:jc w:val="left"/>
            </w:pPr>
            <w:r>
              <w:t xml:space="preserve">通用RLHF</w:t>
            </w:r>
          </w:p>
        </w:tc>
      </w:tr>
      <w:tr>
        <w:tc>
          <w:tcPr/>
          <w:p>
            <w:pPr>
              <w:pStyle w:val="Compact"/>
              <w:jc w:val="left"/>
            </w:pPr>
            <w:r>
              <w:t xml:space="preserve">ArCHer</w:t>
            </w:r>
            <w:r>
              <w:t xml:space="preserve"> </w:t>
            </w:r>
            <w:r>
              <w:rPr>
                <w:vertAlign w:val="superscript"/>
              </w:rPr>
              <w:footnoteReference w:id="36"/>
            </w:r>
          </w:p>
        </w:tc>
        <w:tc>
          <w:tcPr/>
          <w:p>
            <w:pPr>
              <w:pStyle w:val="Compact"/>
              <w:jc w:val="left"/>
            </w:pPr>
            <w:r>
              <w:t xml:space="preserve">Turn</w:t>
            </w:r>
          </w:p>
        </w:tc>
        <w:tc>
          <w:tcPr/>
          <w:p>
            <w:pPr>
              <w:pStyle w:val="Compact"/>
              <w:jc w:val="left"/>
            </w:pPr>
            <w:r>
              <w:t xml:space="preserve">两级架构：高级off-policy critic + 低级on-policy actor</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多轮Agent</w:t>
            </w:r>
          </w:p>
        </w:tc>
      </w:tr>
      <w:tr>
        <w:tc>
          <w:tcPr/>
          <w:p>
            <w:pPr>
              <w:pStyle w:val="Compact"/>
              <w:jc w:val="left"/>
            </w:pPr>
            <w:r>
              <w:t xml:space="preserve">GiGPO</w:t>
            </w:r>
            <w:r>
              <w:t xml:space="preserve"> </w:t>
            </w:r>
            <w:r>
              <w:rPr>
                <w:vertAlign w:val="superscript"/>
              </w:rPr>
              <w:footnoteReference w:id="37"/>
            </w:r>
          </w:p>
        </w:tc>
        <w:tc>
          <w:tcPr/>
          <w:p>
            <w:pPr>
              <w:pStyle w:val="Compact"/>
              <w:jc w:val="left"/>
            </w:pPr>
            <w:r>
              <w:t xml:space="preserve">Step</w:t>
            </w:r>
          </w:p>
        </w:tc>
        <w:tc>
          <w:tcPr/>
          <w:p>
            <w:pPr>
              <w:pStyle w:val="Compact"/>
              <w:jc w:val="left"/>
            </w:pPr>
            <w:r>
              <w:t xml:space="preserve">两级优势：外层轨迹比较+内层anchor分组</w:t>
            </w:r>
          </w:p>
        </w:tc>
        <w:tc>
          <w:tcPr/>
          <w:p>
            <w:pPr>
              <w:pStyle w:val="Compact"/>
              <w:jc w:val="left"/>
            </w:pPr>
            <w:r>
              <w:t xml:space="preserve">否</w:t>
            </w:r>
          </w:p>
        </w:tc>
        <w:tc>
          <w:tcPr/>
          <w:p>
            <w:pPr>
              <w:pStyle w:val="Compact"/>
              <w:jc w:val="left"/>
            </w:pPr>
            <w:r>
              <w:t xml:space="preserve">低</w:t>
            </w:r>
          </w:p>
        </w:tc>
        <w:tc>
          <w:tcPr/>
          <w:p>
            <w:pPr>
              <w:pStyle w:val="Compact"/>
              <w:jc w:val="left"/>
            </w:pPr>
            <w:r>
              <w:t xml:space="preserve">中</w:t>
            </w:r>
          </w:p>
        </w:tc>
        <w:tc>
          <w:tcPr/>
          <w:p>
            <w:pPr>
              <w:pStyle w:val="Compact"/>
              <w:jc w:val="left"/>
            </w:pPr>
            <w:r>
              <w:t xml:space="preserve">Agent训练</w:t>
            </w:r>
          </w:p>
        </w:tc>
      </w:tr>
      <w:tr>
        <w:tc>
          <w:tcPr/>
          <w:p>
            <w:pPr>
              <w:pStyle w:val="Compact"/>
              <w:jc w:val="left"/>
            </w:pPr>
            <w:r>
              <w:t xml:space="preserve">SWEET-RL</w:t>
            </w:r>
            <w:r>
              <w:t xml:space="preserve"> </w:t>
            </w:r>
            <w:r>
              <w:rPr>
                <w:vertAlign w:val="superscript"/>
              </w:rPr>
              <w:footnoteReference w:id="38"/>
            </w:r>
          </w:p>
        </w:tc>
        <w:tc>
          <w:tcPr/>
          <w:p>
            <w:pPr>
              <w:pStyle w:val="Compact"/>
              <w:jc w:val="left"/>
            </w:pPr>
            <w:r>
              <w:t xml:space="preserve">Turn</w:t>
            </w:r>
          </w:p>
        </w:tc>
        <w:tc>
          <w:tcPr/>
          <w:p>
            <w:pPr>
              <w:pStyle w:val="Compact"/>
              <w:jc w:val="left"/>
            </w:pPr>
            <w:r>
              <w:t xml:space="preserve">Privileged critic条件于训练时特权信息</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多轮交互</w:t>
            </w:r>
          </w:p>
        </w:tc>
      </w:tr>
      <w:tr>
        <w:tc>
          <w:tcPr/>
          <w:p>
            <w:pPr>
              <w:pStyle w:val="Compact"/>
              <w:jc w:val="left"/>
            </w:pPr>
            <w:r>
              <w:t xml:space="preserve">AgentPRM</w:t>
            </w:r>
            <w:r>
              <w:t xml:space="preserve"> </w:t>
            </w:r>
            <w:r>
              <w:rPr>
                <w:vertAlign w:val="superscript"/>
              </w:rPr>
              <w:footnoteReference w:id="39"/>
            </w:r>
          </w:p>
        </w:tc>
        <w:tc>
          <w:tcPr/>
          <w:p>
            <w:pPr>
              <w:pStyle w:val="Compact"/>
              <w:jc w:val="left"/>
            </w:pPr>
            <w:r>
              <w:t xml:space="preserve">Step</w:t>
            </w:r>
          </w:p>
        </w:tc>
        <w:tc>
          <w:tcPr/>
          <w:p>
            <w:pPr>
              <w:pStyle w:val="Compact"/>
              <w:jc w:val="left"/>
            </w:pPr>
            <w:r>
              <w:t xml:space="preserve">TD+GAE替代MC，promise+progress双评分</w:t>
            </w:r>
          </w:p>
        </w:tc>
        <w:tc>
          <w:tcPr/>
          <w:p>
            <w:pPr>
              <w:pStyle w:val="Compact"/>
              <w:jc w:val="left"/>
            </w:pPr>
            <w:r>
              <w:t xml:space="preserve">需Critic</w:t>
            </w:r>
          </w:p>
        </w:tc>
        <w:tc>
          <w:tcPr/>
          <w:p>
            <w:pPr>
              <w:pStyle w:val="Compact"/>
              <w:jc w:val="left"/>
            </w:pPr>
            <w:r>
              <w:t xml:space="preserve">中</w:t>
            </w:r>
          </w:p>
        </w:tc>
        <w:tc>
          <w:tcPr/>
          <w:p>
            <w:pPr>
              <w:pStyle w:val="Compact"/>
              <w:jc w:val="left"/>
            </w:pPr>
            <w:r>
              <w:t xml:space="preserve">中高</w:t>
            </w:r>
          </w:p>
        </w:tc>
        <w:tc>
          <w:tcPr/>
          <w:p>
            <w:pPr>
              <w:pStyle w:val="Compact"/>
              <w:jc w:val="left"/>
            </w:pPr>
            <w:r>
              <w:t xml:space="preserve">工具使用Agent</w:t>
            </w:r>
          </w:p>
        </w:tc>
      </w:tr>
    </w:tbl>
    <w:p>
      <w:pPr>
        <w:pStyle w:val="BodyText"/>
      </w:pPr>
      <w:r>
        <w:t xml:space="preserve">上表涵盖了从token到turn的全谱系方法。关键观察有三：其一，critic-free方法（T-REG、SPRO、GiGPO、SPO、SCAR）在2025年密集涌现，反映了工业界对低部署成本方案的强烈需求；其二，step-level方法数量最多（PURE、SPRO、CAPO、ACPO、HICRA），表明该粒度在精度与实用性之间取得了最佳平衡；其三，Agent-level方法普遍需要辅助模型（critic或privileged信息），因为多轮交互中的部分可观察性使无模型估计面临根本性困难</w:t>
      </w:r>
      <w:r>
        <w:t xml:space="preserve"> </w:t>
      </w:r>
      <w:fldSimple w:instr="NOTEREF _Ref_Footnote_1 \h \f">
        <w:r>
          <w:rPr>
            <w:vertAlign w:val="superscript"/>
          </w:rPr>
          <w:t>1</w:t>
        </w:r>
      </w:fldSimple>
      <w:r>
        <w:t xml:space="preserve">。</w:t>
      </w:r>
    </w:p>
    <w:bookmarkStart w:id="65" w:name="token-level信用分配最细粒度的无偏估计"/>
    <w:p>
      <w:pPr>
        <w:pStyle w:val="Heading4"/>
      </w:pPr>
      <w:r>
        <w:t xml:space="preserve">3.2.1 Token-level信用分配：最细粒度的无偏估计</w:t>
      </w:r>
    </w:p>
    <w:p>
      <w:pPr>
        <w:pStyle w:val="FirstParagraph"/>
      </w:pPr>
      <w:r>
        <w:t xml:space="preserve">VinePPO（ICML 2025）是token-level信用分配的理论最优美实现。其核心机制是在每个token位置分叉</w:t>
      </w:r>
      <w:r>
        <w:t xml:space="preserve"> </w:t>
      </w:r>
      <m:oMath>
        <m:r>
          <m:t>K</m:t>
        </m:r>
      </m:oMath>
      <w:r>
        <w:t xml:space="preserve"> </w:t>
      </w:r>
      <w:r>
        <w:t xml:space="preserve">条独立continuation（称为”vine”），评估每条路径的最终奖励，以此构建无偏的token级价值估计：</w:t>
      </w:r>
      <m:oMath>
        <m:r>
          <m:t>V</m:t>
        </m:r>
        <m:d>
          <m:dPr>
            <m:begChr m:val="("/>
            <m:endChr m:val=")"/>
            <m:sepChr m:val=""/>
            <m:grow/>
          </m:dPr>
          <m:e>
            <m:sSub>
              <m:e>
                <m:r>
                  <m:t>s</m:t>
                </m:r>
              </m:e>
              <m:sub>
                <m:r>
                  <m:t>t</m:t>
                </m:r>
              </m:sub>
            </m:sSub>
          </m:e>
        </m:d>
        <m:r>
          <m:rPr>
            <m:sty m:val="p"/>
          </m:rPr>
          <m:t>≈</m:t>
        </m:r>
        <m:f>
          <m:fPr>
            <m:type m:val="bar"/>
          </m:fPr>
          <m:num>
            <m:r>
              <m:t>1</m:t>
            </m:r>
          </m:num>
          <m:den>
            <m:r>
              <m:t>K</m:t>
            </m:r>
          </m:den>
        </m:f>
        <m:nary>
          <m:naryPr>
            <m:chr m:val="∑"/>
            <m:limLoc m:val="undOvr"/>
            <m:subHide m:val="0"/>
            <m:supHide m:val="0"/>
          </m:naryPr>
          <m:sub>
            <m:r>
              <m:t>k</m:t>
            </m:r>
            <m:r>
              <m:rPr>
                <m:sty m:val="p"/>
              </m:rPr>
              <m:t>=</m:t>
            </m:r>
            <m:r>
              <m:t>1</m:t>
            </m:r>
          </m:sub>
          <m:sup>
            <m:r>
              <m:t>K</m:t>
            </m:r>
          </m:sup>
          <m:e>
            <m:r>
              <m:t>R</m:t>
            </m:r>
          </m:e>
        </m:nary>
        <m:d>
          <m:dPr>
            <m:begChr m:val="("/>
            <m:endChr m:val=")"/>
            <m:sepChr m:val=""/>
            <m:grow/>
          </m:dPr>
          <m:e>
            <m:sSubSup>
              <m:e>
                <m:r>
                  <m:t>τ</m:t>
                </m:r>
              </m:e>
              <m:sub>
                <m:r>
                  <m:t>t</m:t>
                </m:r>
              </m:sub>
              <m:sup>
                <m:d>
                  <m:dPr>
                    <m:begChr m:val="("/>
                    <m:endChr m:val=")"/>
                    <m:sepChr m:val=""/>
                    <m:grow/>
                  </m:dPr>
                  <m:e>
                    <m:r>
                      <m:t>k</m:t>
                    </m:r>
                  </m:e>
                </m:d>
              </m:sup>
            </m:sSubSup>
          </m:e>
        </m:d>
      </m:oMath>
      <w:r>
        <w:t xml:space="preserve"> </w:t>
      </w:r>
      <w:fldSimple w:instr="NOTEREF _Ref_Footnote_12 \h \f">
        <w:r>
          <w:rPr>
            <w:vertAlign w:val="superscript"/>
          </w:rPr>
          <w:t>12</w:t>
        </w:r>
      </w:fldSimple>
      <w:r>
        <w:t xml:space="preserve">。优势函数</w:t>
      </w:r>
      <w:r>
        <w:t xml:space="preserve"> </w:t>
      </w:r>
      <m:oMath>
        <m:sSub>
          <m:e>
            <m:acc>
              <m:accPr>
                <m:chr m:val="̂"/>
              </m:accPr>
              <m:e>
                <m:r>
                  <m:t>A</m:t>
                </m:r>
              </m:e>
            </m:acc>
          </m:e>
          <m:sub>
            <m:r>
              <m:t>t</m:t>
            </m:r>
          </m:sub>
        </m:sSub>
        <m:r>
          <m:rPr>
            <m:sty m:val="p"/>
          </m:rPr>
          <m:t>=</m:t>
        </m:r>
        <m:r>
          <m:t>R</m:t>
        </m:r>
        <m:d>
          <m:dPr>
            <m:begChr m:val="("/>
            <m:endChr m:val=")"/>
            <m:sepChr m:val=""/>
            <m:grow/>
          </m:dPr>
          <m:e>
            <m:r>
              <m:t>τ</m:t>
            </m:r>
          </m:e>
        </m:d>
        <m:r>
          <m:rPr>
            <m:sty m:val="p"/>
          </m:rPr>
          <m:t>−</m:t>
        </m:r>
        <m:r>
          <m:t>V</m:t>
        </m:r>
        <m:d>
          <m:dPr>
            <m:begChr m:val="("/>
            <m:endChr m:val=")"/>
            <m:sepChr m:val=""/>
            <m:grow/>
          </m:dPr>
          <m:e>
            <m:sSub>
              <m:e>
                <m:r>
                  <m:t>s</m:t>
                </m:r>
              </m:e>
              <m:sub>
                <m:r>
                  <m:t>t</m:t>
                </m:r>
              </m:sub>
            </m:sSub>
          </m:e>
        </m:d>
      </m:oMath>
      <w:r>
        <w:t xml:space="preserve"> </w:t>
      </w:r>
      <w:r>
        <w:t xml:space="preserve">消除了critic函数逼近误差，每个token的信用完全由其后续多条路径的期望回报决定。然而，这种精确性以</w:t>
      </w:r>
      <w:r>
        <w:t xml:space="preserve"> </w:t>
      </w:r>
      <m:oMath>
        <m:r>
          <m:t>O</m:t>
        </m:r>
        <m:d>
          <m:dPr>
            <m:begChr m:val="("/>
            <m:endChr m:val=")"/>
            <m:sepChr m:val=""/>
            <m:grow/>
          </m:dPr>
          <m:e>
            <m:r>
              <m:t>K</m:t>
            </m:r>
            <m:r>
              <m:rPr>
                <m:sty m:val="p"/>
              </m:rPr>
              <m:t>⋅</m:t>
            </m:r>
            <m:r>
              <m:t>L</m:t>
            </m:r>
          </m:e>
        </m:d>
      </m:oMath>
      <w:r>
        <w:t xml:space="preserve"> </w:t>
      </w:r>
      <w:r>
        <w:t xml:space="preserve">的额外前向传播为代价（</w:t>
      </w:r>
      <m:oMath>
        <m:r>
          <m:t>L</m:t>
        </m:r>
      </m:oMath>
      <w:r>
        <w:t xml:space="preserve"> </w:t>
      </w:r>
      <w:r>
        <w:t xml:space="preserve">为序列长度），在长推理链上计算成本急剧上升。VinePPO的关键实证发现是：信用分配质量（而非策略优化算法本身）才是RL训练的主要瓶颈</w:t>
      </w:r>
      <w:r>
        <w:t xml:space="preserve"> </w:t>
      </w:r>
      <w:fldSimple w:instr="NOTEREF _Ref_Footnote_1 \h \f">
        <w:r>
          <w:rPr>
            <w:vertAlign w:val="superscript"/>
          </w:rPr>
          <w:t>1</w:t>
        </w:r>
      </w:fldSimple>
      <w:r>
        <w:t xml:space="preserve">。</w:t>
      </w:r>
    </w:p>
    <w:p>
      <w:pPr>
        <w:pStyle w:val="BodyText"/>
      </w:pPr>
      <w:r>
        <w:t xml:space="preserve">RED（Reward Redistribution, 2024）采取了截然不同的路径：从现成的奖励模型（Reward Model, RM）内部表示中提取token级奖励。具体而言，RED在RM的隐藏状态上训练一个轻量级线性probe，预测每个token对总奖励的边际贡献</w:t>
      </w:r>
      <w:r>
        <w:t xml:space="preserve"> </w:t>
      </w:r>
      <w:fldSimple w:instr="NOTEREF _Ref_Footnote_6 \h \f">
        <w:r>
          <w:rPr>
            <w:vertAlign w:val="superscript"/>
          </w:rPr>
          <w:t>6</w:t>
        </w:r>
      </w:fldSimple>
      <w:r>
        <w:t xml:space="preserve">。这种方法的计算成本近乎为零——仅需一次额外的前向传播即可完成所有token的信用重分配。RED的核心发现是预训练奖励模型已编码了丰富的信用分配信息，只是未被充分利用</w:t>
      </w:r>
      <w:r>
        <w:t xml:space="preserve"> </w:t>
      </w:r>
      <w:fldSimple w:instr="NOTEREF _Ref_Footnote_6 \h \f">
        <w:r>
          <w:rPr>
            <w:vertAlign w:val="superscript"/>
          </w:rPr>
          <w:t>6</w:t>
        </w:r>
      </w:fldSimple>
      <w:r>
        <w:t xml:space="preserve">。</w:t>
      </w:r>
    </w:p>
    <w:p>
      <w:pPr>
        <w:pStyle w:val="BodyText"/>
      </w:pPr>
      <w:r>
        <w:t xml:space="preserve">TEMPO（2025）提供了一种介于token-level与segment-level之间的混合方案。其Prefix-to-Tree（P2T）模块将一组响应转换为前缀树结构，通过聚合所有后代节点的结果正确性计算非参数化前缀值</w:t>
      </w:r>
      <w:r>
        <w:t xml:space="preserve"> </w:t>
      </w:r>
      <m:oMath>
        <m:r>
          <m:t>V</m:t>
        </m:r>
        <m:d>
          <m:dPr>
            <m:begChr m:val="("/>
            <m:endChr m:val=")"/>
            <m:sepChr m:val=""/>
            <m:grow/>
          </m:dPr>
          <m:e>
            <m:sSub>
              <m:e>
                <m:r>
                  <m:t>s</m:t>
                </m:r>
              </m:e>
              <m:sub>
                <m:r>
                  <m:t>t</m:t>
                </m:r>
              </m:sub>
            </m:sSub>
          </m:e>
        </m:d>
      </m:oMath>
      <w:r>
        <w:t xml:space="preserve"> </w:t>
      </w:r>
      <w:fldSimple w:instr="NOTEREF _Ref_Footnote_28 \h \f">
        <w:r>
          <w:rPr>
            <w:vertAlign w:val="superscript"/>
          </w:rPr>
          <w:t>28</w:t>
        </w:r>
      </w:fldSimple>
      <w:r>
        <w:t xml:space="preserve">。Branch-gated TD修正在非分支token处退化为标准GRPO（TD项为零），仅在分支token处提供精确的token-level信用修正。这一设计使TEMPO无需学习价值网络、PRM或额外judge，在Qwen3-1.7B/4B上收敛速度比PPO和GRPO提升高达1.6倍</w:t>
      </w:r>
      <w:r>
        <w:t xml:space="preserve"> </w:t>
      </w:r>
      <w:fldSimple w:instr="NOTEREF _Ref_Footnote_28 \h \f">
        <w:r>
          <w:rPr>
            <w:vertAlign w:val="superscript"/>
          </w:rPr>
          <w:t>28</w:t>
        </w:r>
      </w:fldSimple>
      <w:r>
        <w:t xml:space="preserve">。</w:t>
      </w:r>
    </w:p>
    <w:bookmarkEnd w:id="65"/>
    <w:bookmarkStart w:id="66" w:name="step-level信用分配实用性与精度的平衡"/>
    <w:p>
      <w:pPr>
        <w:pStyle w:val="Heading4"/>
      </w:pPr>
      <w:r>
        <w:t xml:space="preserve">3.2.2 Step-level信用分配：实用性与精度的平衡</w:t>
      </w:r>
    </w:p>
    <w:p>
      <w:pPr>
        <w:pStyle w:val="FirstParagraph"/>
      </w:pPr>
      <w:r>
        <w:t xml:space="preserve">Step-level信用分配是当前研究最活跃的粒度区间，因其在标注可行性与信用精度之间取得了实际平衡。</w:t>
      </w:r>
    </w:p>
    <w:p>
      <w:pPr>
        <w:pStyle w:val="BodyText"/>
      </w:pPr>
      <w:r>
        <w:t xml:space="preserve">PURE（ICML 2025）通过数学洞察解决了PRM训练中的一个根本性问题。传统PRM将价值函数定义为未来奖励之和</w:t>
      </w:r>
      <w:r>
        <w:t xml:space="preserve"> </w:t>
      </w:r>
      <m:oMath>
        <m:r>
          <m:t>V</m:t>
        </m:r>
        <m:d>
          <m:dPr>
            <m:begChr m:val="("/>
            <m:endChr m:val=")"/>
            <m:sepChr m:val=""/>
            <m:grow/>
          </m:dPr>
          <m:e>
            <m:sSub>
              <m:e>
                <m:r>
                  <m:t>s</m:t>
                </m:r>
              </m:e>
              <m:sub>
                <m:r>
                  <m:t>t</m:t>
                </m:r>
              </m:sub>
            </m:sSub>
          </m:e>
        </m:d>
        <m:r>
          <m:rPr>
            <m:sty m:val="p"/>
          </m:rPr>
          <m:t>=</m:t>
        </m:r>
        <m:nary>
          <m:naryPr>
            <m:chr m:val="∑"/>
            <m:limLoc m:val="undOvr"/>
            <m:subHide m:val="0"/>
            <m:supHide m:val="1"/>
          </m:naryPr>
          <m:sub>
            <m:r>
              <m:t>τ</m:t>
            </m:r>
            <m:r>
              <m:rPr>
                <m:sty m:val="p"/>
              </m:rPr>
              <m:t>≥</m:t>
            </m:r>
            <m:r>
              <m:t>t</m:t>
            </m:r>
          </m:sub>
          <m:sup>
            <m:r>
              <m:t>​</m:t>
            </m:r>
          </m:sup>
          <m:e>
            <m:sSub>
              <m:e>
                <m:r>
                  <m:t>r</m:t>
                </m:r>
              </m:e>
              <m:sub>
                <m:r>
                  <m:t>τ</m:t>
                </m:r>
              </m:sub>
            </m:sSub>
          </m:e>
        </m:nary>
      </m:oMath>
      <w:r>
        <w:t xml:space="preserve">，PURE证明这种求和形式（summation-form）会导致训练初期即出现崩溃（reward hacking）——模型可通过增加正确步数来无上限提升价值估计</w:t>
      </w:r>
      <w:r>
        <w:t xml:space="preserve"> </w:t>
      </w:r>
      <w:fldSimple w:instr="NOTEREF _Ref_Footnote_29 \h \f">
        <w:r>
          <w:rPr>
            <w:vertAlign w:val="superscript"/>
          </w:rPr>
          <w:t>29</w:t>
        </w:r>
      </w:fldSimple>
      <w:r>
        <w:t xml:space="preserve">。PURE提出的min-form信用分配将价值函数重新定义为</w:t>
      </w:r>
      <w:r>
        <w:t xml:space="preserve"> </w:t>
      </w:r>
      <m:oMath>
        <m:r>
          <m:t>V</m:t>
        </m:r>
        <m:d>
          <m:dPr>
            <m:begChr m:val="("/>
            <m:endChr m:val=")"/>
            <m:sepChr m:val=""/>
            <m:grow/>
          </m:dPr>
          <m:e>
            <m:sSub>
              <m:e>
                <m:r>
                  <m:t>s</m:t>
                </m:r>
              </m:e>
              <m:sub>
                <m:r>
                  <m:t>t</m:t>
                </m:r>
              </m:sub>
            </m:sSub>
          </m:e>
        </m:d>
        <m:r>
          <m:rPr>
            <m:sty m:val="p"/>
          </m:rPr>
          <m:t>=</m:t>
        </m:r>
        <m:sSub>
          <m:e>
            <m:r>
              <m:rPr>
                <m:sty m:val="p"/>
              </m:rPr>
              <m:t>min</m:t>
            </m:r>
          </m:e>
          <m:sub>
            <m:r>
              <m:t>τ</m:t>
            </m:r>
            <m:r>
              <m:rPr>
                <m:sty m:val="p"/>
              </m:rPr>
              <m:t>≥</m:t>
            </m:r>
            <m:r>
              <m:t>t</m:t>
            </m:r>
          </m:sub>
        </m:sSub>
        <m:sSub>
          <m:e>
            <m:r>
              <m:t>r</m:t>
            </m:r>
          </m:e>
          <m:sub>
            <m:r>
              <m:t>τ</m:t>
            </m:r>
          </m:sub>
        </m:sSub>
      </m:oMath>
      <w:r>
        <w:t xml:space="preserve">，即后续步骤中的最小奖励。这一看似简单的改变从根本上限制了价值函数的范围，使优势分配更加合理。实验表明，PURE-PRM仅需30%训练步数即可达到与可验证奖励（VR）方法相当的推理性能，而PURE-PRM+VR（仅10%可验证奖励）在AMC23上达到82.5%、五个基准平均53.3%</w:t>
      </w:r>
      <w:r>
        <w:t xml:space="preserve"> </w:t>
      </w:r>
      <w:fldSimple w:instr="NOTEREF _Ref_Footnote_29 \h \f">
        <w:r>
          <w:rPr>
            <w:vertAlign w:val="superscript"/>
          </w:rPr>
          <w:t>29</w:t>
        </w:r>
      </w:fldSimple>
      <w:r>
        <w:t xml:space="preserve">。</w:t>
      </w:r>
    </w:p>
    <w:p>
      <w:pPr>
        <w:pStyle w:val="BodyText"/>
      </w:pPr>
      <w:r>
        <w:t xml:space="preserve">CAPO（Credit Assignment Policy Optimization, 2025）开创了LLM-as-Critic范式：利用LLM自身的语义理解能力，给定推理轨迹后生成每步的自然语言批评，再将其转化为数值奖励信号</w:t>
      </w:r>
      <w:r>
        <w:t xml:space="preserve"> </w:t>
      </w:r>
      <w:fldSimple w:instr="NOTEREF _Ref_Footnote_31 \h \f">
        <w:r>
          <w:rPr>
            <w:vertAlign w:val="superscript"/>
          </w:rPr>
          <w:t>31</w:t>
        </w:r>
      </w:fldSimple>
      <w:r>
        <w:t xml:space="preserve">。CAPO的优势在于完全自包含——无需单独的奖励模型、critic网络或MC rollout，但面临自我评估偏差（模型系统性高估自己步骤）的风险，需配合校准技术使用。在Qwen2.5-7B上，CAPO在MATH-500上达到31.0%（相比GRPO的27.2%提升3.8个百分点），在AIME’24上达到9.7%（相比GRPO的3.6%提升6.1个百分点）</w:t>
      </w:r>
      <w:fldSimple w:instr="NOTEREF _Ref_Footnote_1 \h \f">
        <w:r>
          <w:rPr>
            <w:vertAlign w:val="superscript"/>
          </w:rPr>
          <w:t>1</w:t>
        </w:r>
      </w:fldSimple>
      <w:r>
        <w:t xml:space="preserve">。</w:t>
      </w:r>
    </w:p>
    <w:p>
      <w:pPr>
        <w:pStyle w:val="BodyText"/>
      </w:pPr>
      <w:r>
        <w:t xml:space="preserve">HICRA（Hierarchy-Aware Credit Assignment, 2025）通过识别学习的两阶段动态来优化信用分配：模型首先获得程序性技能（常规计算模式），然后发展策略规划能力（高层问题分解）。HICRA据此将学习信号集中于高影响力规划token，而非均匀分配至所有token</w:t>
      </w:r>
      <w:r>
        <w:t xml:space="preserve"> </w:t>
      </w:r>
      <w:fldSimple w:instr="NOTEREF _Ref_Footnote_33 \h \f">
        <w:r>
          <w:rPr>
            <w:vertAlign w:val="superscript"/>
          </w:rPr>
          <w:t>33</w:t>
        </w:r>
      </w:fldSimple>
      <w:r>
        <w:t xml:space="preserve">。在Qwen3-4B-Instruct上，HICRA在AIME’24达到73.1%（比GRPO的68.5%提升4.6个百分点），AIME’25达到65.1%（比GRPO的60.0%提升5.1个百分点）</w:t>
      </w:r>
      <w:fldSimple w:instr="NOTEREF _Ref_Footnote_33 \h \f">
        <w:r>
          <w:rPr>
            <w:vertAlign w:val="superscript"/>
          </w:rPr>
          <w:t>33</w:t>
        </w:r>
      </w:fldSimple>
      <w:r>
        <w:t xml:space="preserve">。</w:t>
      </w:r>
    </w:p>
    <w:bookmarkEnd w:id="66"/>
    <w:bookmarkStart w:id="67" w:name="segment-level信用分配中间粒度的系统设计"/>
    <w:p>
      <w:pPr>
        <w:pStyle w:val="Heading4"/>
      </w:pPr>
      <w:r>
        <w:t xml:space="preserve">3.2.3 Segment-level信用分配：中间粒度的系统设计</w:t>
      </w:r>
    </w:p>
    <w:p>
      <w:pPr>
        <w:pStyle w:val="FirstParagraph"/>
      </w:pPr>
      <w:r>
        <w:t xml:space="preserve">SPO（Segment Policy Optimization, 2025）是segment-level信用分配的代表性工作，其核心设计包含三个组件：灵活的segment分区策略、精确的segment级MC优势估计（无需critic）、以及基于segment优势的策略优化</w:t>
      </w:r>
      <w:r>
        <w:t xml:space="preserve"> </w:t>
      </w:r>
      <w:fldSimple w:instr="NOTEREF _Ref_Footnote_34 \h \f">
        <w:r>
          <w:rPr>
            <w:vertAlign w:val="superscript"/>
          </w:rPr>
          <w:t>34</w:t>
        </w:r>
      </w:fldSimple>
      <w:r>
        <w:t xml:space="preserve">。SPO提供两个实例化版本：SPO-chain针对短CoT采用cutpoint-based分区配合chain-based优势估计，在GSM8K上比PPO/GRPO提升6-12个百分点；SPO-tree针对长CoT采用tree-based优势估计，大幅降低MC估计成本，在MATH500上比GRPO提升7-11个百分点。使用DeepSeek-R1-Distill-Qwen-1.5B模型，SPO在MATH-500（4K上下文）上达到82.8%，相比GRPO的75.2%提升7.6个百分点</w:t>
      </w:r>
      <w:r>
        <w:t xml:space="preserve"> </w:t>
      </w:r>
      <w:fldSimple w:instr="NOTEREF _Ref_Footnote_34 \h \f">
        <w:r>
          <w:rPr>
            <w:vertAlign w:val="superscript"/>
          </w:rPr>
          <w:t>34</w:t>
        </w:r>
      </w:fldSimple>
      <w:r>
        <w:t xml:space="preserve">。</w:t>
      </w:r>
    </w:p>
    <w:p>
      <w:pPr>
        <w:pStyle w:val="BodyText"/>
      </w:pPr>
      <w:r>
        <w:t xml:space="preserve">SCAR（Shapley Credit Assignment Rewards, 2025）从合作博弈论出发，使用Shapley值原理将序列级总奖励按各token/span的边际贡献进行分配</w:t>
      </w:r>
      <w:r>
        <w:t xml:space="preserve"> </w:t>
      </w:r>
      <w:fldSimple w:instr="NOTEREF _Ref_Footnote_35 \h \f">
        <w:r>
          <w:rPr>
            <w:vertAlign w:val="superscript"/>
          </w:rPr>
          <w:t>35</w:t>
        </w:r>
      </w:fldSimple>
      <w:r>
        <w:t xml:space="preserve">。Shapley值的理论保证使SCAR在保持原始最优策略不变的前提下实现更公平的信用分配，无需辅助critic模型或细粒度人工标注。SCAR在情感控制、文本摘要和指令调优任务上相比标准RLHF和基于attention的dense reward基线收敛更快且最终奖励更高</w:t>
      </w:r>
      <w:r>
        <w:t xml:space="preserve"> </w:t>
      </w:r>
      <w:fldSimple w:instr="NOTEREF _Ref_Footnote_35 \h \f">
        <w:r>
          <w:rPr>
            <w:vertAlign w:val="superscript"/>
          </w:rPr>
          <w:t>35</w:t>
        </w:r>
      </w:fldSimple>
      <w:r>
        <w:t xml:space="preserve">。</w:t>
      </w:r>
    </w:p>
    <w:bookmarkEnd w:id="67"/>
    <w:bookmarkStart w:id="71" w:name="agent-level信用分配多轮交互的分层架构"/>
    <w:p>
      <w:pPr>
        <w:pStyle w:val="Heading4"/>
      </w:pPr>
      <w:r>
        <w:t xml:space="preserve">3.2.4 Agent-level信用分配：多轮交互的分层架构</w:t>
      </w:r>
    </w:p>
    <w:p>
      <w:pPr>
        <w:pStyle w:val="FirstParagraph"/>
      </w:pPr>
      <w:r>
        <w:t xml:space="preserve">Agent-level信用分配面向多轮交互场景（如工具使用、网页导航），其中信用粒度以”轮次”（turn）为单位，一轮可包含数百至数千个token。这一层级的核心挑战来自部分可观察性和环境交互的不可重复性。</w:t>
      </w:r>
    </w:p>
    <w:p>
      <w:pPr>
        <w:pStyle w:val="BodyText"/>
      </w:pPr>
      <w:r>
        <w:t xml:space="preserve">ArCHer（ICML 2024）是首个面向多轮LLM Agent的分层信用分配架构，采用显式两级设计：高级off-policy critic学习轮次级Q函数</w:t>
      </w:r>
      <w:r>
        <w:t xml:space="preserve"> </w:t>
      </w:r>
      <m:oMath>
        <m:sSup>
          <m:e>
            <m:r>
              <m:t>Q</m:t>
            </m:r>
          </m:e>
          <m:sup>
            <m:r>
              <m:t>H</m:t>
            </m:r>
          </m:sup>
        </m:sSup>
        <m:d>
          <m:dPr>
            <m:begChr m:val="("/>
            <m:endChr m:val=")"/>
            <m:sepChr m:val=""/>
            <m:grow/>
          </m:dPr>
          <m:e>
            <m:sSub>
              <m:e>
                <m:r>
                  <m:t>s</m:t>
                </m:r>
              </m:e>
              <m:sub>
                <m:r>
                  <m:t>t</m:t>
                </m:r>
              </m:sub>
            </m:sSub>
            <m:r>
              <m:rPr>
                <m:sty m:val="p"/>
              </m:rPr>
              <m:t>,</m:t>
            </m:r>
            <m:sSub>
              <m:e>
                <m:r>
                  <m:t>a</m:t>
                </m:r>
              </m:e>
              <m:sub>
                <m:r>
                  <m:t>t</m:t>
                </m:r>
              </m:sub>
            </m:sSub>
          </m:e>
        </m:d>
      </m:oMath>
      <w:r>
        <w:t xml:space="preserve">，低级on-policy actor优化轮次内的token级策略</w:t>
      </w:r>
      <w:r>
        <w:t xml:space="preserve"> </w:t>
      </w:r>
      <m:oMath>
        <m:sSub>
          <m:e>
            <m:r>
              <m:t>π</m:t>
            </m:r>
          </m:e>
          <m:sub>
            <m:r>
              <m:t>θ</m:t>
            </m:r>
          </m:sub>
        </m:sSub>
        <m:d>
          <m:dPr>
            <m:begChr m:val="("/>
            <m:endChr m:val=")"/>
            <m:sepChr m:val=""/>
            <m:grow/>
          </m:dPr>
          <m:e>
            <m:r>
              <m:t>y</m:t>
            </m:r>
            <m:r>
              <m:rPr>
                <m:sty m:val="p"/>
              </m:rPr>
              <m:t>|</m:t>
            </m:r>
            <m:sSub>
              <m:e>
                <m:r>
                  <m:t>s</m:t>
                </m:r>
              </m:e>
              <m:sub>
                <m:r>
                  <m:t>t</m:t>
                </m:r>
              </m:sub>
            </m:sSub>
          </m:e>
        </m:d>
      </m:oMath>
      <w:r>
        <w:t xml:space="preserve"> </w:t>
      </w:r>
      <w:fldSimple w:instr="NOTEREF _Ref_Footnote_36 \h \f">
        <w:r>
          <w:rPr>
            <w:vertAlign w:val="superscript"/>
          </w:rPr>
          <w:t>36</w:t>
        </w:r>
      </w:fldSimple>
      <w:r>
        <w:t xml:space="preserve">。高级critic从经验回放缓冲区中学习，低级actor则以高级Q值作为轮次级奖励信号进行优化。ArCHer的架构正式认识到多轮LLM强化学习与单轮推理强化学习在信用分配机制上需要根本不同的设计</w:t>
      </w:r>
      <w:r>
        <w:t xml:space="preserve"> </w:t>
      </w:r>
      <w:fldSimple w:instr="NOTEREF _Ref_Footnote_1 \h \f">
        <w:r>
          <w:rPr>
            <w:vertAlign w:val="superscript"/>
          </w:rPr>
          <w:t>1</w:t>
        </w:r>
      </w:fldSimple>
      <w:r>
        <w:t xml:space="preserve">。</w:t>
      </w:r>
    </w:p>
    <w:p>
      <w:pPr>
        <w:pStyle w:val="BodyText"/>
      </w:pPr>
      <w:r>
        <w:t xml:space="preserve">GiGPO（NeurIPS 2025）将GRPO的组比较原则从轨迹级扩展到步级，是当前Agentic RL中最先进的critic-free方法。其两级优势估计在</w:t>
      </w:r>
      <w:r>
        <w:rPr>
          <w:bCs/>
          <w:b/>
        </w:rPr>
        <w:t xml:space="preserve">外层</w:t>
      </w:r>
      <w:r>
        <w:t xml:space="preserve">对轨迹进行分组比较（如标准GRPO），在</w:t>
      </w:r>
      <w:r>
        <w:rPr>
          <w:bCs/>
          <w:b/>
        </w:rPr>
        <w:t xml:space="preserve">内层</w:t>
      </w:r>
      <w:r>
        <w:t xml:space="preserve">通过anchor state grouping将共享相似前缀的步骤分组进行微观比较</w:t>
      </w:r>
      <w:r>
        <w:t xml:space="preserve"> </w:t>
      </w:r>
      <w:fldSimple w:instr="NOTEREF _Ref_Footnote_37 \h \f">
        <w:r>
          <w:rPr>
            <w:vertAlign w:val="superscript"/>
          </w:rPr>
          <w:t>37</w:t>
        </w:r>
      </w:fldSimple>
      <w:r>
        <w:t xml:space="preserve">。GiGPO保持了GRPO的critic-free特性，GPU内存开销与GRPO相同，无额外LLM rollout时间成本。在ALFWorld上比GRPO提升超过12个百分点，WebShop上提升超过9个百分点</w:t>
      </w:r>
      <w:r>
        <w:t xml:space="preserve"> </w:t>
      </w:r>
      <w:fldSimple w:instr="NOTEREF _Ref_Footnote_37 \h \f">
        <w:r>
          <w:rPr>
            <w:vertAlign w:val="superscript"/>
          </w:rPr>
          <w:t>37</w:t>
        </w:r>
      </w:fldSimple>
      <w:r>
        <w:t xml:space="preserve">。</w:t>
      </w:r>
    </w:p>
    <w:p>
      <w:pPr>
        <w:pStyle w:val="BodyText"/>
      </w:pPr>
      <w:r>
        <w:t xml:space="preserve">SWEET-RL（Meta/FAIR, 2025）引入了</w:t>
      </w:r>
      <w:r>
        <w:rPr>
          <w:bCs/>
          <w:b/>
        </w:rPr>
        <w:t xml:space="preserve">特权critic</w:t>
      </w:r>
      <w:r>
        <w:t xml:space="preserve">（privileged critic）的概念，利用训练时可获得但推理时无法获取的信息（ground truth答案、完整未来轨迹、环境状态变量）训练critic，使其提供高质量的轮次级奖励信号</w:t>
      </w:r>
      <w:r>
        <w:t xml:space="preserve"> </w:t>
      </w:r>
      <w:fldSimple w:instr="NOTEREF _Ref_Footnote_38 \h \f">
        <w:r>
          <w:rPr>
            <w:vertAlign w:val="superscript"/>
          </w:rPr>
          <w:t>38</w:t>
        </w:r>
      </w:fldSimple>
      <w:r>
        <w:t xml:space="preserve">。actor则通过DPO式优化仅看到标准观测。这一设计优雅地绕过了中间状态不可验证的挑战，在多轮交互任务上展示了显著优势。</w:t>
      </w:r>
    </w:p>
    <w:p>
      <w:pPr>
        <w:pStyle w:val="BodyText"/>
      </w:pPr>
      <w:r>
        <w:t xml:space="preserve">AgentPRM（2025）证明在Agent环境中MC标注过于昂贵——每次标注都需要重新执行环境交互。其替代方案是使用TD学习配合GAE训练步级critic：</w:t>
      </w:r>
      <m:oMath>
        <m:r>
          <m:t>V</m:t>
        </m:r>
        <m:d>
          <m:dPr>
            <m:begChr m:val="("/>
            <m:endChr m:val=")"/>
            <m:sepChr m:val=""/>
            <m:grow/>
          </m:dPr>
          <m:e>
            <m:sSub>
              <m:e>
                <m:r>
                  <m:t>s</m:t>
                </m:r>
              </m:e>
              <m:sub>
                <m:r>
                  <m:t>t</m:t>
                </m:r>
              </m:sub>
            </m:sSub>
          </m:e>
        </m:d>
        <m:r>
          <m:rPr>
            <m:sty m:val="p"/>
          </m:rPr>
          <m:t>←</m:t>
        </m:r>
        <m:r>
          <m:t>V</m:t>
        </m:r>
        <m:d>
          <m:dPr>
            <m:begChr m:val="("/>
            <m:endChr m:val=")"/>
            <m:sepChr m:val=""/>
            <m:grow/>
          </m:dPr>
          <m:e>
            <m:sSub>
              <m:e>
                <m:r>
                  <m:t>s</m:t>
                </m:r>
              </m:e>
              <m:sub>
                <m:r>
                  <m:t>t</m:t>
                </m:r>
              </m:sub>
            </m:sSub>
          </m:e>
        </m:d>
        <m:r>
          <m:rPr>
            <m:sty m:val="p"/>
          </m:rPr>
          <m:t>+</m:t>
        </m:r>
        <m:r>
          <m:t>α</m:t>
        </m:r>
        <m:d>
          <m:dPr>
            <m:begChr m:val="["/>
            <m:endChr m:val="]"/>
            <m:sepChr m:val=""/>
            <m:grow/>
          </m:dPr>
          <m:e>
            <m:sSub>
              <m:e>
                <m:r>
                  <m:t>r</m:t>
                </m:r>
              </m:e>
              <m:sub>
                <m:r>
                  <m:t>t</m:t>
                </m:r>
              </m:sub>
            </m:sSub>
            <m:r>
              <m:rPr>
                <m:sty m:val="p"/>
              </m:rPr>
              <m:t>+</m:t>
            </m:r>
            <m:r>
              <m:t>γ</m:t>
            </m:r>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e>
        </m:d>
      </m:oMath>
      <w:r>
        <w:t xml:space="preserve">，并引入”promise”（成功可能性）和”progress”（步间进展）双评分机制。AgentPRM比MC-based PRM训练高出8倍样本效率</w:t>
      </w:r>
      <w:r>
        <w:t xml:space="preserve"> </w:t>
      </w:r>
      <w:fldSimple w:instr="NOTEREF _Ref_Footnote_39 \h \f">
        <w:r>
          <w:rPr>
            <w:vertAlign w:val="superscript"/>
          </w:rPr>
          <w:t>39</w:t>
        </w:r>
      </w:fldSimple>
      <w:r>
        <w:t xml:space="preserve">。</w:t>
      </w:r>
    </w:p>
    <w:p>
      <w:pPr>
        <w:pStyle w:val="CaptionedFigure"/>
      </w:pPr>
      <w:r>
        <w:drawing>
          <wp:inline>
            <wp:extent cx="5334000" cy="3307035"/>
            <wp:effectExtent b="0" l="0" r="0" t="0"/>
            <wp:docPr descr="信用分配方法计算开销与精度权衡" title="" id="69" name="Picture"/>
            <a:graphic>
              <a:graphicData uri="http://schemas.openxmlformats.org/drawingml/2006/picture">
                <pic:pic>
                  <pic:nvPicPr>
                    <pic:cNvPr descr="fig_ca_cost_accuracy_tradeoff.png" id="70" name="Picture"/>
                    <pic:cNvPicPr>
                      <a:picLocks noChangeArrowheads="1" noChangeAspect="1"/>
                    </pic:cNvPicPr>
                  </pic:nvPicPr>
                  <pic:blipFill>
                    <a:blip r:embed="rId68"/>
                    <a:stretch>
                      <a:fillRect/>
                    </a:stretch>
                  </pic:blipFill>
                  <pic:spPr bwMode="auto">
                    <a:xfrm>
                      <a:off x="0" y="0"/>
                      <a:ext cx="5334000" cy="3307035"/>
                    </a:xfrm>
                    <a:prstGeom prst="rect">
                      <a:avLst/>
                    </a:prstGeom>
                    <a:noFill/>
                    <a:ln w="9525">
                      <a:noFill/>
                      <a:headEnd/>
                      <a:tailEnd/>
                    </a:ln>
                  </pic:spPr>
                </pic:pic>
              </a:graphicData>
            </a:graphic>
          </wp:inline>
        </w:drawing>
      </w:r>
    </w:p>
    <w:p>
      <w:pPr>
        <w:pStyle w:val="ImageCaption"/>
      </w:pPr>
      <w:r>
        <w:t xml:space="preserve">信用分配方法计算开销与精度权衡</w:t>
      </w:r>
    </w:p>
    <w:p>
      <w:pPr>
        <w:pStyle w:val="BodyText"/>
      </w:pPr>
      <w:r>
        <w:rPr>
          <w:bCs/>
          <w:b/>
        </w:rPr>
        <w:t xml:space="preserve">图1：信用分配方法的计算开销与精度权衡</w:t>
      </w:r>
      <w:r>
        <w:t xml:space="preserve">。横轴为计算成本相对值（以对数代理度量），纵轴为信用分配精度代理值。不同形状代表不同粒度层级（圆圈=token级，方块=step级，菱形=segment级，三角=turn级）。帕累托前沿线（虚线）连接了各计算预算下的最优方法。GRPO作为基线位于左下角，VinePPO位于右上角。值得注意的是，step-level方法（如PURE、SPRO）在平衡区密集分布，反映了该粒度区间在精度与开销之间的最优折中；而critic-free方法（T-REG、SPRO、GiGPO）虽然精度略低，但部署成本优势使其在工业场景中更具吸引力。</w:t>
      </w:r>
    </w:p>
    <w:bookmarkEnd w:id="71"/>
    <w:bookmarkEnd w:id="72"/>
    <w:bookmarkStart w:id="73" w:name="自动化过程标注新进展"/>
    <w:p>
      <w:pPr>
        <w:pStyle w:val="Heading3"/>
      </w:pPr>
      <w:r>
        <w:t xml:space="preserve">3.3 自动化过程标注新进展</w:t>
      </w:r>
    </w:p>
    <w:p>
      <w:pPr>
        <w:pStyle w:val="FirstParagraph"/>
      </w:pPr>
      <w:r>
        <w:t xml:space="preserve">尽管PRM在理论上优于ORM，但过程标注的获取成本长期制约其规模化应用。2025年涌现的FreePRM和ThinkPRM系列工作通过弱监督和生成式验证两大路径，显著降低了PRM训练的标注门槛。</w:t>
      </w:r>
    </w:p>
    <w:p>
      <w:pPr>
        <w:pStyle w:val="BodyText"/>
      </w:pPr>
      <w:r>
        <w:rPr>
          <w:bCs/>
          <w:b/>
        </w:rPr>
        <w:t xml:space="preserve">表3：自动化过程标注方法对比</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方法</w:t>
            </w:r>
          </w:p>
        </w:tc>
        <w:tc>
          <w:tcPr/>
          <w:p>
            <w:pPr>
              <w:pStyle w:val="Compact"/>
              <w:jc w:val="left"/>
            </w:pPr>
            <w:r>
              <w:t xml:space="preserve">年份</w:t>
            </w:r>
          </w:p>
        </w:tc>
        <w:tc>
          <w:tcPr/>
          <w:p>
            <w:pPr>
              <w:pStyle w:val="Compact"/>
              <w:jc w:val="left"/>
            </w:pPr>
            <w:r>
              <w:t xml:space="preserve">需人工标注</w:t>
            </w:r>
          </w:p>
        </w:tc>
        <w:tc>
          <w:tcPr/>
          <w:p>
            <w:pPr>
              <w:pStyle w:val="Compact"/>
              <w:jc w:val="left"/>
            </w:pPr>
            <w:r>
              <w:t xml:space="preserve">标注质量</w:t>
            </w:r>
          </w:p>
        </w:tc>
        <w:tc>
          <w:tcPr/>
          <w:p>
            <w:pPr>
              <w:pStyle w:val="Compact"/>
              <w:jc w:val="left"/>
            </w:pPr>
            <w:r>
              <w:t xml:space="preserve">计算成本</w:t>
            </w:r>
          </w:p>
        </w:tc>
        <w:tc>
          <w:tcPr/>
          <w:p>
            <w:pPr>
              <w:pStyle w:val="Compact"/>
              <w:jc w:val="left"/>
            </w:pPr>
            <w:r>
              <w:t xml:space="preserve">核心思想</w:t>
            </w:r>
          </w:p>
        </w:tc>
        <w:tc>
          <w:tcPr/>
          <w:p>
            <w:pPr>
              <w:pStyle w:val="Compact"/>
              <w:jc w:val="left"/>
            </w:pPr>
            <w:r>
              <w:t xml:space="preserve">关键局限</w:t>
            </w:r>
          </w:p>
        </w:tc>
      </w:tr>
      <w:tr>
        <w:tc>
          <w:tcPr/>
          <w:p>
            <w:pPr>
              <w:pStyle w:val="Compact"/>
              <w:jc w:val="left"/>
            </w:pPr>
            <w:r>
              <w:t xml:space="preserve">Math-Shepherd</w:t>
            </w:r>
            <w:r>
              <w:t xml:space="preserve"> </w:t>
            </w:r>
            <w:fldSimple w:instr="NOTEREF _Ref_Footnote_13 \h \f">
              <w:r>
                <w:rPr>
                  <w:vertAlign w:val="superscript"/>
                </w:rPr>
                <w:t>13</w:t>
              </w:r>
            </w:fldSimple>
          </w:p>
        </w:tc>
        <w:tc>
          <w:tcPr/>
          <w:p>
            <w:pPr>
              <w:pStyle w:val="Compact"/>
              <w:jc w:val="left"/>
            </w:pPr>
            <w:r>
              <w:t xml:space="preserve">2024</w:t>
            </w:r>
          </w:p>
        </w:tc>
        <w:tc>
          <w:tcPr/>
          <w:p>
            <w:pPr>
              <w:pStyle w:val="Compact"/>
              <w:jc w:val="left"/>
            </w:pPr>
            <w:r>
              <w:t xml:space="preserve">否</w:t>
            </w:r>
          </w:p>
        </w:tc>
        <w:tc>
          <w:tcPr/>
          <w:p>
            <w:pPr>
              <w:pStyle w:val="Compact"/>
              <w:jc w:val="left"/>
            </w:pPr>
            <w:r>
              <w:t xml:space="preserve">中（MC估计噪声）</w:t>
            </w:r>
          </w:p>
        </w:tc>
        <w:tc>
          <w:tcPr/>
          <w:p>
            <w:pPr>
              <w:pStyle w:val="Compact"/>
              <w:jc w:val="left"/>
            </w:pPr>
            <w:r>
              <w:t xml:space="preserve">高（每步数十条rollout）</w:t>
            </w:r>
          </w:p>
        </w:tc>
        <w:tc>
          <w:tcPr/>
          <w:p>
            <w:pPr>
              <w:pStyle w:val="Compact"/>
              <w:jc w:val="left"/>
            </w:pPr>
            <w:r>
              <w:t xml:space="preserve">MC采样估计步正确性</w:t>
            </w:r>
          </w:p>
        </w:tc>
        <w:tc>
          <w:tcPr/>
          <w:p>
            <w:pPr>
              <w:pStyle w:val="Compact"/>
              <w:jc w:val="left"/>
            </w:pPr>
            <w:r>
              <w:t xml:space="preserve">采样方差大</w:t>
            </w:r>
          </w:p>
        </w:tc>
      </w:tr>
      <w:tr>
        <w:tc>
          <w:tcPr/>
          <w:p>
            <w:pPr>
              <w:pStyle w:val="Compact"/>
              <w:jc w:val="left"/>
            </w:pPr>
            <w:r>
              <w:t xml:space="preserve">OmegaPRM</w:t>
            </w:r>
            <w:r>
              <w:t xml:space="preserve"> </w:t>
            </w:r>
            <w:fldSimple w:instr="NOTEREF _Ref_Footnote_3 \h \f">
              <w:r>
                <w:rPr>
                  <w:vertAlign w:val="superscript"/>
                </w:rPr>
                <w:t>3</w:t>
              </w:r>
            </w:fldSimple>
          </w:p>
        </w:tc>
        <w:tc>
          <w:tcPr/>
          <w:p>
            <w:pPr>
              <w:pStyle w:val="Compact"/>
              <w:jc w:val="left"/>
            </w:pPr>
            <w:r>
              <w:t xml:space="preserve">2024</w:t>
            </w:r>
          </w:p>
        </w:tc>
        <w:tc>
          <w:tcPr/>
          <w:p>
            <w:pPr>
              <w:pStyle w:val="Compact"/>
              <w:jc w:val="left"/>
            </w:pPr>
            <w:r>
              <w:t xml:space="preserve">否</w:t>
            </w:r>
          </w:p>
        </w:tc>
        <w:tc>
          <w:tcPr/>
          <w:p>
            <w:pPr>
              <w:pStyle w:val="Compact"/>
              <w:jc w:val="left"/>
            </w:pPr>
            <w:r>
              <w:t xml:space="preserve">中高（MCTS优化）</w:t>
            </w:r>
          </w:p>
        </w:tc>
        <w:tc>
          <w:tcPr/>
          <w:p>
            <w:pPr>
              <w:pStyle w:val="Compact"/>
              <w:jc w:val="left"/>
            </w:pPr>
            <w:r>
              <w:t xml:space="preserve">中（MCTS+二分搜索）</w:t>
            </w:r>
          </w:p>
        </w:tc>
        <w:tc>
          <w:tcPr/>
          <w:p>
            <w:pPr>
              <w:pStyle w:val="Compact"/>
              <w:jc w:val="left"/>
            </w:pPr>
            <w:r>
              <w:t xml:space="preserve">分治式MCTS定位首错步</w:t>
            </w:r>
          </w:p>
        </w:tc>
        <w:tc>
          <w:tcPr/>
          <w:p>
            <w:pPr>
              <w:pStyle w:val="Compact"/>
              <w:jc w:val="left"/>
            </w:pPr>
            <w:r>
              <w:t xml:space="preserve">依赖可验证环境</w:t>
            </w:r>
          </w:p>
        </w:tc>
      </w:tr>
      <w:tr>
        <w:tc>
          <w:tcPr/>
          <w:p>
            <w:pPr>
              <w:pStyle w:val="Compact"/>
              <w:jc w:val="left"/>
            </w:pPr>
            <w:r>
              <w:t xml:space="preserve">AlphaMath</w:t>
            </w:r>
            <w:r>
              <w:t xml:space="preserve"> </w:t>
            </w:r>
            <w:fldSimple w:instr="NOTEREF _Ref_Footnote_26 \h \f">
              <w:r>
                <w:rPr>
                  <w:vertAlign w:val="superscript"/>
                </w:rPr>
                <w:t>26</w:t>
              </w:r>
            </w:fldSimple>
          </w:p>
        </w:tc>
        <w:tc>
          <w:tcPr/>
          <w:p>
            <w:pPr>
              <w:pStyle w:val="Compact"/>
              <w:jc w:val="left"/>
            </w:pPr>
            <w:r>
              <w:t xml:space="preserve">2024</w:t>
            </w:r>
          </w:p>
        </w:tc>
        <w:tc>
          <w:tcPr/>
          <w:p>
            <w:pPr>
              <w:pStyle w:val="Compact"/>
              <w:jc w:val="left"/>
            </w:pPr>
            <w:r>
              <w:t xml:space="preserve">否</w:t>
            </w:r>
          </w:p>
        </w:tc>
        <w:tc>
          <w:tcPr/>
          <w:p>
            <w:pPr>
              <w:pStyle w:val="Compact"/>
              <w:jc w:val="left"/>
            </w:pPr>
            <w:r>
              <w:t xml:space="preserve">低-中（伪标签噪声）</w:t>
            </w:r>
          </w:p>
        </w:tc>
        <w:tc>
          <w:tcPr/>
          <w:p>
            <w:pPr>
              <w:pStyle w:val="Compact"/>
              <w:jc w:val="left"/>
            </w:pPr>
            <w:r>
              <w:t xml:space="preserve">低</w:t>
            </w:r>
          </w:p>
        </w:tc>
        <w:tc>
          <w:tcPr/>
          <w:p>
            <w:pPr>
              <w:pStyle w:val="Compact"/>
              <w:jc w:val="left"/>
            </w:pPr>
            <w:r>
              <w:t xml:space="preserve">从结果监督推导伪过程监督</w:t>
            </w:r>
          </w:p>
        </w:tc>
        <w:tc>
          <w:tcPr/>
          <w:p>
            <w:pPr>
              <w:pStyle w:val="Compact"/>
              <w:jc w:val="left"/>
            </w:pPr>
            <w:r>
              <w:t xml:space="preserve">噪声与质量权衡</w:t>
            </w:r>
          </w:p>
        </w:tc>
      </w:tr>
      <w:tr>
        <w:tc>
          <w:tcPr/>
          <w:p>
            <w:pPr>
              <w:pStyle w:val="Compact"/>
              <w:jc w:val="left"/>
            </w:pPr>
            <w:r>
              <w:t xml:space="preserve">PRIME</w:t>
            </w:r>
            <w:r>
              <w:t xml:space="preserve"> </w:t>
            </w:r>
            <w:fldSimple w:instr="NOTEREF _Ref_Footnote_21 \h \f">
              <w:r>
                <w:rPr>
                  <w:vertAlign w:val="superscript"/>
                </w:rPr>
                <w:t>21</w:t>
              </w:r>
            </w:fldSimple>
          </w:p>
        </w:tc>
        <w:tc>
          <w:tcPr/>
          <w:p>
            <w:pPr>
              <w:pStyle w:val="Compact"/>
              <w:jc w:val="left"/>
            </w:pPr>
            <w:r>
              <w:t xml:space="preserve">2025</w:t>
            </w:r>
          </w:p>
        </w:tc>
        <w:tc>
          <w:tcPr/>
          <w:p>
            <w:pPr>
              <w:pStyle w:val="Compact"/>
              <w:jc w:val="left"/>
            </w:pPr>
            <w:r>
              <w:t xml:space="preserve">否</w:t>
            </w:r>
          </w:p>
        </w:tc>
        <w:tc>
          <w:tcPr/>
          <w:p>
            <w:pPr>
              <w:pStyle w:val="Compact"/>
              <w:jc w:val="left"/>
            </w:pPr>
            <w:r>
              <w:t xml:space="preserve">中（隐式推导）</w:t>
            </w:r>
          </w:p>
        </w:tc>
        <w:tc>
          <w:tcPr/>
          <w:p>
            <w:pPr>
              <w:pStyle w:val="Compact"/>
              <w:jc w:val="left"/>
            </w:pPr>
            <w:r>
              <w:t xml:space="preserve">极低（在线推导）</w:t>
            </w:r>
          </w:p>
        </w:tc>
        <w:tc>
          <w:tcPr/>
          <w:p>
            <w:pPr>
              <w:pStyle w:val="Compact"/>
              <w:jc w:val="left"/>
            </w:pPr>
            <w:r>
              <w:t xml:space="preserve">策略-参考模型log-likelihood比</w:t>
            </w:r>
          </w:p>
        </w:tc>
        <w:tc>
          <w:tcPr/>
          <w:p>
            <w:pPr>
              <w:pStyle w:val="Compact"/>
              <w:jc w:val="left"/>
            </w:pPr>
            <w:r>
              <w:t xml:space="preserve">依赖参考模型质量</w:t>
            </w:r>
          </w:p>
        </w:tc>
      </w:tr>
      <w:tr>
        <w:tc>
          <w:tcPr/>
          <w:p>
            <w:pPr>
              <w:pStyle w:val="Compact"/>
              <w:jc w:val="left"/>
            </w:pPr>
            <w:r>
              <w:t xml:space="preserve">FreePRM</w:t>
            </w:r>
            <w:r>
              <w:t xml:space="preserve"> </w:t>
            </w:r>
            <w:r>
              <w:rPr>
                <w:vertAlign w:val="superscript"/>
              </w:rPr>
              <w:footnoteReference w:id="40"/>
            </w:r>
          </w:p>
        </w:tc>
        <w:tc>
          <w:tcPr/>
          <w:p>
            <w:pPr>
              <w:pStyle w:val="Compact"/>
              <w:jc w:val="left"/>
            </w:pPr>
            <w:r>
              <w:t xml:space="preserve">2025</w:t>
            </w:r>
          </w:p>
        </w:tc>
        <w:tc>
          <w:tcPr/>
          <w:p>
            <w:pPr>
              <w:pStyle w:val="Compact"/>
              <w:jc w:val="left"/>
            </w:pPr>
            <w:r>
              <w:t xml:space="preserve">否</w:t>
            </w:r>
          </w:p>
        </w:tc>
        <w:tc>
          <w:tcPr/>
          <w:p>
            <w:pPr>
              <w:pStyle w:val="Compact"/>
              <w:jc w:val="left"/>
            </w:pPr>
            <w:r>
              <w:t xml:space="preserve">中（弱监督）</w:t>
            </w:r>
          </w:p>
        </w:tc>
        <w:tc>
          <w:tcPr/>
          <w:p>
            <w:pPr>
              <w:pStyle w:val="Compact"/>
              <w:jc w:val="left"/>
            </w:pPr>
            <w:r>
              <w:t xml:space="preserve">低</w:t>
            </w:r>
          </w:p>
        </w:tc>
        <w:tc>
          <w:tcPr/>
          <w:p>
            <w:pPr>
              <w:pStyle w:val="Compact"/>
              <w:jc w:val="left"/>
            </w:pPr>
            <w:r>
              <w:t xml:space="preserve">结果正确性生成伪过程标签</w:t>
            </w:r>
          </w:p>
        </w:tc>
        <w:tc>
          <w:tcPr/>
          <w:p>
            <w:pPr>
              <w:pStyle w:val="Compact"/>
              <w:jc w:val="left"/>
            </w:pPr>
            <w:r>
              <w:t xml:space="preserve">标签精度上限</w:t>
            </w:r>
          </w:p>
        </w:tc>
      </w:tr>
      <w:tr>
        <w:tc>
          <w:tcPr/>
          <w:p>
            <w:pPr>
              <w:pStyle w:val="Compact"/>
              <w:jc w:val="left"/>
            </w:pPr>
            <w:r>
              <w:t xml:space="preserve">ThinkPRM</w:t>
            </w:r>
            <w:r>
              <w:t xml:space="preserve"> </w:t>
            </w:r>
            <w:fldSimple w:instr="NOTEREF _Ref_Footnote_14 \h \f">
              <w:r>
                <w:rPr>
                  <w:vertAlign w:val="superscript"/>
                </w:rPr>
                <w:t>14</w:t>
              </w:r>
            </w:fldSimple>
          </w:p>
        </w:tc>
        <w:tc>
          <w:tcPr/>
          <w:p>
            <w:pPr>
              <w:pStyle w:val="Compact"/>
              <w:jc w:val="left"/>
            </w:pPr>
            <w:r>
              <w:t xml:space="preserve">2025</w:t>
            </w:r>
          </w:p>
        </w:tc>
        <w:tc>
          <w:tcPr/>
          <w:p>
            <w:pPr>
              <w:pStyle w:val="Compact"/>
              <w:jc w:val="left"/>
            </w:pPr>
            <w:r>
              <w:t xml:space="preserve">是（仅1% PRM800K）</w:t>
            </w:r>
          </w:p>
        </w:tc>
        <w:tc>
          <w:tcPr/>
          <w:p>
            <w:pPr>
              <w:pStyle w:val="Compact"/>
              <w:jc w:val="left"/>
            </w:pPr>
            <w:r>
              <w:t xml:space="preserve">高（生成式验证）</w:t>
            </w:r>
          </w:p>
        </w:tc>
        <w:tc>
          <w:tcPr/>
          <w:p>
            <w:pPr>
              <w:pStyle w:val="Compact"/>
              <w:jc w:val="left"/>
            </w:pPr>
            <w:r>
              <w:t xml:space="preserve">极低</w:t>
            </w:r>
          </w:p>
        </w:tc>
        <w:tc>
          <w:tcPr/>
          <w:p>
            <w:pPr>
              <w:pStyle w:val="Compact"/>
              <w:jc w:val="left"/>
            </w:pPr>
            <w:r>
              <w:t xml:space="preserve">CoT验证链后再判断</w:t>
            </w:r>
          </w:p>
        </w:tc>
        <w:tc>
          <w:tcPr/>
          <w:p>
            <w:pPr>
              <w:pStyle w:val="Compact"/>
              <w:jc w:val="left"/>
            </w:pPr>
            <w:r>
              <w:t xml:space="preserve">需少量种子标注</w:t>
            </w:r>
          </w:p>
        </w:tc>
      </w:tr>
      <w:tr>
        <w:tc>
          <w:tcPr/>
          <w:p>
            <w:pPr>
              <w:pStyle w:val="Compact"/>
              <w:jc w:val="left"/>
            </w:pPr>
            <w:r>
              <w:t xml:space="preserve">AURORA</w:t>
            </w:r>
          </w:p>
        </w:tc>
        <w:tc>
          <w:tcPr/>
          <w:p>
            <w:pPr>
              <w:pStyle w:val="Compact"/>
              <w:jc w:val="left"/>
            </w:pPr>
            <w:r>
              <w:t xml:space="preserve">2025</w:t>
            </w:r>
          </w:p>
        </w:tc>
        <w:tc>
          <w:tcPr/>
          <w:p>
            <w:pPr>
              <w:pStyle w:val="Compact"/>
              <w:jc w:val="left"/>
            </w:pPr>
            <w:r>
              <w:t xml:space="preserve">否</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集成提示+反向验证</w:t>
            </w:r>
          </w:p>
        </w:tc>
        <w:tc>
          <w:tcPr/>
          <w:p>
            <w:pPr>
              <w:pStyle w:val="Compact"/>
              <w:jc w:val="left"/>
            </w:pPr>
            <w:r>
              <w:t xml:space="preserve">通用性待验证</w:t>
            </w:r>
          </w:p>
        </w:tc>
      </w:tr>
    </w:tbl>
    <w:p>
      <w:pPr>
        <w:pStyle w:val="BodyText"/>
      </w:pPr>
      <w:r>
        <w:t xml:space="preserve">自动化标注方法的发展呈现清晰的演进轨迹：从Math-Shepherd的高成本MC采样，到OmegaPRM的MCTS优化，再到PRIME的完全隐式推导，标注成本持续下降而质量逐步提升。ThinkPRM（2025）代表了生成式验证的前沿方向：训练PRM在做出判断之前先生成验证链式思维（verification chain-of-thought），利用长CoT模型的推理能力进行步级验证。ThinkPRM仅需PRM800K中1%的过程标签（约8000步），即在ProcessBench上超越使用完整PRM800K训练的判别式PRM，在分布外任务上优势更为明显（GPQA提升8个百分点，LiveCodeBench提升4.5个百分点）</w:t>
      </w:r>
      <w:fldSimple w:instr="NOTEREF _Ref_Footnote_14 \h \f">
        <w:r>
          <w:rPr>
            <w:vertAlign w:val="superscript"/>
          </w:rPr>
          <w:t>14</w:t>
        </w:r>
      </w:fldSimple>
      <w:r>
        <w:t xml:space="preserve">。此外，在相同token预算下，ThinkPRM比LLM-as-a-Judge方法高出7.2%，且可通过扩展验证计算持续提升性能</w:t>
      </w:r>
      <w:r>
        <w:t xml:space="preserve"> </w:t>
      </w:r>
      <w:fldSimple w:instr="NOTEREF _Ref_Footnote_14 \h \f">
        <w:r>
          <w:rPr>
            <w:vertAlign w:val="superscript"/>
          </w:rPr>
          <w:t>14</w:t>
        </w:r>
      </w:fldSimple>
      <w:r>
        <w:t xml:space="preserve">。</w:t>
      </w:r>
    </w:p>
    <w:p>
      <w:pPr>
        <w:pStyle w:val="BodyText"/>
      </w:pPr>
      <w:r>
        <w:t xml:space="preserve">FreePRM（2025）则探索了完全无需真实过程标签的弱监督路径，仅使用结果正确性生成伪过程标签训练PRM。尽管标签噪声较高，FreePRM在ProcessBench上达到平均F1分数53.0%，超越使用Math-Shepherd全量数据训练的监督PRM 24.1个百分点</w:t>
      </w:r>
      <w:r>
        <w:t xml:space="preserve"> </w:t>
      </w:r>
      <w:fldSimple w:instr="NOTEREF _Ref_Footnote_40 \h \f">
        <w:r>
          <w:rPr>
            <w:vertAlign w:val="superscript"/>
          </w:rPr>
          <w:t>40</w:t>
        </w:r>
      </w:fldSimple>
      <w:r>
        <w:t xml:space="preserve">。这一结果表明，弱监督信号的规模化利用可能比少量精确标注更具扩展性——契合了”Less is More”在LLM+RL数据策略中的新范式。</w:t>
      </w:r>
    </w:p>
    <w:p>
      <w:pPr>
        <w:pStyle w:val="BodyText"/>
      </w:pPr>
      <w:r>
        <w:t xml:space="preserve">PRIME从另一角度解决了标注问题：通过隐式过程奖励将ORM本身转化为PRM。PRIME的奖励函数</w:t>
      </w:r>
      <w:r>
        <w:t xml:space="preserve"> </w:t>
      </w:r>
      <m:oMath>
        <m:sSub>
          <m:e>
            <m:r>
              <m:t>r</m:t>
            </m:r>
          </m:e>
          <m:sub>
            <m:r>
              <m:t>ϕ</m:t>
            </m:r>
          </m:sub>
        </m:sSub>
        <m:d>
          <m:dPr>
            <m:begChr m:val="("/>
            <m:endChr m:val=")"/>
            <m:sepChr m:val=""/>
            <m:grow/>
          </m:dPr>
          <m:e>
            <m:sSub>
              <m:e>
                <m:r>
                  <m:t>y</m:t>
                </m:r>
              </m:e>
              <m:sub>
                <m:r>
                  <m:t>t</m:t>
                </m:r>
              </m:sub>
            </m:sSub>
          </m:e>
        </m:d>
        <m:r>
          <m:rPr>
            <m:sty m:val="p"/>
          </m:rPr>
          <m:t>=</m:t>
        </m:r>
        <m:r>
          <m:t>β</m:t>
        </m:r>
        <m:r>
          <m:rPr>
            <m:sty m:val="p"/>
          </m:rPr>
          <m:t>log</m:t>
        </m:r>
        <m:f>
          <m:fPr>
            <m:type m:val="bar"/>
          </m:fPr>
          <m:num>
            <m:sSub>
              <m:e>
                <m:r>
                  <m:t>π</m:t>
                </m:r>
              </m:e>
              <m:sub>
                <m:r>
                  <m:t>ϕ</m:t>
                </m:r>
              </m:sub>
            </m:sSub>
            <m:d>
              <m:dPr>
                <m:begChr m:val="("/>
                <m:endChr m:val=")"/>
                <m:sepChr m:val=""/>
                <m:grow/>
              </m:dPr>
              <m:e>
                <m:sSub>
                  <m:e>
                    <m:r>
                      <m:t>y</m:t>
                    </m:r>
                  </m:e>
                  <m:sub>
                    <m:r>
                      <m:t>t</m:t>
                    </m:r>
                  </m:sub>
                </m:sSub>
                <m:r>
                  <m:rPr>
                    <m:sty m:val="p"/>
                  </m:rPr>
                  <m:t>|</m:t>
                </m:r>
                <m:sSub>
                  <m:e>
                    <m:r>
                      <m:t>y</m:t>
                    </m:r>
                  </m:e>
                  <m:sub>
                    <m:r>
                      <m:rPr>
                        <m:sty m:val="p"/>
                      </m:rPr>
                      <m:t>&lt;</m:t>
                    </m:r>
                    <m:r>
                      <m:t>t</m:t>
                    </m:r>
                  </m:sub>
                </m:sSub>
              </m:e>
            </m:d>
          </m:num>
          <m:den>
            <m:sSub>
              <m:e>
                <m:r>
                  <m:t>π</m:t>
                </m:r>
              </m:e>
              <m:sub>
                <m:r>
                  <m:t>r</m:t>
                </m:r>
                <m:r>
                  <m:t>e</m:t>
                </m:r>
                <m:r>
                  <m:t>f</m:t>
                </m:r>
              </m:sub>
            </m:sSub>
            <m:d>
              <m:dPr>
                <m:begChr m:val="("/>
                <m:endChr m:val=")"/>
                <m:sepChr m:val=""/>
                <m:grow/>
              </m:dPr>
              <m:e>
                <m:sSub>
                  <m:e>
                    <m:r>
                      <m:t>y</m:t>
                    </m:r>
                  </m:e>
                  <m:sub>
                    <m:r>
                      <m:t>t</m:t>
                    </m:r>
                  </m:sub>
                </m:sSub>
                <m:r>
                  <m:rPr>
                    <m:sty m:val="p"/>
                  </m:rPr>
                  <m:t>|</m:t>
                </m:r>
                <m:sSub>
                  <m:e>
                    <m:r>
                      <m:t>y</m:t>
                    </m:r>
                  </m:e>
                  <m:sub>
                    <m:r>
                      <m:rPr>
                        <m:sty m:val="p"/>
                      </m:rPr>
                      <m:t>&lt;</m:t>
                    </m:r>
                    <m:r>
                      <m:t>t</m:t>
                    </m:r>
                  </m:sub>
                </m:sSub>
              </m:e>
            </m:d>
          </m:den>
        </m:f>
      </m:oMath>
      <w:r>
        <w:t xml:space="preserve"> </w:t>
      </w:r>
      <w:r>
        <w:t xml:space="preserve">可以在线计算，策略和PRM同步更新，彻底消除了对任何显式标注的需求</w:t>
      </w:r>
      <w:r>
        <w:t xml:space="preserve"> </w:t>
      </w:r>
      <w:fldSimple w:instr="NOTEREF _Ref_Footnote_21 \h \f">
        <w:r>
          <w:rPr>
            <w:vertAlign w:val="superscript"/>
          </w:rPr>
          <w:t>21</w:t>
        </w:r>
      </w:fldSimple>
      <w:r>
        <w:t xml:space="preserve">。PRIME的训练框架为FreePRM和ThinkPRM提供了理论基础——当显式标注不可得时，从策略动态中隐式推导过程信号是一种可行的替代方案。</w:t>
      </w:r>
    </w:p>
    <w:p>
      <w:pPr>
        <w:pStyle w:val="BodyText"/>
      </w:pPr>
      <w:r>
        <w:t xml:space="preserve">各信用分配方法在计算开销与精度之间的权衡关系（图1）揭示了当前领域的实践共识：对于计算资源受限的场景，critic-free的step-level方法（SPRO、GiGPO）以较低的部署成本提供了足够的信用精度；对于追求最高推理质量的场景，token-level的VinePPO或TEMPO配合tree-based估计提供了最优的信用分配质量；而对于多轮Agent交互，turn-level的分层架构（ArCHer、SWEET-RL）则是应对超长horizon的合理选择。随着自动化标注技术的进步，PRM的训练门槛正在快速下降——从Math-Shepherd的高成本MC采样到ThinkPRM仅需1%种子标注，信用分配方法的选择将越来越多地取决于任务的固有特性而非标注资源的可用性。</w:t>
      </w:r>
    </w:p>
    <w:bookmarkEnd w:id="73"/>
    <w:bookmarkEnd w:id="74"/>
    <w:bookmarkStart w:id="91" w:name="rlvr可验证奖励训练与推理模型"/>
    <w:p>
      <w:pPr>
        <w:pStyle w:val="Heading2"/>
      </w:pPr>
      <w:r>
        <w:t xml:space="preserve">4. RLVR可验证奖励训练与推理模型</w:t>
      </w:r>
    </w:p>
    <w:p>
      <w:pPr>
        <w:pStyle w:val="FirstParagraph"/>
      </w:pPr>
      <w:r>
        <w:t xml:space="preserve">Reinforcement Learning with Verifiable Rewards（RLVR，可验证奖励强化学习）是2024—2025年大语言模型后训练领域最具变革性的范式之一。与依赖人类偏好标注的传统RLHF不同，RLVR利用数学答案正确性、代码测试通过等可自动验证的结果作为奖励信号，直接驱动策略优化。这一范式 shift 的核心在于：模型通过与可验证答案的交互自主探索解题路径，而非模仿人类标注的思维链。DeepSeek-R1/R1-Zero的出现标志着该范式的成熟——它不仅证明了纯RL可以激发大规模语言模型的复杂推理能力，更催生了以GRPO（Group Relative Policy Optimization）为核心的训练框架生态，使得从671B参数的超大型模型到1.5B的小模型均可通过RLVR获得显著的能力提升。</w:t>
      </w:r>
    </w:p>
    <w:bookmarkStart w:id="81" w:name="deepseek-r1r1-zero训练解析"/>
    <w:p>
      <w:pPr>
        <w:pStyle w:val="Heading3"/>
      </w:pPr>
      <w:r>
        <w:t xml:space="preserve">4.1 DeepSeek-R1/R1-Zero训练解析</w:t>
      </w:r>
    </w:p>
    <w:bookmarkStart w:id="75" w:name="r1-zero纯rl训练的里程碑"/>
    <w:p>
      <w:pPr>
        <w:pStyle w:val="Heading4"/>
      </w:pPr>
      <w:r>
        <w:t xml:space="preserve">4.1.1 R1-Zero：纯RL训练的里程碑</w:t>
      </w:r>
    </w:p>
    <w:p>
      <w:pPr>
        <w:pStyle w:val="FirstParagraph"/>
      </w:pPr>
      <w:r>
        <w:t xml:space="preserve">DeepSeek-R1-Zero是首个完全通过强化学习、不经过任何监督微调（Supervised Fine-Tuning, SFT）冷启动而直接从Base模型训练获得强推理能力的公开研究。</w:t>
      </w:r>
      <w:fldSimple w:instr="NOTEREF _Ref_Footnote_2 \h \f">
        <w:r>
          <w:rPr>
            <w:vertAlign w:val="superscript"/>
          </w:rPr>
          <w:t>2</w:t>
        </w:r>
      </w:fldSimple>
      <w:r>
        <w:t xml:space="preserve">该实验从DeepSeek-V3-Base（671B参数MoE架构，37B激活参数）出发，仅使用GRPO算法配合简单的规则奖励进行大规模RL训练。在AIME 2024（American Invitational Mathematics Examination）上，模型Pass@1准确率从初始的15.6%提升至71.0%，通过多数投票（majority voting）可进一步达到86.7%——这一水平已接近OpenAI-o1-0912的表现。</w:t>
      </w:r>
    </w:p>
    <w:p>
      <w:pPr>
        <w:pStyle w:val="BodyText"/>
      </w:pPr>
      <w:r>
        <w:t xml:space="preserve">R1-Zero的核心意义在于验证了LLM的推理能力可以通过纯粹的RL激励完全激活，无需SFT提供任何先验推理模式。训练过程中，研究者观察到了一系列自发涌现的复杂认知行为：早期response长度稳定增长，中期出现自我验证（self-verification）和反思（reflection），中后期则发展出错题回溯（backtracking）和多解法尝试。</w:t>
      </w:r>
      <w:fldSimple w:instr="NOTEREF _Ref_Footnote_5 \h \f">
        <w:r>
          <w:rPr>
            <w:vertAlign w:val="superscript"/>
          </w:rPr>
          <w:t>5</w:t>
        </w:r>
      </w:fldSimple>
      <w:r>
        <w:t xml:space="preserve">其中最具代表性的是所谓的”Aha Moment”——模型会以拟人化口吻重新思考（如”Wait, let me reconsider…</w:t>
      </w:r>
      <w:r>
        <w:t xml:space="preserve">“</w:t>
      </w:r>
      <w:r>
        <w:t xml:space="preserve">），标志着模型开始自主发现更优的解题策略。这些行为并非预先设计，而是RL优化过程中自然演化的结果，表明预训练模型中潜藏的推理能力可以通过恰当的奖励机制被有效</w:t>
      </w:r>
      <w:r>
        <w:t xml:space="preserve">”</w:t>
      </w:r>
      <w:r>
        <w:t xml:space="preserve">挖掘”。</w:t>
      </w:r>
    </w:p>
    <w:bookmarkEnd w:id="75"/>
    <w:bookmarkStart w:id="79" w:name="r1完整版四阶段pipeline"/>
    <w:p>
      <w:pPr>
        <w:pStyle w:val="Heading4"/>
      </w:pPr>
      <w:r>
        <w:t xml:space="preserve">4.1.2 R1完整版四阶段Pipeline</w:t>
      </w:r>
    </w:p>
    <w:p>
      <w:pPr>
        <w:pStyle w:val="FirstParagraph"/>
      </w:pPr>
      <w:r>
        <w:t xml:space="preserve">在R1-Zero验证纯RL可行性之后，DeepSeek-R1完整版采用四阶段训练Pipeline，在保留推理能力的同时显著改善输出的可读性和通用性：</w:t>
      </w:r>
      <w:fldSimple w:instr="NOTEREF _Ref_Footnote_13 \h \f">
        <w:r>
          <w:rPr>
            <w:vertAlign w:val="superscript"/>
          </w:rPr>
          <w:t>13</w:t>
        </w:r>
      </w:fldSimple>
      <w:r>
        <w:drawing>
          <wp:inline>
            <wp:extent cx="5334000" cy="3045510"/>
            <wp:effectExtent b="0" l="0" r="0" t="0"/>
            <wp:docPr descr="R1四阶段Pipeline" title="" id="77" name="Picture"/>
            <a:graphic>
              <a:graphicData uri="http://schemas.openxmlformats.org/drawingml/2006/picture">
                <pic:pic>
                  <pic:nvPicPr>
                    <pic:cNvPr descr="r1_pipeline_fig.png" id="78" name="Picture"/>
                    <pic:cNvPicPr>
                      <a:picLocks noChangeArrowheads="1" noChangeAspect="1"/>
                    </pic:cNvPicPr>
                  </pic:nvPicPr>
                  <pic:blipFill>
                    <a:blip r:embed="rId76"/>
                    <a:stretch>
                      <a:fillRect/>
                    </a:stretch>
                  </pic:blipFill>
                  <pic:spPr bwMode="auto">
                    <a:xfrm>
                      <a:off x="0" y="0"/>
                      <a:ext cx="5334000" cy="3045510"/>
                    </a:xfrm>
                    <a:prstGeom prst="rect">
                      <a:avLst/>
                    </a:prstGeom>
                    <a:noFill/>
                    <a:ln w="9525">
                      <a:noFill/>
                      <a:headEnd/>
                      <a:tailEnd/>
                    </a:ln>
                  </pic:spPr>
                </pic:pic>
              </a:graphicData>
            </a:graphic>
          </wp:inline>
        </w:drawing>
      </w:r>
    </w:p>
    <w:p>
      <w:pPr>
        <w:pStyle w:val="BodyText"/>
      </w:pPr>
      <w:r>
        <w:rPr>
          <w:bCs/>
          <w:b/>
        </w:rPr>
        <w:t xml:space="preserve">表1：DeepSeek-R1四阶段训练Pipeline详细流程</w:t>
      </w:r>
    </w:p>
    <w:tbl>
      <w:tblPr>
        <w:tblStyle w:val="Table"/>
        <w:tblW w:type="pct" w:w="5000"/>
        <w:tblLook w:firstRow="1" w:lastRow="0" w:firstColumn="0" w:lastColumn="0" w:noHBand="0" w:noVBand="0" w:val="0020"/>
      </w:tblPr>
      <w:tblGrid>
        <w:gridCol w:w="1131"/>
        <w:gridCol w:w="1131"/>
        <w:gridCol w:w="1885"/>
        <w:gridCol w:w="1131"/>
        <w:gridCol w:w="2640"/>
      </w:tblGrid>
      <w:tr>
        <w:trPr>
          <w:tblHeader w:val="true"/>
        </w:trPr>
        <w:tc>
          <w:tcPr/>
          <w:p>
            <w:pPr>
              <w:pStyle w:val="Compact"/>
              <w:jc w:val="left"/>
            </w:pPr>
            <w:r>
              <w:t xml:space="preserve">阶段</w:t>
            </w:r>
          </w:p>
        </w:tc>
        <w:tc>
          <w:tcPr/>
          <w:p>
            <w:pPr>
              <w:pStyle w:val="Compact"/>
              <w:jc w:val="left"/>
            </w:pPr>
            <w:r>
              <w:t xml:space="preserve">输入</w:t>
            </w:r>
          </w:p>
        </w:tc>
        <w:tc>
          <w:tcPr/>
          <w:p>
            <w:pPr>
              <w:pStyle w:val="Compact"/>
              <w:jc w:val="left"/>
            </w:pPr>
            <w:r>
              <w:t xml:space="preserve">处理方法</w:t>
            </w:r>
          </w:p>
        </w:tc>
        <w:tc>
          <w:tcPr/>
          <w:p>
            <w:pPr>
              <w:pStyle w:val="Compact"/>
              <w:jc w:val="left"/>
            </w:pPr>
            <w:r>
              <w:t xml:space="preserve">输出</w:t>
            </w:r>
          </w:p>
        </w:tc>
        <w:tc>
          <w:tcPr/>
          <w:p>
            <w:pPr>
              <w:pStyle w:val="Compact"/>
              <w:jc w:val="left"/>
            </w:pPr>
            <w:r>
              <w:t xml:space="preserve">关键参数/说明</w:t>
            </w:r>
          </w:p>
        </w:tc>
      </w:tr>
      <w:tr>
        <w:tc>
          <w:tcPr/>
          <w:p>
            <w:pPr>
              <w:pStyle w:val="Compact"/>
              <w:jc w:val="left"/>
            </w:pPr>
            <w:r>
              <w:t xml:space="preserve">Stage 1: Cold Start SFT</w:t>
            </w:r>
          </w:p>
        </w:tc>
        <w:tc>
          <w:tcPr/>
          <w:p>
            <w:pPr>
              <w:pStyle w:val="Compact"/>
              <w:jc w:val="left"/>
            </w:pPr>
            <w:r>
              <w:t xml:space="preserve">DeepSeek-V3-Base + 数千条高质量长CoT样本</w:t>
            </w:r>
            <w:r>
              <w:t xml:space="preserve"> </w:t>
            </w:r>
            <w:fldSimple w:instr="NOTEREF _Ref_Footnote_13 \h \f">
              <w:r>
                <w:rPr>
                  <w:vertAlign w:val="superscript"/>
                </w:rPr>
                <w:t>13</w:t>
              </w:r>
            </w:fldSimple>
          </w:p>
        </w:tc>
        <w:tc>
          <w:tcPr/>
          <w:p>
            <w:pPr>
              <w:pStyle w:val="Compact"/>
              <w:jc w:val="left"/>
            </w:pPr>
            <w:r>
              <w:t xml:space="preserve">Few-shot prompting、人工标注与R1-Zero生成样本混合，对Base模型SFT</w:t>
            </w:r>
          </w:p>
        </w:tc>
        <w:tc>
          <w:tcPr/>
          <w:p>
            <w:pPr>
              <w:pStyle w:val="Compact"/>
              <w:jc w:val="left"/>
            </w:pPr>
            <w:r>
              <w:t xml:space="preserve">Cold Start模型</w:t>
            </w:r>
          </w:p>
        </w:tc>
        <w:tc>
          <w:tcPr/>
          <w:p>
            <w:pPr>
              <w:pStyle w:val="Compact"/>
              <w:jc w:val="left"/>
            </w:pPr>
            <w:r>
              <w:t xml:space="preserve">数据量约K级，目的为加速RL前期收敛并提高可读性</w:t>
            </w:r>
          </w:p>
        </w:tc>
      </w:tr>
      <w:tr>
        <w:tc>
          <w:tcPr/>
          <w:p>
            <w:pPr>
              <w:pStyle w:val="Compact"/>
              <w:jc w:val="left"/>
            </w:pPr>
            <w:r>
              <w:t xml:space="preserve">Stage 2: 推理导向RL</w:t>
            </w:r>
          </w:p>
        </w:tc>
        <w:tc>
          <w:tcPr/>
          <w:p>
            <w:pPr>
              <w:pStyle w:val="Compact"/>
              <w:jc w:val="left"/>
            </w:pPr>
            <w:r>
              <w:t xml:space="preserve">Cold Start模型</w:t>
            </w:r>
          </w:p>
        </w:tc>
        <w:tc>
          <w:tcPr/>
          <w:p>
            <w:pPr>
              <w:pStyle w:val="Compact"/>
              <w:jc w:val="left"/>
            </w:pPr>
            <w:r>
              <w:t xml:space="preserve">使用GRPO算法大规模RL训练，覆盖数学/代码/推理任务，引入语言一致性奖励</w:t>
            </w:r>
          </w:p>
        </w:tc>
        <w:tc>
          <w:tcPr/>
          <w:p>
            <w:pPr>
              <w:pStyle w:val="Compact"/>
              <w:jc w:val="left"/>
            </w:pPr>
            <w:r>
              <w:t xml:space="preserve">推理RL Checkpoint</w:t>
            </w:r>
          </w:p>
        </w:tc>
        <w:tc>
          <w:tcPr/>
          <w:p>
            <w:pPr>
              <w:pStyle w:val="Compact"/>
              <w:jc w:val="left"/>
            </w:pPr>
            <w:r>
              <w:t xml:space="preserve">同R1-Zero的RL方法，额外解决语言混合问题</w:t>
            </w:r>
          </w:p>
        </w:tc>
      </w:tr>
      <w:tr>
        <w:tc>
          <w:tcPr/>
          <w:p>
            <w:pPr>
              <w:pStyle w:val="Compact"/>
              <w:jc w:val="left"/>
            </w:pPr>
            <w:r>
              <w:t xml:space="preserve">Stage 3: Rejection Sampling + SFT</w:t>
            </w:r>
          </w:p>
        </w:tc>
        <w:tc>
          <w:tcPr/>
          <w:p>
            <w:pPr>
              <w:pStyle w:val="Compact"/>
              <w:jc w:val="left"/>
            </w:pPr>
            <w:r>
              <w:t xml:space="preserve">Stage 2 RL checkpoint</w:t>
            </w:r>
          </w:p>
        </w:tc>
        <w:tc>
          <w:tcPr/>
          <w:p>
            <w:pPr>
              <w:pStyle w:val="Compact"/>
              <w:jc w:val="left"/>
            </w:pPr>
            <w:r>
              <w:t xml:space="preserve">Rejection Sampling收集600K推理样本 + 200K非推理样本（写作、QA等），在</w:t>
            </w:r>
            <w:r>
              <w:rPr>
                <w:bCs/>
                <w:b/>
              </w:rPr>
              <w:t xml:space="preserve">V3-Base</w:t>
            </w:r>
            <w:r>
              <w:t xml:space="preserve">上重新SFT</w:t>
            </w:r>
          </w:p>
        </w:tc>
        <w:tc>
          <w:tcPr/>
          <w:p>
            <w:pPr>
              <w:pStyle w:val="Compact"/>
              <w:jc w:val="left"/>
            </w:pPr>
            <w:r>
              <w:t xml:space="preserve">SFT推理模型</w:t>
            </w:r>
          </w:p>
        </w:tc>
        <w:tc>
          <w:tcPr/>
          <w:p>
            <w:pPr>
              <w:pStyle w:val="Compact"/>
              <w:jc w:val="left"/>
            </w:pPr>
            <w:r>
              <w:t xml:space="preserve">关键设计：在Base而非RL模型上重训，避免RL偏差累积</w:t>
            </w:r>
          </w:p>
        </w:tc>
      </w:tr>
      <w:tr>
        <w:tc>
          <w:tcPr/>
          <w:p>
            <w:pPr>
              <w:pStyle w:val="Compact"/>
              <w:jc w:val="left"/>
            </w:pPr>
            <w:r>
              <w:t xml:space="preserve">Stage 4: 对齐RL</w:t>
            </w:r>
          </w:p>
        </w:tc>
        <w:tc>
          <w:tcPr/>
          <w:p>
            <w:pPr>
              <w:pStyle w:val="Compact"/>
              <w:jc w:val="left"/>
            </w:pPr>
            <w:r>
              <w:t xml:space="preserve">Stage 3 SFT模型</w:t>
            </w:r>
          </w:p>
        </w:tc>
        <w:tc>
          <w:tcPr/>
          <w:p>
            <w:pPr>
              <w:pStyle w:val="Compact"/>
              <w:jc w:val="left"/>
            </w:pPr>
            <w:r>
              <w:t xml:space="preserve">在人类偏好数据上进行RL，优化helpfulness与harmlessness</w:t>
            </w:r>
          </w:p>
        </w:tc>
        <w:tc>
          <w:tcPr/>
          <w:p>
            <w:pPr>
              <w:pStyle w:val="Compact"/>
              <w:jc w:val="left"/>
            </w:pPr>
            <w:r>
              <w:t xml:space="preserve">DeepSeek-R1最终模型</w:t>
            </w:r>
          </w:p>
        </w:tc>
        <w:tc>
          <w:tcPr/>
          <w:p>
            <w:pPr>
              <w:pStyle w:val="Compact"/>
              <w:jc w:val="left"/>
            </w:pPr>
            <w:r>
              <w:t xml:space="preserve">使用RLHF风格的对齐训练，保持Stage 3获得的推理能力</w:t>
            </w:r>
          </w:p>
        </w:tc>
      </w:tr>
    </w:tbl>
    <w:p>
      <w:pPr>
        <w:pStyle w:val="BodyText"/>
      </w:pPr>
      <w:r>
        <w:t xml:space="preserve">Stage 3的设计尤为关键。DeepSeek团队选择将Stage 2 RL checkpoint生成的样本用于在</w:t>
      </w:r>
      <w:r>
        <w:rPr>
          <w:bCs/>
          <w:b/>
        </w:rPr>
        <w:t xml:space="preserve">V3-Base</w:t>
      </w:r>
      <w:r>
        <w:t xml:space="preserve">上重新SFT，而非在RL模型上继续训练。这一决策基于一个重要的经验观察：大规模RL训练虽然能产生强推理能力，但同时会引入可读性下降、语言混合等副产品。通过在干净的Base模型上重新学习，可以在保留核心推理能力的同时获得更规范的输出格式。</w:t>
      </w:r>
      <w:fldSimple w:instr="NOTEREF _Ref_Footnote_13 \h \f">
        <w:r>
          <w:rPr>
            <w:vertAlign w:val="superscript"/>
          </w:rPr>
          <w:t>13</w:t>
        </w:r>
      </w:fldSimple>
      <w:r>
        <w:t xml:space="preserve">Stage 4的对齐RL则进一步确保模型在通用对话和安全性方面的表现，形成推理能力与通用能力的平衡。</w:t>
      </w:r>
    </w:p>
    <w:bookmarkEnd w:id="79"/>
    <w:bookmarkStart w:id="80" w:name="奖励设计正确性格式与语言一致性"/>
    <w:p>
      <w:pPr>
        <w:pStyle w:val="Heading4"/>
      </w:pPr>
      <w:r>
        <w:t xml:space="preserve">4.1.3 奖励设计：正确性、格式与语言一致性</w:t>
      </w:r>
    </w:p>
    <w:p>
      <w:pPr>
        <w:pStyle w:val="FirstParagraph"/>
      </w:pPr>
      <w:r>
        <w:t xml:space="preserve">DeepSeek-R1-Zero的奖励系统仅包含两种规则奖励，刻意避免使用神经网络奖励模型（包括Outcome Reward Model和Process Reward Model），因为后者在大规模RL训练中容易出现reward hacking。</w:t>
      </w:r>
      <w:fldSimple w:instr="NOTEREF _Ref_Footnote_4 \h \f">
        <w:r>
          <w:rPr>
            <w:vertAlign w:val="superscript"/>
          </w:rPr>
          <w:t>4</w:t>
        </w:r>
      </w:fldSimple>
      <w:r>
        <w:rPr>
          <w:bCs/>
          <w:b/>
        </w:rPr>
        <w:t xml:space="preserve">正确性奖励（Accuracy Reward）</w:t>
      </w:r>
      <w:r>
        <w:t xml:space="preserve">是核心驱动信号。对于数学问题，系统通过规则验证器（如SymPy符号计算）判断最终答案是否正确，正确得1分，错误得0分；对于代码问题，则通过测试用例执行结果判定。这种二元奖励虽然简单，但在GRPO的组内标准化机制下能够有效传播学习信号。</w:t>
      </w:r>
    </w:p>
    <w:p>
      <w:pPr>
        <w:pStyle w:val="BodyText"/>
      </w:pPr>
      <w:r>
        <w:rPr>
          <w:bCs/>
          <w:b/>
        </w:rPr>
        <w:t xml:space="preserve">格式奖励（Format Reward）</w:t>
      </w:r>
      <w:r>
        <w:t xml:space="preserve">要求推理过程必须放在</w:t>
      </w:r>
      <w:r>
        <w:rPr>
          <w:rStyle w:val="VerbatimChar"/>
        </w:rPr>
        <w:t xml:space="preserve">&lt;think&gt;</w:t>
      </w:r>
      <w:r>
        <w:t xml:space="preserve">和</w:t>
      </w:r>
      <w:r>
        <w:rPr>
          <w:rStyle w:val="VerbatimChar"/>
        </w:rPr>
        <w:t xml:space="preserve">&lt;/think&gt;</w:t>
      </w:r>
      <w:r>
        <w:t xml:space="preserve">标签内。这一设计的目的是促使模型形成结构化的思考模式，而非直接输出答案。格式奖励同样为二元值——符合格式得1分，否则得0分。</w:t>
      </w:r>
    </w:p>
    <w:p>
      <w:pPr>
        <w:pStyle w:val="BodyText"/>
      </w:pPr>
      <w:r>
        <w:t xml:space="preserve">在R1完整版的Stage 2中，团队额外引入了</w:t>
      </w:r>
      <w:r>
        <w:rPr>
          <w:bCs/>
          <w:b/>
        </w:rPr>
        <w:t xml:space="preserve">语言一致性奖励（Language Consistency Reward）</w:t>
      </w:r>
      <w:r>
        <w:t xml:space="preserve">，用于解决R1-Zero中出现的语言混合（language mixing）问题——即模型在推理过程中在不同语言间频繁切换，影响输出可读性。该奖励通过检测目标语言的一致性来计算，与前两项奖励共同构成三元奖励系统。实验表明，语言一致性奖励的加入显著改善了输出的可读性，同时对推理性能无显著负面影响。</w:t>
      </w:r>
    </w:p>
    <w:p>
      <w:pPr>
        <w:pStyle w:val="BodyText"/>
      </w:pPr>
      <w:r>
        <w:rPr>
          <w:bCs/>
          <w:b/>
        </w:rPr>
        <w:t xml:space="preserve">表2：DeepSeek-R1系列奖励设计演进</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组件</w:t>
            </w:r>
          </w:p>
        </w:tc>
        <w:tc>
          <w:tcPr/>
          <w:p>
            <w:pPr>
              <w:pStyle w:val="Compact"/>
              <w:jc w:val="left"/>
            </w:pPr>
            <w:r>
              <w:t xml:space="preserve">R1-Zero</w:t>
            </w:r>
          </w:p>
        </w:tc>
        <w:tc>
          <w:tcPr/>
          <w:p>
            <w:pPr>
              <w:pStyle w:val="Compact"/>
              <w:jc w:val="left"/>
            </w:pPr>
            <w:r>
              <w:t xml:space="preserve">R1完整版</w:t>
            </w:r>
          </w:p>
        </w:tc>
        <w:tc>
          <w:tcPr/>
          <w:p>
            <w:pPr>
              <w:pStyle w:val="Compact"/>
              <w:jc w:val="left"/>
            </w:pPr>
            <w:r>
              <w:t xml:space="preserve">说明</w:t>
            </w:r>
          </w:p>
        </w:tc>
      </w:tr>
      <w:tr>
        <w:tc>
          <w:tcPr/>
          <w:p>
            <w:pPr>
              <w:pStyle w:val="Compact"/>
              <w:jc w:val="left"/>
            </w:pPr>
            <w:r>
              <w:t xml:space="preserve">正确性奖励</w:t>
            </w:r>
          </w:p>
        </w:tc>
        <w:tc>
          <w:tcPr/>
          <w:p>
            <w:pPr>
              <w:pStyle w:val="Compact"/>
              <w:jc w:val="left"/>
            </w:pPr>
            <w:r>
              <w:t xml:space="preserve">✓ (0/1)</w:t>
            </w:r>
          </w:p>
        </w:tc>
        <w:tc>
          <w:tcPr/>
          <w:p>
            <w:pPr>
              <w:pStyle w:val="Compact"/>
              <w:jc w:val="left"/>
            </w:pPr>
            <w:r>
              <w:t xml:space="preserve">✓ (0/1)</w:t>
            </w:r>
          </w:p>
        </w:tc>
        <w:tc>
          <w:tcPr/>
          <w:p>
            <w:pPr>
              <w:pStyle w:val="Compact"/>
              <w:jc w:val="left"/>
            </w:pPr>
            <w:r>
              <w:t xml:space="preserve">数学规则验证/代码测试用例</w:t>
            </w:r>
            <w:r>
              <w:t xml:space="preserve"> </w:t>
            </w:r>
            <w:fldSimple w:instr="NOTEREF _Ref_Footnote_4 \h \f">
              <w:r>
                <w:rPr>
                  <w:vertAlign w:val="superscript"/>
                </w:rPr>
                <w:t>4</w:t>
              </w:r>
            </w:fldSimple>
          </w:p>
        </w:tc>
      </w:tr>
      <w:tr>
        <w:tc>
          <w:tcPr/>
          <w:p>
            <w:pPr>
              <w:pStyle w:val="Compact"/>
              <w:jc w:val="left"/>
            </w:pPr>
            <w:r>
              <w:t xml:space="preserve">格式奖励</w:t>
            </w:r>
          </w:p>
        </w:tc>
        <w:tc>
          <w:tcPr/>
          <w:p>
            <w:pPr>
              <w:pStyle w:val="Compact"/>
              <w:jc w:val="left"/>
            </w:pPr>
            <w:r>
              <w:t xml:space="preserve">✓ (0/1)</w:t>
            </w:r>
          </w:p>
        </w:tc>
        <w:tc>
          <w:tcPr/>
          <w:p>
            <w:pPr>
              <w:pStyle w:val="Compact"/>
              <w:jc w:val="left"/>
            </w:pPr>
            <w:r>
              <w:t xml:space="preserve">✓ (0/1)</w:t>
            </w:r>
          </w:p>
        </w:tc>
        <w:tc>
          <w:tcPr/>
          <w:p>
            <w:pPr>
              <w:pStyle w:val="Compact"/>
              <w:jc w:val="left"/>
            </w:pPr>
            <w:r>
              <w:rPr>
                <w:rStyle w:val="VerbatimChar"/>
              </w:rPr>
              <w:t xml:space="preserve">&lt;think&gt;</w:t>
            </w:r>
            <w:r>
              <w:t xml:space="preserve">标签约束</w:t>
            </w:r>
          </w:p>
        </w:tc>
      </w:tr>
      <w:tr>
        <w:tc>
          <w:tcPr/>
          <w:p>
            <w:pPr>
              <w:pStyle w:val="Compact"/>
              <w:jc w:val="left"/>
            </w:pPr>
            <w:r>
              <w:t xml:space="preserve">语言一致性奖励</w:t>
            </w:r>
          </w:p>
        </w:tc>
        <w:tc>
          <w:tcPr/>
          <w:p>
            <w:pPr>
              <w:pStyle w:val="Compact"/>
              <w:jc w:val="left"/>
            </w:pPr>
            <w:r>
              <w:t xml:space="preserve">✗</w:t>
            </w:r>
          </w:p>
        </w:tc>
        <w:tc>
          <w:tcPr/>
          <w:p>
            <w:pPr>
              <w:pStyle w:val="Compact"/>
              <w:jc w:val="left"/>
            </w:pPr>
            <w:r>
              <w:t xml:space="preserve">✓</w:t>
            </w:r>
          </w:p>
        </w:tc>
        <w:tc>
          <w:tcPr/>
          <w:p>
            <w:pPr>
              <w:pStyle w:val="Compact"/>
              <w:jc w:val="left"/>
            </w:pPr>
            <w:r>
              <w:t xml:space="preserve">解决语言混合问题</w:t>
            </w:r>
          </w:p>
        </w:tc>
      </w:tr>
      <w:tr>
        <w:tc>
          <w:tcPr/>
          <w:p>
            <w:pPr>
              <w:pStyle w:val="Compact"/>
              <w:jc w:val="left"/>
            </w:pPr>
            <w:r>
              <w:t xml:space="preserve">神经网络RM</w:t>
            </w:r>
          </w:p>
        </w:tc>
        <w:tc>
          <w:tcPr/>
          <w:p>
            <w:pPr>
              <w:pStyle w:val="Compact"/>
              <w:jc w:val="left"/>
            </w:pPr>
            <w:r>
              <w:t xml:space="preserve">✗</w:t>
            </w:r>
          </w:p>
        </w:tc>
        <w:tc>
          <w:tcPr/>
          <w:p>
            <w:pPr>
              <w:pStyle w:val="Compact"/>
              <w:jc w:val="left"/>
            </w:pPr>
            <w:r>
              <w:t xml:space="preserve">✗</w:t>
            </w:r>
          </w:p>
        </w:tc>
        <w:tc>
          <w:tcPr/>
          <w:p>
            <w:pPr>
              <w:pStyle w:val="Compact"/>
              <w:jc w:val="left"/>
            </w:pPr>
            <w:r>
              <w:t xml:space="preserve">避免reward hacking</w:t>
            </w:r>
          </w:p>
        </w:tc>
      </w:tr>
    </w:tbl>
    <w:bookmarkEnd w:id="80"/>
    <w:bookmarkEnd w:id="81"/>
    <w:bookmarkStart w:id="85" w:name="开源复现生态"/>
    <w:p>
      <w:pPr>
        <w:pStyle w:val="Heading3"/>
      </w:pPr>
      <w:r>
        <w:t xml:space="preserve">4.2 开源复现生态</w:t>
      </w:r>
    </w:p>
    <w:p>
      <w:pPr>
        <w:pStyle w:val="FirstParagraph"/>
      </w:pPr>
      <w:r>
        <w:t xml:space="preserve">DeepSeek-R1的技术报告发布后，开源社区迅速展开了大规模复现工作。这些复现不仅验证了R1训练方法的可重复性，更在降低训练成本、适配小模型等方面取得了重要突破。</w:t>
      </w:r>
    </w:p>
    <w:p>
      <w:pPr>
        <w:pStyle w:val="BodyText"/>
      </w:pPr>
      <w:r>
        <w:rPr>
          <w:bCs/>
          <w:b/>
        </w:rPr>
        <w:t xml:space="preserve">表3：DeepSeek-R1开源复现项目对比</w:t>
      </w:r>
    </w:p>
    <w:tbl>
      <w:tblPr>
        <w:tblStyle w:val="Table"/>
        <w:tblW w:type="pct" w:w="5000"/>
        <w:tblLook w:firstRow="1" w:lastRow="0" w:firstColumn="0" w:lastColumn="0" w:noHBand="0" w:noVBand="0" w:val="0020"/>
      </w:tblPr>
      <w:tblGrid>
        <w:gridCol w:w="720"/>
        <w:gridCol w:w="720"/>
        <w:gridCol w:w="1200"/>
        <w:gridCol w:w="720"/>
        <w:gridCol w:w="960"/>
        <w:gridCol w:w="1200"/>
        <w:gridCol w:w="1200"/>
        <w:gridCol w:w="1200"/>
      </w:tblGrid>
      <w:tr>
        <w:trPr>
          <w:tblHeader w:val="true"/>
        </w:trPr>
        <w:tc>
          <w:tcPr/>
          <w:p>
            <w:pPr>
              <w:pStyle w:val="Compact"/>
              <w:jc w:val="left"/>
            </w:pPr>
            <w:r>
              <w:t xml:space="preserve">项目</w:t>
            </w:r>
          </w:p>
        </w:tc>
        <w:tc>
          <w:tcPr/>
          <w:p>
            <w:pPr>
              <w:pStyle w:val="Compact"/>
              <w:jc w:val="left"/>
            </w:pPr>
            <w:r>
              <w:t xml:space="preserve">机构</w:t>
            </w:r>
          </w:p>
        </w:tc>
        <w:tc>
          <w:tcPr/>
          <w:p>
            <w:pPr>
              <w:pStyle w:val="Compact"/>
              <w:jc w:val="left"/>
            </w:pPr>
            <w:r>
              <w:t xml:space="preserve">基础模型</w:t>
            </w:r>
          </w:p>
        </w:tc>
        <w:tc>
          <w:tcPr/>
          <w:p>
            <w:pPr>
              <w:pStyle w:val="Compact"/>
              <w:jc w:val="left"/>
            </w:pPr>
            <w:r>
              <w:t xml:space="preserve">大小</w:t>
            </w:r>
          </w:p>
        </w:tc>
        <w:tc>
          <w:tcPr/>
          <w:p>
            <w:pPr>
              <w:pStyle w:val="Compact"/>
              <w:jc w:val="left"/>
            </w:pPr>
            <w:r>
              <w:t xml:space="preserve">RL算法</w:t>
            </w:r>
          </w:p>
        </w:tc>
        <w:tc>
          <w:tcPr/>
          <w:p>
            <w:pPr>
              <w:pStyle w:val="Compact"/>
              <w:jc w:val="left"/>
            </w:pPr>
            <w:r>
              <w:t xml:space="preserve">训练成本</w:t>
            </w:r>
          </w:p>
        </w:tc>
        <w:tc>
          <w:tcPr/>
          <w:p>
            <w:pPr>
              <w:pStyle w:val="Compact"/>
              <w:jc w:val="left"/>
            </w:pPr>
            <w:r>
              <w:t xml:space="preserve">AIME结果</w:t>
            </w:r>
          </w:p>
        </w:tc>
        <w:tc>
          <w:tcPr/>
          <w:p>
            <w:pPr>
              <w:pStyle w:val="Compact"/>
              <w:jc w:val="left"/>
            </w:pPr>
            <w:r>
              <w:t xml:space="preserve">硬件配置</w:t>
            </w:r>
          </w:p>
        </w:tc>
      </w:tr>
      <w:tr>
        <w:tc>
          <w:tcPr/>
          <w:p>
            <w:pPr>
              <w:pStyle w:val="Compact"/>
              <w:jc w:val="left"/>
            </w:pPr>
            <w:r>
              <w:t xml:space="preserve">Open-R1</w:t>
            </w:r>
            <w:r>
              <w:t xml:space="preserve"> </w:t>
            </w:r>
            <w:fldSimple w:instr="NOTEREF _Ref_Footnote_13 \h \f">
              <w:r>
                <w:rPr>
                  <w:vertAlign w:val="superscript"/>
                </w:rPr>
                <w:t>13</w:t>
              </w:r>
            </w:fldSimple>
          </w:p>
        </w:tc>
        <w:tc>
          <w:tcPr/>
          <w:p>
            <w:pPr>
              <w:pStyle w:val="Compact"/>
              <w:jc w:val="left"/>
            </w:pPr>
            <w:r>
              <w:t xml:space="preserve">HuggingFace</w:t>
            </w:r>
          </w:p>
        </w:tc>
        <w:tc>
          <w:tcPr/>
          <w:p>
            <w:pPr>
              <w:pStyle w:val="Compact"/>
              <w:jc w:val="left"/>
            </w:pPr>
            <w:r>
              <w:t xml:space="preserve">Qwen2.5系列</w:t>
            </w:r>
          </w:p>
        </w:tc>
        <w:tc>
          <w:tcPr/>
          <w:p>
            <w:pPr>
              <w:pStyle w:val="Compact"/>
              <w:jc w:val="left"/>
            </w:pPr>
            <w:r>
              <w:t xml:space="preserve">7B-32B</w:t>
            </w:r>
          </w:p>
        </w:tc>
        <w:tc>
          <w:tcPr/>
          <w:p>
            <w:pPr>
              <w:pStyle w:val="Compact"/>
              <w:jc w:val="left"/>
            </w:pPr>
            <w:r>
              <w:t xml:space="preserve">GRPO</w:t>
            </w:r>
          </w:p>
        </w:tc>
        <w:tc>
          <w:tcPr/>
          <w:p>
            <w:pPr>
              <w:pStyle w:val="Compact"/>
              <w:jc w:val="left"/>
            </w:pPr>
            <w:r>
              <w:t xml:space="preserve">—</w:t>
            </w:r>
          </w:p>
        </w:tc>
        <w:tc>
          <w:tcPr/>
          <w:p>
            <w:pPr>
              <w:pStyle w:val="Compact"/>
              <w:jc w:val="left"/>
            </w:pPr>
            <w:r>
              <w:t xml:space="preserve">复现中</w:t>
            </w:r>
          </w:p>
        </w:tc>
        <w:tc>
          <w:tcPr/>
          <w:p>
            <w:pPr>
              <w:pStyle w:val="Compact"/>
              <w:jc w:val="left"/>
            </w:pPr>
            <w:r>
              <w:t xml:space="preserve">8 GPU (单节点) / N+1节点</w:t>
            </w:r>
          </w:p>
        </w:tc>
      </w:tr>
      <w:tr>
        <w:tc>
          <w:tcPr/>
          <w:p>
            <w:pPr>
              <w:pStyle w:val="Compact"/>
              <w:jc w:val="left"/>
            </w:pPr>
            <w:r>
              <w:t xml:space="preserve">TinyZero</w:t>
            </w:r>
            <w:r>
              <w:t xml:space="preserve"> </w:t>
            </w:r>
            <w:fldSimple w:instr="NOTEREF _Ref_Footnote_2 \h \f">
              <w:r>
                <w:rPr>
                  <w:vertAlign w:val="superscript"/>
                </w:rPr>
                <w:t>2</w:t>
              </w:r>
            </w:fldSimple>
          </w:p>
        </w:tc>
        <w:tc>
          <w:tcPr/>
          <w:p>
            <w:pPr>
              <w:pStyle w:val="Compact"/>
              <w:jc w:val="left"/>
            </w:pPr>
            <w:r>
              <w:t xml:space="preserve">UCB</w:t>
            </w:r>
          </w:p>
        </w:tc>
        <w:tc>
          <w:tcPr/>
          <w:p>
            <w:pPr>
              <w:pStyle w:val="Compact"/>
              <w:jc w:val="left"/>
            </w:pPr>
            <w:r>
              <w:t xml:space="preserve">Qwen-2.5</w:t>
            </w:r>
          </w:p>
        </w:tc>
        <w:tc>
          <w:tcPr/>
          <w:p>
            <w:pPr>
              <w:pStyle w:val="Compact"/>
              <w:jc w:val="left"/>
            </w:pPr>
            <w:r>
              <w:t xml:space="preserve">1.5B/7B</w:t>
            </w:r>
          </w:p>
        </w:tc>
        <w:tc>
          <w:tcPr/>
          <w:p>
            <w:pPr>
              <w:pStyle w:val="Compact"/>
              <w:jc w:val="left"/>
            </w:pPr>
            <w:r>
              <w:t xml:space="preserve">PPO</w:t>
            </w:r>
          </w:p>
        </w:tc>
        <w:tc>
          <w:tcPr/>
          <w:p>
            <w:pPr>
              <w:pStyle w:val="Compact"/>
              <w:jc w:val="left"/>
            </w:pPr>
            <w:r>
              <w:rPr>
                <w:bCs/>
                <w:b/>
              </w:rPr>
              <w:t xml:space="preserve">&lt;$30</w:t>
            </w:r>
          </w:p>
        </w:tc>
        <w:tc>
          <w:tcPr/>
          <w:p>
            <w:pPr>
              <w:pStyle w:val="Compact"/>
              <w:jc w:val="left"/>
            </w:pPr>
            <w:r>
              <w:t xml:space="preserve">Countdown任务</w:t>
            </w:r>
          </w:p>
        </w:tc>
        <w:tc>
          <w:tcPr/>
          <w:p>
            <w:pPr>
              <w:pStyle w:val="Compact"/>
              <w:jc w:val="left"/>
            </w:pPr>
            <w:r>
              <w:rPr>
                <w:bCs/>
                <w:b/>
              </w:rPr>
              <w:t xml:space="preserve">单GPU</w:t>
            </w:r>
            <w:r>
              <w:t xml:space="preserve"> </w:t>
            </w:r>
            <w:r>
              <w:t xml:space="preserve">(A100 80GB/RTX 4090)</w:t>
            </w:r>
          </w:p>
        </w:tc>
      </w:tr>
      <w:tr>
        <w:tc>
          <w:tcPr/>
          <w:p>
            <w:pPr>
              <w:pStyle w:val="Compact"/>
              <w:jc w:val="left"/>
            </w:pPr>
            <w:r>
              <w:t xml:space="preserve">Open-RS</w:t>
            </w:r>
          </w:p>
        </w:tc>
        <w:tc>
          <w:tcPr/>
          <w:p>
            <w:pPr>
              <w:pStyle w:val="Compact"/>
              <w:jc w:val="left"/>
            </w:pPr>
            <w:r>
              <w:t xml:space="preserve">Knovel等</w:t>
            </w:r>
          </w:p>
        </w:tc>
        <w:tc>
          <w:tcPr/>
          <w:p>
            <w:pPr>
              <w:pStyle w:val="Compact"/>
              <w:jc w:val="left"/>
            </w:pPr>
            <w:r>
              <w:t xml:space="preserve">R1-Distill-Qwen</w:t>
            </w:r>
          </w:p>
        </w:tc>
        <w:tc>
          <w:tcPr/>
          <w:p>
            <w:pPr>
              <w:pStyle w:val="Compact"/>
              <w:jc w:val="left"/>
            </w:pPr>
            <w:r>
              <w:t xml:space="preserve">1.5B</w:t>
            </w:r>
          </w:p>
        </w:tc>
        <w:tc>
          <w:tcPr/>
          <w:p>
            <w:pPr>
              <w:pStyle w:val="Compact"/>
              <w:jc w:val="left"/>
            </w:pPr>
            <w:r>
              <w:t xml:space="preserve">GRPO</w:t>
            </w:r>
          </w:p>
        </w:tc>
        <w:tc>
          <w:tcPr/>
          <w:p>
            <w:pPr>
              <w:pStyle w:val="Compact"/>
              <w:jc w:val="left"/>
            </w:pPr>
            <w:r>
              <w:rPr>
                <w:bCs/>
                <w:b/>
              </w:rPr>
              <w:t xml:space="preserve">$42</w:t>
            </w:r>
          </w:p>
        </w:tc>
        <w:tc>
          <w:tcPr/>
          <w:p>
            <w:pPr>
              <w:pStyle w:val="Compact"/>
              <w:jc w:val="left"/>
            </w:pPr>
            <w:r>
              <w:rPr>
                <w:bCs/>
                <w:b/>
              </w:rPr>
              <w:t xml:space="preserve">46.7%</w:t>
            </w:r>
            <w:r>
              <w:t xml:space="preserve"> </w:t>
            </w:r>
            <w:r>
              <w:rPr>
                <w:vertAlign w:val="superscript"/>
              </w:rPr>
              <w:footnoteReference w:id="41"/>
            </w:r>
          </w:p>
        </w:tc>
        <w:tc>
          <w:tcPr/>
          <w:p>
            <w:pPr>
              <w:pStyle w:val="Compact"/>
              <w:jc w:val="left"/>
            </w:pPr>
            <w:r>
              <w:t xml:space="preserve">4×A40 48GB (24h)</w:t>
            </w:r>
          </w:p>
        </w:tc>
      </w:tr>
      <w:tr>
        <w:tc>
          <w:tcPr/>
          <w:p>
            <w:pPr>
              <w:pStyle w:val="Compact"/>
              <w:jc w:val="left"/>
            </w:pPr>
            <w:r>
              <w:t xml:space="preserve">SimpleRL-Zoo</w:t>
            </w:r>
            <w:r>
              <w:t xml:space="preserve"> </w:t>
            </w:r>
            <w:fldSimple w:instr="NOTEREF _Ref_Footnote_41 \h \f">
              <w:r>
                <w:rPr>
                  <w:vertAlign w:val="superscript"/>
                </w:rPr>
                <w:t>41</w:t>
              </w:r>
            </w:fldSimple>
          </w:p>
        </w:tc>
        <w:tc>
          <w:tcPr/>
          <w:p>
            <w:pPr>
              <w:pStyle w:val="Compact"/>
              <w:jc w:val="left"/>
            </w:pPr>
            <w:r>
              <w:t xml:space="preserve">HKUST</w:t>
            </w:r>
          </w:p>
        </w:tc>
        <w:tc>
          <w:tcPr/>
          <w:p>
            <w:pPr>
              <w:pStyle w:val="Compact"/>
              <w:jc w:val="left"/>
            </w:pPr>
            <w:r>
              <w:t xml:space="preserve">10种模型</w:t>
            </w:r>
          </w:p>
        </w:tc>
        <w:tc>
          <w:tcPr/>
          <w:p>
            <w:pPr>
              <w:pStyle w:val="Compact"/>
              <w:jc w:val="left"/>
            </w:pPr>
            <w:r>
              <w:t xml:space="preserve">0.5B-32B</w:t>
            </w:r>
          </w:p>
        </w:tc>
        <w:tc>
          <w:tcPr/>
          <w:p>
            <w:pPr>
              <w:pStyle w:val="Compact"/>
              <w:jc w:val="left"/>
            </w:pPr>
            <w:r>
              <w:t xml:space="preserve">GRPO</w:t>
            </w:r>
          </w:p>
        </w:tc>
        <w:tc>
          <w:tcPr/>
          <w:p>
            <w:pPr>
              <w:pStyle w:val="Compact"/>
              <w:jc w:val="left"/>
            </w:pPr>
            <w:r>
              <w:t xml:space="preserve">可变</w:t>
            </w:r>
          </w:p>
        </w:tc>
        <w:tc>
          <w:tcPr/>
          <w:p>
            <w:pPr>
              <w:pStyle w:val="Compact"/>
              <w:jc w:val="left"/>
            </w:pPr>
            <w:r>
              <w:t xml:space="preserve">显著提升</w:t>
            </w:r>
          </w:p>
        </w:tc>
        <w:tc>
          <w:tcPr/>
          <w:p>
            <w:pPr>
              <w:pStyle w:val="Compact"/>
              <w:jc w:val="left"/>
            </w:pPr>
            <w:r>
              <w:t xml:space="preserve">可变</w:t>
            </w:r>
          </w:p>
        </w:tc>
      </w:tr>
      <w:tr>
        <w:tc>
          <w:tcPr/>
          <w:p>
            <w:pPr>
              <w:pStyle w:val="Compact"/>
              <w:jc w:val="left"/>
            </w:pPr>
            <w:r>
              <w:t xml:space="preserve">DeepScaleR</w:t>
            </w:r>
          </w:p>
        </w:tc>
        <w:tc>
          <w:tcPr/>
          <w:p>
            <w:pPr>
              <w:pStyle w:val="Compact"/>
              <w:jc w:val="left"/>
            </w:pPr>
            <w:r>
              <w:t xml:space="preserve">Agentica</w:t>
            </w:r>
          </w:p>
        </w:tc>
        <w:tc>
          <w:tcPr/>
          <w:p>
            <w:pPr>
              <w:pStyle w:val="Compact"/>
              <w:jc w:val="left"/>
            </w:pPr>
            <w:r>
              <w:t xml:space="preserve">R1-Distill-Qwen</w:t>
            </w:r>
          </w:p>
        </w:tc>
        <w:tc>
          <w:tcPr/>
          <w:p>
            <w:pPr>
              <w:pStyle w:val="Compact"/>
              <w:jc w:val="left"/>
            </w:pPr>
            <w:r>
              <w:t xml:space="preserve">1.5B</w:t>
            </w:r>
          </w:p>
        </w:tc>
        <w:tc>
          <w:tcPr/>
          <w:p>
            <w:pPr>
              <w:pStyle w:val="Compact"/>
              <w:jc w:val="left"/>
            </w:pPr>
            <w:r>
              <w:t xml:space="preserve">GRPO</w:t>
            </w:r>
          </w:p>
        </w:tc>
        <w:tc>
          <w:tcPr/>
          <w:p>
            <w:pPr>
              <w:pStyle w:val="Compact"/>
              <w:jc w:val="left"/>
            </w:pPr>
            <w:r>
              <w:t xml:space="preserve">~$3,629</w:t>
            </w:r>
          </w:p>
        </w:tc>
        <w:tc>
          <w:tcPr/>
          <w:p>
            <w:pPr>
              <w:pStyle w:val="Compact"/>
              <w:jc w:val="left"/>
            </w:pPr>
            <w:r>
              <w:rPr>
                <w:bCs/>
                <w:b/>
              </w:rPr>
              <w:t xml:space="preserve">43.1%</w:t>
            </w:r>
          </w:p>
        </w:tc>
        <w:tc>
          <w:tcPr/>
          <w:p>
            <w:pPr>
              <w:pStyle w:val="Compact"/>
              <w:jc w:val="left"/>
            </w:pPr>
            <w:r>
              <w:t xml:space="preserve">8→32×A100 80GB</w:t>
            </w:r>
          </w:p>
        </w:tc>
      </w:tr>
    </w:tbl>
    <w:bookmarkStart w:id="82" w:name="open-r1huggingface"/>
    <w:p>
      <w:pPr>
        <w:pStyle w:val="Heading4"/>
      </w:pPr>
      <w:r>
        <w:t xml:space="preserve">4.2.1 Open-R1（HuggingFace）</w:t>
      </w:r>
    </w:p>
    <w:p>
      <w:pPr>
        <w:pStyle w:val="FirstParagraph"/>
      </w:pPr>
      <w:r>
        <w:t xml:space="preserve">Open-R1是HuggingFace发起的完全开源复现项目，目标是重建DeepSeek-R1的完整训练pipeline。</w:t>
      </w:r>
      <w:fldSimple w:instr="NOTEREF _Ref_Footnote_13 \h \f">
        <w:r>
          <w:rPr>
            <w:vertAlign w:val="superscript"/>
          </w:rPr>
          <w:t>13</w:t>
        </w:r>
      </w:fldSimple>
      <w:r>
        <w:t xml:space="preserve">项目基于TRL（Transformer Reinforcement Learning）库实现GRPO算法，采用vLLM作为推理后端支持多节点训练。Open-R1的实施分为三个步骤：首先复现R1-Distill模型（从DeepSeek-R1蒸馏高质量语料），其次复现纯RL pipeline（创建大规模数学、推理、代码数据集），最后实现从Base模型到RL-tuned的多阶段训练。项目提供单节点训练支持（8 GPU使用</w:t>
      </w:r>
      <w:r>
        <w:rPr>
          <w:rStyle w:val="VerbatimChar"/>
        </w:rPr>
        <w:t xml:space="preserve">vllm_mode="colocate"</w:t>
      </w:r>
      <w:r>
        <w:t xml:space="preserve">）以及多节点训练方案（N+1节点架构，1节点专用于vLLM server），并配套Slurm调度脚本。Open-R1的意义在于将工业级RL训练流程标准化为可复现的开源方案，降低了研究者和开发者进入RLVR领域的门槛。</w:t>
      </w:r>
    </w:p>
    <w:bookmarkEnd w:id="82"/>
    <w:bookmarkStart w:id="83" w:name="tinyzeroucb"/>
    <w:p>
      <w:pPr>
        <w:pStyle w:val="Heading4"/>
      </w:pPr>
      <w:r>
        <w:t xml:space="preserve">4.2.2 TinyZero（UCB）</w:t>
      </w:r>
    </w:p>
    <w:p>
      <w:pPr>
        <w:pStyle w:val="FirstParagraph"/>
      </w:pPr>
      <w:r>
        <w:t xml:space="preserve">TinyZero由加州大学伯克利分校的Jiayi Pan开发，是DeepSeek R1-Zero的最小开源复现。</w:t>
      </w:r>
      <w:fldSimple w:instr="NOTEREF _Ref_Footnote_2 \h \f">
        <w:r>
          <w:rPr>
            <w:vertAlign w:val="superscript"/>
          </w:rPr>
          <w:t>2</w:t>
        </w:r>
      </w:fldSimple>
      <w:r>
        <w:t xml:space="preserve">该项目的核心贡献在于证明了R1-Zero的关键发现——纯RL可激发推理能力——可以在极低预算和单GPU条件下复现。TinyZero使用veRL框架对Qwen-2.5-1.5B/7B模型应用PPO算法，在Countdown算术任务（给定四个数字通过加减乘除运算达到目标值）上训练200-400步。总训练成本不到$30云算力，硬件仅需单张A100 80GB或RTX 4090。</w:t>
      </w:r>
    </w:p>
    <w:p>
      <w:pPr>
        <w:pStyle w:val="BodyText"/>
      </w:pPr>
      <w:r>
        <w:t xml:space="preserve">尽管任务复杂度远低于AIME数学竞赛，TinyZero成功复现了R1-Zero的全部涌现行为——自我验证、错误检测后的回溯修正、中间结果的反思以及延长的思维链推理。项目的核心结论具有方法论意义：RL算法的选择（PPO或GRPO）并非关键因素，重要的是可验证奖励机制本身；同时，使用经过指令微调（IFT）的模型初始化可以加速收敛，但从Base模型直接训练同样可行。TinyZero为资源有限的研究者提供了一个低成本的RLVR实验平台。</w:t>
      </w:r>
    </w:p>
    <w:bookmarkEnd w:id="83"/>
    <w:bookmarkStart w:id="84" w:name="open-rs小模型rl的性价比标杆"/>
    <w:p>
      <w:pPr>
        <w:pStyle w:val="Heading4"/>
      </w:pPr>
      <w:r>
        <w:t xml:space="preserve">4.2.3 Open-RS：小模型RL的性价比标杆</w:t>
      </w:r>
    </w:p>
    <w:p>
      <w:pPr>
        <w:pStyle w:val="FirstParagraph"/>
      </w:pPr>
      <w:r>
        <w:t xml:space="preserve">Open-RS项目在小模型RL训练的效率优化方面取得了突出成果。该项目以DeepSeek-R1-Distill-Qwen-1.5B为基础模型，使用GRPO算法配合精心设计的</w:t>
      </w:r>
      <w:r>
        <w:rPr>
          <w:bCs/>
          <w:b/>
        </w:rPr>
        <w:t xml:space="preserve">余弦奖励函数</w:t>
      </w:r>
      <w:r>
        <w:t xml:space="preserve">（Cosine Reward），仅消耗7,000个训练样本和$42云算力（4×A40 GPU训练24小时），就在AIME 2024上达到46.7%的Pass@1分数——超越o1-preview的44.6%。</w:t>
      </w:r>
      <w:fldSimple w:instr="NOTEREF _Ref_Footnote_41 \h \f">
        <w:r>
          <w:rPr>
            <w:vertAlign w:val="superscript"/>
          </w:rPr>
          <w:t>41</w:t>
        </w:r>
      </w:fldSimple>
      <w:r>
        <w:t xml:space="preserve">Open-RS的奖励设计包含三个组件：准确性奖励（二元判断答案正确性）、余弦奖励（基于response长度的余弦调度缩放准确性奖励，有效控制推理冗长性）以及格式奖励（要求推理过程封装在</w:t>
      </w:r>
      <w:r>
        <w:rPr>
          <w:rStyle w:val="VerbatimChar"/>
        </w:rPr>
        <w:t xml:space="preserve">&lt;thinking&gt;</w:t>
      </w:r>
      <w:r>
        <w:t xml:space="preserve">标签中）。实验发现，小模型在前50-100步快速获得推理能力，但随后可能因过优化（over-optimization）而退化。为此，Open-RS提出混合难度级别和课程式策略缓解此问题，AMC23准确率从训练前的63%提升至80%，AIME24从约28%提升至46.7%。与DeepScaleR（$3,629成本、43.1% AIME分数）相比，Open-RS以不到1/80的成本实现了更高的性能，展示了蒸馏+RL两阶段策略在小模型上的高效性。</w:t>
      </w:r>
    </w:p>
    <w:bookmarkEnd w:id="84"/>
    <w:bookmarkEnd w:id="85"/>
    <w:bookmarkStart w:id="87" w:name="其他重要推理模型"/>
    <w:p>
      <w:pPr>
        <w:pStyle w:val="Heading3"/>
      </w:pPr>
      <w:r>
        <w:t xml:space="preserve">4.3 其他重要推理模型</w:t>
      </w:r>
    </w:p>
    <w:bookmarkStart w:id="86" w:name="qwq-32b两阶段rl与参数效率"/>
    <w:p>
      <w:pPr>
        <w:pStyle w:val="Heading4"/>
      </w:pPr>
      <w:r>
        <w:t xml:space="preserve">4.3.1 QwQ-32B：两阶段RL与参数效率</w:t>
      </w:r>
    </w:p>
    <w:p>
      <w:pPr>
        <w:pStyle w:val="FirstParagraph"/>
      </w:pPr>
      <w:r>
        <w:t xml:space="preserve">QwQ-32B是阿里云Qwen团队推出的推理模型，以32B参数规模达到了与671B参数的DeepSeek-R1相匹敌的推理性能，展示了参数效率与训练方法的协同优化。</w:t>
      </w:r>
      <w:fldSimple w:instr="NOTEREF _Ref_Footnote_29 \h \f">
        <w:r>
          <w:rPr>
            <w:vertAlign w:val="superscript"/>
          </w:rPr>
          <w:t>29</w:t>
        </w:r>
      </w:fldSimple>
      <w:r>
        <w:t xml:space="preserve">QwQ-32B基于Qwen2.5-32B基础模型，采用独特的两阶段RL训练策略。</w:t>
      </w:r>
    </w:p>
    <w:p>
      <w:pPr>
        <w:pStyle w:val="BodyText"/>
      </w:pPr>
      <w:r>
        <w:t xml:space="preserve">第一阶段聚焦数学与代码能力，使用outcome-based rewards驱动：数学任务通过accuracy verifier验证答案正确性，代码任务通过code execution server执行测试用例。第二阶段在第一阶段基础上继续训练，引入general reward model和rule-based verifiers，提升instruction following、human preference alignment和agent performance。实验显示，第二阶段的通用能力训练仅需少量步骤即可实现，且数学/编码性能无明显下降。</w:t>
      </w:r>
    </w:p>
    <w:p>
      <w:pPr>
        <w:pStyle w:val="BodyText"/>
      </w:pPr>
      <w:r>
        <w:t xml:space="preserve">QwQ-32B的成功表明，RLVR的核心优势——通过可验证奖励精准优化特定能力——可以有效放大基础模型的性能。在AIME 2024上达到约80%、LiveCodeBench约63%的表现，QwQ-32B以约1/21的参数规模（32B vs 671B）接近甚至部分超越了DeepSeek-R1的水平，证明了RL训练方法在弥补模型规模差距方面的巨大潜力。</w:t>
      </w:r>
      <w:fldSimple w:instr="NOTEREF _Ref_Footnote_29 \h \f">
        <w:r>
          <w:rPr>
            <w:vertAlign w:val="superscript"/>
          </w:rPr>
          <w:t>29</w:t>
        </w:r>
      </w:fldSimple>
      <w:r>
        <w:t xml:space="preserve">#### 4.3.2 Kimi 1.5：长上下文Scaling与Partial Rollouts</w:t>
      </w:r>
    </w:p>
    <w:p>
      <w:pPr>
        <w:pStyle w:val="BodyText"/>
      </w:pPr>
      <w:r>
        <w:t xml:space="preserve">Kimi 1.5由Moonshot AI开发，其核心创新在于将RL的上下文窗口扩展到128K tokens，并系统研究了长上下文scaling对推理能力的提升作用。</w:t>
      </w:r>
      <w:fldSimple w:instr="NOTEREF _Ref_Footnote_21 \h \f">
        <w:r>
          <w:rPr>
            <w:vertAlign w:val="superscript"/>
          </w:rPr>
          <w:t>21</w:t>
        </w:r>
      </w:fldSimple>
      <w:r>
        <w:t xml:space="preserve">与DeepSeek-R1不同，Kimi 1.5不依赖MCTS（Monte Carlo Tree Search）、value functions或process reward models，纯靠长上下文scaling配合策略优化达到强性能。</w:t>
      </w:r>
    </w:p>
    <w:p>
      <w:pPr>
        <w:pStyle w:val="BodyText"/>
      </w:pPr>
      <w:r>
        <w:t xml:space="preserve">Kimi 1.5的训练流程包含四个阶段：Pre-training → Vanilla SFT（标准指令微调）→ Long-CoT SFT（长链推理监督微调，构建包含planning、evaluation、reflection等认知过程的warmup数据）→ Reinforcement Learning。在RL阶段，Kimi 1.5引入了</w:t>
      </w:r>
      <w:r>
        <w:rPr>
          <w:bCs/>
          <w:b/>
        </w:rPr>
        <w:t xml:space="preserve">Partial Rollouts</w:t>
      </w:r>
      <w:r>
        <w:t xml:space="preserve">技术解决长CoT RL训练的效率瓶颈：设定固定输出token预算，超过限制的trajectory保存到replay buffer在下一轮继续，只有当前iteration需要on-policy计算，之前的segments可从buffer复用。这一机制配合异步rollout workers最大化计算效率，使得128K上下文的RL训练在工程上成为可能。</w:t>
      </w:r>
    </w:p>
    <w:p>
      <w:pPr>
        <w:pStyle w:val="BodyText"/>
      </w:pPr>
      <w:r>
        <w:t xml:space="preserve">此外，Kimi 1.5提出了</w:t>
      </w:r>
      <w:r>
        <w:rPr>
          <w:bCs/>
          <w:b/>
        </w:rPr>
        <w:t xml:space="preserve">Long2Short</w:t>
      </w:r>
      <w:r>
        <w:t xml:space="preserve">方法将长CoT推理能力迁移到短CoT模型，包括模型权重合并（model merging）、最短拒绝采样（shortest rejection sampling）、DPO（以短正确解为正样本、长解为负样本）以及带length penalty的两阶段RL四种技术。Long-CoT模式在AIME上达到77.5%，MATH-500达到96.2%；Short-CoT模式下AIME仍达60.8%，展现了长上下文训练成果向短推理场景的有效迁移。</w:t>
      </w:r>
      <w:fldSimple w:instr="NOTEREF _Ref_Footnote_21 \h \f">
        <w:r>
          <w:rPr>
            <w:vertAlign w:val="superscript"/>
          </w:rPr>
          <w:t>21</w:t>
        </w:r>
      </w:fldSimple>
      <w:r>
        <w:rPr>
          <w:bCs/>
          <w:b/>
        </w:rPr>
        <w:t xml:space="preserve">表4：主要推理模型Benchmark对比</w:t>
      </w:r>
    </w:p>
    <w:tbl>
      <w:tblPr>
        <w:tblStyle w:val="Table"/>
        <w:tblW w:type="pct" w:w="5000"/>
        <w:tblLook w:firstRow="1" w:lastRow="0" w:firstColumn="0" w:lastColumn="0" w:noHBand="0" w:noVBand="0" w:val="0020"/>
      </w:tblPr>
      <w:tblGrid>
        <w:gridCol w:w="669"/>
        <w:gridCol w:w="1227"/>
        <w:gridCol w:w="1227"/>
        <w:gridCol w:w="1115"/>
        <w:gridCol w:w="1561"/>
        <w:gridCol w:w="1227"/>
        <w:gridCol w:w="892"/>
      </w:tblGrid>
      <w:tr>
        <w:trPr>
          <w:tblHeader w:val="true"/>
        </w:trPr>
        <w:tc>
          <w:tcPr/>
          <w:p>
            <w:pPr>
              <w:pStyle w:val="Compact"/>
              <w:jc w:val="left"/>
            </w:pPr>
            <w:r>
              <w:t xml:space="preserve">模型</w:t>
            </w:r>
          </w:p>
        </w:tc>
        <w:tc>
          <w:tcPr/>
          <w:p>
            <w:pPr>
              <w:pStyle w:val="Compact"/>
              <w:jc w:val="left"/>
            </w:pPr>
            <w:r>
              <w:t xml:space="preserve">AIME 2024</w:t>
            </w:r>
          </w:p>
        </w:tc>
        <w:tc>
          <w:tcPr/>
          <w:p>
            <w:pPr>
              <w:pStyle w:val="Compact"/>
              <w:jc w:val="left"/>
            </w:pPr>
            <w:r>
              <w:t xml:space="preserve">AIME 2025</w:t>
            </w:r>
          </w:p>
        </w:tc>
        <w:tc>
          <w:tcPr/>
          <w:p>
            <w:pPr>
              <w:pStyle w:val="Compact"/>
              <w:jc w:val="left"/>
            </w:pPr>
            <w:r>
              <w:t xml:space="preserve">MATH-500</w:t>
            </w:r>
          </w:p>
        </w:tc>
        <w:tc>
          <w:tcPr/>
          <w:p>
            <w:pPr>
              <w:pStyle w:val="Compact"/>
              <w:jc w:val="left"/>
            </w:pPr>
            <w:r>
              <w:t xml:space="preserve">GPQA Diamond</w:t>
            </w:r>
          </w:p>
        </w:tc>
        <w:tc>
          <w:tcPr/>
          <w:p>
            <w:pPr>
              <w:pStyle w:val="Compact"/>
              <w:jc w:val="left"/>
            </w:pPr>
            <w:r>
              <w:t xml:space="preserve">HumanEval</w:t>
            </w:r>
          </w:p>
        </w:tc>
        <w:tc>
          <w:tcPr/>
          <w:p>
            <w:pPr>
              <w:pStyle w:val="Compact"/>
              <w:jc w:val="left"/>
            </w:pPr>
            <w:r>
              <w:t xml:space="preserve">参数量</w:t>
            </w:r>
          </w:p>
        </w:tc>
      </w:tr>
      <w:tr>
        <w:tc>
          <w:tcPr/>
          <w:p>
            <w:pPr>
              <w:pStyle w:val="Compact"/>
              <w:jc w:val="left"/>
            </w:pPr>
            <w:r>
              <w:t xml:space="preserve">DeepSeek-R1</w:t>
            </w:r>
            <w:r>
              <w:t xml:space="preserve"> </w:t>
            </w:r>
            <w:fldSimple w:instr="NOTEREF _Ref_Footnote_13 \h \f">
              <w:r>
                <w:rPr>
                  <w:vertAlign w:val="superscript"/>
                </w:rPr>
                <w:t>13</w:t>
              </w:r>
            </w:fldSimple>
          </w:p>
        </w:tc>
        <w:tc>
          <w:tcPr/>
          <w:p>
            <w:pPr>
              <w:pStyle w:val="Compact"/>
              <w:jc w:val="left"/>
            </w:pPr>
            <w:r>
              <w:rPr>
                <w:bCs/>
                <w:b/>
              </w:rPr>
              <w:t xml:space="preserve">79.8%</w:t>
            </w:r>
          </w:p>
        </w:tc>
        <w:tc>
          <w:tcPr/>
          <w:p>
            <w:pPr>
              <w:pStyle w:val="Compact"/>
              <w:jc w:val="left"/>
            </w:pPr>
            <w:r>
              <w:t xml:space="preserve">—</w:t>
            </w:r>
          </w:p>
        </w:tc>
        <w:tc>
          <w:tcPr/>
          <w:p>
            <w:pPr>
              <w:pStyle w:val="Compact"/>
              <w:jc w:val="left"/>
            </w:pPr>
            <w:r>
              <w:rPr>
                <w:bCs/>
                <w:b/>
              </w:rPr>
              <w:t xml:space="preserve">97.3%</w:t>
            </w:r>
          </w:p>
        </w:tc>
        <w:tc>
          <w:tcPr/>
          <w:p>
            <w:pPr>
              <w:pStyle w:val="Compact"/>
              <w:jc w:val="left"/>
            </w:pPr>
            <w:r>
              <w:rPr>
                <w:bCs/>
                <w:b/>
              </w:rPr>
              <w:t xml:space="preserve">71.5%</w:t>
            </w:r>
          </w:p>
        </w:tc>
        <w:tc>
          <w:tcPr/>
          <w:p>
            <w:pPr>
              <w:pStyle w:val="Compact"/>
              <w:jc w:val="left"/>
            </w:pPr>
            <w:r>
              <w:t xml:space="preserve">—</w:t>
            </w:r>
          </w:p>
        </w:tc>
        <w:tc>
          <w:tcPr/>
          <w:p>
            <w:pPr>
              <w:pStyle w:val="Compact"/>
              <w:jc w:val="left"/>
            </w:pPr>
            <w:r>
              <w:t xml:space="preserve">671B</w:t>
            </w:r>
          </w:p>
        </w:tc>
      </w:tr>
      <w:tr>
        <w:tc>
          <w:tcPr/>
          <w:p>
            <w:pPr>
              <w:pStyle w:val="Compact"/>
              <w:jc w:val="left"/>
            </w:pPr>
            <w:r>
              <w:t xml:space="preserve">QwQ-32B</w:t>
            </w:r>
            <w:r>
              <w:t xml:space="preserve"> </w:t>
            </w:r>
            <w:fldSimple w:instr="NOTEREF _Ref_Footnote_29 \h \f">
              <w:r>
                <w:rPr>
                  <w:vertAlign w:val="superscript"/>
                </w:rPr>
                <w:t>29</w:t>
              </w:r>
            </w:fldSimple>
          </w:p>
        </w:tc>
        <w:tc>
          <w:tcPr/>
          <w:p>
            <w:pPr>
              <w:pStyle w:val="Compact"/>
              <w:jc w:val="left"/>
            </w:pPr>
            <w:r>
              <w:t xml:space="preserve">~80%</w:t>
            </w:r>
          </w:p>
        </w:tc>
        <w:tc>
          <w:tcPr/>
          <w:p>
            <w:pPr>
              <w:pStyle w:val="Compact"/>
              <w:jc w:val="left"/>
            </w:pPr>
            <w:r>
              <w:t xml:space="preserve">—</w:t>
            </w:r>
          </w:p>
        </w:tc>
        <w:tc>
          <w:tcPr/>
          <w:p>
            <w:pPr>
              <w:pStyle w:val="Compact"/>
              <w:jc w:val="left"/>
            </w:pPr>
            <w:r>
              <w:t xml:space="preserve">~97%</w:t>
            </w:r>
          </w:p>
        </w:tc>
        <w:tc>
          <w:tcPr/>
          <w:p>
            <w:pPr>
              <w:pStyle w:val="Compact"/>
              <w:jc w:val="left"/>
            </w:pPr>
            <w:r>
              <w:t xml:space="preserve">~66%</w:t>
            </w:r>
          </w:p>
        </w:tc>
        <w:tc>
          <w:tcPr/>
          <w:p>
            <w:pPr>
              <w:pStyle w:val="Compact"/>
              <w:jc w:val="left"/>
            </w:pPr>
            <w:r>
              <w:t xml:space="preserve">—</w:t>
            </w:r>
          </w:p>
        </w:tc>
        <w:tc>
          <w:tcPr/>
          <w:p>
            <w:pPr>
              <w:pStyle w:val="Compact"/>
              <w:jc w:val="left"/>
            </w:pPr>
            <w:r>
              <w:t xml:space="preserve">32B</w:t>
            </w:r>
          </w:p>
        </w:tc>
      </w:tr>
      <w:tr>
        <w:tc>
          <w:tcPr/>
          <w:p>
            <w:pPr>
              <w:pStyle w:val="Compact"/>
              <w:jc w:val="left"/>
            </w:pPr>
            <w:r>
              <w:t xml:space="preserve">Kimi 1.5 Long-CoT</w:t>
            </w:r>
            <w:r>
              <w:t xml:space="preserve"> </w:t>
            </w:r>
            <w:fldSimple w:instr="NOTEREF _Ref_Footnote_21 \h \f">
              <w:r>
                <w:rPr>
                  <w:vertAlign w:val="superscript"/>
                </w:rPr>
                <w:t>21</w:t>
              </w:r>
            </w:fldSimple>
          </w:p>
        </w:tc>
        <w:tc>
          <w:tcPr/>
          <w:p>
            <w:pPr>
              <w:pStyle w:val="Compact"/>
              <w:jc w:val="left"/>
            </w:pPr>
            <w:r>
              <w:t xml:space="preserve">77.5%</w:t>
            </w:r>
          </w:p>
        </w:tc>
        <w:tc>
          <w:tcPr/>
          <w:p>
            <w:pPr>
              <w:pStyle w:val="Compact"/>
              <w:jc w:val="left"/>
            </w:pPr>
            <w:r>
              <w:t xml:space="preserve">—</w:t>
            </w:r>
          </w:p>
        </w:tc>
        <w:tc>
          <w:tcPr/>
          <w:p>
            <w:pPr>
              <w:pStyle w:val="Compact"/>
              <w:jc w:val="left"/>
            </w:pPr>
            <w:r>
              <w:t xml:space="preserve">96.2%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Kimi 1.5 Short-CoT</w:t>
            </w:r>
            <w:r>
              <w:t xml:space="preserve"> </w:t>
            </w:r>
            <w:fldSimple w:instr="NOTEREF _Ref_Footnote_21 \h \f">
              <w:r>
                <w:rPr>
                  <w:vertAlign w:val="superscript"/>
                </w:rPr>
                <w:t>21</w:t>
              </w:r>
            </w:fldSimple>
          </w:p>
        </w:tc>
        <w:tc>
          <w:tcPr/>
          <w:p>
            <w:pPr>
              <w:pStyle w:val="Compact"/>
              <w:jc w:val="left"/>
            </w:pPr>
            <w:r>
              <w:t xml:space="preserve">60.8%</w:t>
            </w:r>
          </w:p>
        </w:tc>
        <w:tc>
          <w:tcPr/>
          <w:p>
            <w:pPr>
              <w:pStyle w:val="Compact"/>
              <w:jc w:val="left"/>
            </w:pPr>
            <w:r>
              <w:t xml:space="preserve">—</w:t>
            </w:r>
          </w:p>
        </w:tc>
        <w:tc>
          <w:tcPr/>
          <w:p>
            <w:pPr>
              <w:pStyle w:val="Compact"/>
              <w:jc w:val="left"/>
            </w:pPr>
            <w:r>
              <w:t xml:space="preserve">94.6%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o1-1217</w:t>
            </w:r>
          </w:p>
        </w:tc>
        <w:tc>
          <w:tcPr/>
          <w:p>
            <w:pPr>
              <w:pStyle w:val="Compact"/>
              <w:jc w:val="left"/>
            </w:pPr>
            <w:r>
              <w:t xml:space="preserve">79.2%</w:t>
            </w:r>
          </w:p>
        </w:tc>
        <w:tc>
          <w:tcPr/>
          <w:p>
            <w:pPr>
              <w:pStyle w:val="Compact"/>
              <w:jc w:val="left"/>
            </w:pPr>
            <w:r>
              <w:t xml:space="preserve">—</w:t>
            </w:r>
          </w:p>
        </w:tc>
        <w:tc>
          <w:tcPr/>
          <w:p>
            <w:pPr>
              <w:pStyle w:val="Compact"/>
              <w:jc w:val="left"/>
            </w:pPr>
            <w:r>
              <w:t xml:space="preserve">96.4%</w:t>
            </w:r>
          </w:p>
        </w:tc>
        <w:tc>
          <w:tcPr/>
          <w:p>
            <w:pPr>
              <w:pStyle w:val="Compact"/>
              <w:jc w:val="left"/>
            </w:pPr>
            <w:r>
              <w:t xml:space="preserve">75.7%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o3 (high)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Open-RS 1.5B</w:t>
            </w:r>
            <w:r>
              <w:t xml:space="preserve"> </w:t>
            </w:r>
            <w:fldSimple w:instr="NOTEREF _Ref_Footnote_41 \h \f">
              <w:r>
                <w:rPr>
                  <w:vertAlign w:val="superscript"/>
                </w:rPr>
                <w:t>41</w:t>
              </w:r>
            </w:fldSimple>
          </w:p>
        </w:tc>
        <w:tc>
          <w:tcPr/>
          <w:p>
            <w:pPr>
              <w:pStyle w:val="Compact"/>
              <w:jc w:val="left"/>
            </w:pPr>
            <w:r>
              <w:t xml:space="preserve">46.7%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1.5B</w:t>
            </w:r>
          </w:p>
        </w:tc>
      </w:tr>
    </w:tbl>
    <w:p>
      <w:pPr>
        <w:pStyle w:val="BodyText"/>
      </w:pPr>
      <w:r>
        <w:t xml:space="preserve">表4的数据揭示了推理模型领域的关键格局。DeepSeek-R1与QwQ-32B在AIME 2024和MATH-500上均处于第一梯队，但QwQ-32B以仅32B的参数实现了与671B的R1相近的水平，参数效率显著更优。Kimi 1.5的Long-CoT模式在AIME上达到77.5%，虽略低于R1和QwQ-32B，但其Short-CoT模式的60.8%展示了从长到短能力迁移的实际价值。值得注意的是，Open-RS 1.5B以$42的训练成本达到46.7%的AIME分数，超越o1-preview的44.6%，标志着小模型RL已具备实用的性价比优势。</w:t>
      </w:r>
    </w:p>
    <w:bookmarkEnd w:id="86"/>
    <w:bookmarkEnd w:id="87"/>
    <w:bookmarkStart w:id="90" w:name="代码推理rlvr"/>
    <w:p>
      <w:pPr>
        <w:pStyle w:val="Heading3"/>
      </w:pPr>
      <w:r>
        <w:t xml:space="preserve">4.4 代码推理RLVR</w:t>
      </w:r>
    </w:p>
    <w:bookmarkStart w:id="88" w:name="r1-code-interpreter代码工具集成增强推理"/>
    <w:p>
      <w:pPr>
        <w:pStyle w:val="Heading4"/>
      </w:pPr>
      <w:r>
        <w:t xml:space="preserve">4.4.1 R1-Code-Interpreter：代码工具集成增强推理</w:t>
      </w:r>
    </w:p>
    <w:p>
      <w:pPr>
        <w:pStyle w:val="FirstParagraph"/>
      </w:pPr>
      <w:r>
        <w:t xml:space="preserve">R1-Code-Interpreter（R1-CI）由MIT与Harvard联合开发，将RLVR范式扩展到代码解释器工具的使用场景，训练LLM在推理过程中自主决定何时调用Code Interpreter执行代码。</w:t>
      </w:r>
      <w:fldSimple w:instr="NOTEREF _Ref_Footnote_40 \h \f">
        <w:r>
          <w:rPr>
            <w:vertAlign w:val="superscript"/>
          </w:rPr>
          <w:t>40</w:t>
        </w:r>
      </w:fldSimple>
      <w:r>
        <w:t xml:space="preserve">该研究的核心洞见是：文本推理与代码执行的互补结合可以解决单独使用任一方式都难以处理的复杂任务。</w:t>
      </w:r>
    </w:p>
    <w:p>
      <w:pPr>
        <w:pStyle w:val="BodyText"/>
      </w:pPr>
      <w:r>
        <w:t xml:space="preserve">R1-CI的训练采用两阶段策略。第一阶段为SFT冷启动：在144个推理和规划任务（107个训练任务、37个测试任务）上，使用GPT-4o生成6.5K多轮text/code trajectories，仅保留正确执行的trajectory。第二阶段为多阶段课程RL（GRPO）：根据improvement potential将样本分为4个阶段，高potential样本先训练，逐渐加入低potential样本。这种课程设计使平均RL增益从+3.4%提升到+9.3%。</w:t>
      </w:r>
      <w:fldSimple w:instr="NOTEREF _Ref_Footnote_40 \h \f">
        <w:r>
          <w:rPr>
            <w:vertAlign w:val="superscript"/>
          </w:rPr>
          <w:t>40</w:t>
        </w:r>
      </w:fldSimple>
      <w:r>
        <w:t xml:space="preserve">奖励设计方面，R1-CI采用纯outcome-based correctness reward：事实推理任务使用exact matching，规划任务检查约束和目标是否满足。值得注意的是，训练过程中</w:t>
      </w:r>
      <w:r>
        <w:rPr>
          <w:bCs/>
          <w:b/>
        </w:rPr>
        <w:t xml:space="preserve">不使用format reward</w:t>
      </w:r>
      <w:r>
        <w:t xml:space="preserve">（SFT冷启动已使模型掌握格式要求）和</w:t>
      </w:r>
      <w:r>
        <w:rPr>
          <w:bCs/>
          <w:b/>
        </w:rPr>
        <w:t xml:space="preserve">不使用neural reward model</w:t>
      </w:r>
      <w:r>
        <w:t xml:space="preserve">，这与DeepSeek-R1的设计哲学一致。实验结果显示，R1-CI-14B在37个测试任务上从Base模型的44.1%提升至72.4%，超过text-only GPT-4o（58.6%）和GPT-4o with Code Interpreter（70.9%）。更值得关注的是，模型涌现出通过代码生成进行自我检查的行为——主动编写测试代码验证自身推理的正确性，这种元认知能力是纯文本RLVR难以激发的。</w:t>
      </w:r>
    </w:p>
    <w:bookmarkEnd w:id="88"/>
    <w:bookmarkStart w:id="89" w:name="代码rlvr与数学rlvr的训练差异与共享机制"/>
    <w:p>
      <w:pPr>
        <w:pStyle w:val="Heading4"/>
      </w:pPr>
      <w:r>
        <w:t xml:space="preserve">4.4.2 代码RLVR与数学RLVR的训练差异与共享机制</w:t>
      </w:r>
    </w:p>
    <w:p>
      <w:pPr>
        <w:pStyle w:val="FirstParagraph"/>
      </w:pPr>
      <w:r>
        <w:t xml:space="preserve">代码推理RLVR与数学推理RLVR在训练机制上存在结构性差异。数学RLVR的验证器相对简单——通过符号计算（如SymPy）或数值比较即可判定答案正确性，验证过程确定性高且计算开销低。代码RLVR的验证器则需要完整的代码执行环境：编译/解释代码、运行测试用例、捕获输出和异常，执行环境的状态管理和安全性约束显著增加了系统复杂度。</w:t>
      </w:r>
    </w:p>
    <w:p>
      <w:pPr>
        <w:pStyle w:val="BodyText"/>
      </w:pPr>
      <w:r>
        <w:t xml:space="preserve">在奖励密度方面，数学RLVR通常为稀疏奖励（仅最终结果正确性），代码RLVR同样以测试通过与否作为核心奖励信号。但CodeRL+等研究表明，将execution semantics alignment集成到RLVR训练pipeline——使模型能推断variable-level execution trajectory——可提供dense learning signal，相比RLVR基线平均实现4.6%的相对提升（pass@1）。</w:t>
      </w:r>
      <w:fldSimple w:instr="NOTEREF _Ref_Footnote_40 \h \f">
        <w:r>
          <w:rPr>
            <w:vertAlign w:val="superscript"/>
          </w:rPr>
          <w:t>40</w:t>
        </w:r>
      </w:fldSimple>
      <w:r>
        <w:t xml:space="preserve">两类RLVR共享的核心机制是GRPO算法框架和outcome-based reward设计。Search-R1进一步将RLVR范式扩展到搜索工具的使用，通过检索token掩码（retrieved token masking）技术实现稳定RL训练——在RL优化中屏蔽检索回来的token，只更新LLM生成token的梯度。这一技术为工具集成RLVR提供了通用的工程解决方案。从数学到代码再到搜索工具的扩展轨迹表明，RLVR范式的核心思想——可验证奖励驱动策略优化——具有跨领域的通用性，其成功关键在于为每个领域设计可靠的验证器和适配的训练基础设施。</w:t>
      </w:r>
    </w:p>
    <w:bookmarkEnd w:id="89"/>
    <w:bookmarkEnd w:id="90"/>
    <w:bookmarkEnd w:id="91"/>
    <w:bookmarkEnd w:id="92"/>
    <w:bookmarkStart w:id="141" w:name="benchmark体系与评估方法"/>
    <w:p>
      <w:pPr>
        <w:pStyle w:val="Heading1"/>
      </w:pPr>
      <w:r>
        <w:t xml:space="preserve">5. Benchmark体系与评估方法</w:t>
      </w:r>
    </w:p>
    <w:p>
      <w:pPr>
        <w:pStyle w:val="FirstParagraph"/>
      </w:pPr>
      <w:r>
        <w:t xml:space="preserve">LLM+RL领域的快速发展催生了庞大的评估需求。截至2025年，该领域已积累超过45个活跃使用的Benchmark，覆盖数学推理、代码生成、通用知识、指令遵循与Agent行为等多个维度</w:t>
      </w:r>
      <w:r>
        <w:t xml:space="preserve"> </w:t>
      </w:r>
      <w:r>
        <w:rPr>
          <w:vertAlign w:val="superscript"/>
        </w:rPr>
        <w:footnoteReference w:id="42"/>
      </w:r>
      <w:r>
        <w:t xml:space="preserve"> </w:t>
      </w:r>
      <w:r>
        <w:rPr>
          <w:vertAlign w:val="superscript"/>
        </w:rPr>
        <w:footnoteReference w:id="43"/>
      </w:r>
      <w:r>
        <w:t xml:space="preserve"> </w:t>
      </w:r>
      <w:r>
        <w:rPr>
          <w:vertAlign w:val="superscript"/>
        </w:rPr>
        <w:footnoteReference w:id="44"/>
      </w:r>
      <w:r>
        <w:t xml:space="preserve">。然而，Benchmark饱和与数据污染问题日益严峻——GSM8K已被主流模型推至97.1%的准确率上限</w:t>
      </w:r>
      <w:r>
        <w:t xml:space="preserve"> </w:t>
      </w:r>
      <w:r>
        <w:rPr>
          <w:vertAlign w:val="superscript"/>
        </w:rPr>
        <w:footnoteReference w:id="45"/>
      </w:r>
      <w:r>
        <w:t xml:space="preserve">，HumanEval等经典代码Benchmark大量泄露至训练语料</w:t>
      </w:r>
      <w:r>
        <w:t xml:space="preserve"> </w:t>
      </w:r>
      <w:fldSimple w:instr="NOTEREF _Ref_Footnote_43 \h \f">
        <w:r>
          <w:rPr>
            <w:vertAlign w:val="superscript"/>
          </w:rPr>
          <w:t>43</w:t>
        </w:r>
      </w:fldSimple>
      <w:r>
        <w:t xml:space="preserve">，AIME每年仅30题的稀缺供给难以满足大规模评估需求</w:t>
      </w:r>
      <w:r>
        <w:t xml:space="preserve"> </w:t>
      </w:r>
      <w:r>
        <w:rPr>
          <w:vertAlign w:val="superscript"/>
        </w:rPr>
        <w:footnoteReference w:id="46"/>
      </w:r>
      <w:r>
        <w:t xml:space="preserve">。本章系统梳理LLM+RL领域使用的Benchmark层级体系，建立从基础验证到前沿挑战的评估谱系，并深入分析采样策略标准化、评估框架工具链与数据污染检测方法论，为研究者提供可操作的评估实践指南。</w:t>
      </w:r>
    </w:p>
    <w:bookmarkStart w:id="100" w:name="数学推理benchmark层级"/>
    <w:p>
      <w:pPr>
        <w:pStyle w:val="Heading2"/>
      </w:pPr>
      <w:r>
        <w:t xml:space="preserve">5.1 数学推理Benchmark层级</w:t>
      </w:r>
    </w:p>
    <w:p>
      <w:pPr>
        <w:pStyle w:val="FirstParagraph"/>
      </w:pPr>
      <w:r>
        <w:t xml:space="preserve">数学推理Benchmark构成了LLM+RL研究中最为成熟和细分的评估体系。根据题目难度、知识层级和当前模型表现，可将数学推理Benchmark划分为基础层、进阶层、专家层与前沿层四个层级。</w:t>
      </w:r>
    </w:p>
    <w:bookmarkStart w:id="93" w:name="基础层gsm8k已饱和的基础能力验证"/>
    <w:p>
      <w:pPr>
        <w:pStyle w:val="Heading3"/>
      </w:pPr>
      <w:r>
        <w:t xml:space="preserve">5.1.1 基础层：GSM8K——已饱和的基础能力验证</w:t>
      </w:r>
    </w:p>
    <w:p>
      <w:pPr>
        <w:pStyle w:val="FirstParagraph"/>
      </w:pPr>
      <w:r>
        <w:t xml:space="preserve">GSM8K（Grade School Math 8K）发布于2021年，包含1,319道测试集题目，均为需要多步推理的小学数学文字题</w:t>
      </w:r>
      <w:r>
        <w:t xml:space="preserve"> </w:t>
      </w:r>
      <w:fldSimple w:instr="NOTEREF _Ref_Footnote_42 \h \f">
        <w:r>
          <w:rPr>
            <w:vertAlign w:val="superscript"/>
          </w:rPr>
          <w:t>42</w:t>
        </w:r>
      </w:fldSimple>
      <w:r>
        <w:t xml:space="preserve">。其评估指标为精确匹配（Exact Match），即模型输出答案与标准答案的数值一致性。GSM8K是RLVR训练后模型评估的标配基准——几乎所有GRPO类训练的论文均将其作为基础验证项</w:t>
      </w:r>
      <w:r>
        <w:t xml:space="preserve"> </w:t>
      </w:r>
      <w:r>
        <w:rPr>
          <w:vertAlign w:val="superscript"/>
        </w:rPr>
        <w:footnoteReference w:id="47"/>
      </w:r>
      <w:r>
        <w:t xml:space="preserve"> </w:t>
      </w:r>
      <w:r>
        <w:rPr>
          <w:vertAlign w:val="superscript"/>
        </w:rPr>
        <w:footnoteReference w:id="48"/>
      </w:r>
      <w:r>
        <w:t xml:space="preserve"> </w:t>
      </w:r>
      <w:r>
        <w:rPr>
          <w:vertAlign w:val="superscript"/>
        </w:rPr>
        <w:footnoteReference w:id="49"/>
      </w:r>
      <w:r>
        <w:t xml:space="preserve">。然而，GPT-4通过DUP策略已达97.1%准确率</w:t>
      </w:r>
      <w:r>
        <w:t xml:space="preserve"> </w:t>
      </w:r>
      <w:fldSimple w:instr="NOTEREF _Ref_Footnote_45 \h \f">
        <w:r>
          <w:rPr>
            <w:vertAlign w:val="superscript"/>
          </w:rPr>
          <w:t>45</w:t>
        </w:r>
      </w:fldSimple>
      <w:r>
        <w:t xml:space="preserve">，DeepSeek-R1系列在该基准上接近满分，表明GSM8K的区分度已基本丧失。当前研究中，GSM8K的主要作用是验证模型是否具备基础多步推理能力，而非区分前沿模型的性能差异。训练实践中，研究者通常使用GSM8K-Aug（GPT-4扩增至385K样本的版本）作为训练数据，而保留原始测试集用于评估</w:t>
      </w:r>
      <w:r>
        <w:t xml:space="preserve"> </w:t>
      </w:r>
      <w:r>
        <w:rPr>
          <w:vertAlign w:val="superscript"/>
        </w:rPr>
        <w:footnoteReference w:id="50"/>
      </w:r>
      <w:r>
        <w:t xml:space="preserve">。</w:t>
      </w:r>
    </w:p>
    <w:bookmarkEnd w:id="93"/>
    <w:bookmarkStart w:id="94" w:name="进阶层math-500与aime区分度仍存但题目稀缺"/>
    <w:p>
      <w:pPr>
        <w:pStyle w:val="Heading3"/>
      </w:pPr>
      <w:r>
        <w:t xml:space="preserve">5.1.2 进阶层：MATH-500与AIME——区分度仍存但题目稀缺</w:t>
      </w:r>
    </w:p>
    <w:p>
      <w:pPr>
        <w:pStyle w:val="FirstParagraph"/>
      </w:pPr>
      <w:r>
        <w:t xml:space="preserve">MATH-500是OpenAI在PRM800K工作中引入的500题评估子集，源自Hendrycks等人发布的MATH数据集（12,500题，高中竞赛级别）</w:t>
      </w:r>
      <w:r>
        <w:rPr>
          <w:vertAlign w:val="superscript"/>
        </w:rPr>
        <w:footnoteReference w:id="51"/>
      </w:r>
      <w:r>
        <w:t xml:space="preserve"> </w:t>
      </w:r>
      <w:r>
        <w:rPr>
          <w:vertAlign w:val="superscript"/>
        </w:rPr>
        <w:footnoteReference w:id="52"/>
      </w:r>
      <w:r>
        <w:t xml:space="preserve">。该子集涵盖代数、几何、数论、组合数学等七个领域，难度等级1-5，是当前评估模型高中竞赛级数学能力的核心基准。代表性工作如DeepScaleR</w:t>
      </w:r>
      <w:r>
        <w:t xml:space="preserve"> </w:t>
      </w:r>
      <w:fldSimple w:instr="NOTEREF _Ref_Footnote_49 \h \f">
        <w:r>
          <w:rPr>
            <w:vertAlign w:val="superscript"/>
          </w:rPr>
          <w:t>49</w:t>
        </w:r>
      </w:fldSimple>
      <w:r>
        <w:t xml:space="preserve"> </w:t>
      </w:r>
      <w:r>
        <w:rPr>
          <w:vertAlign w:val="superscript"/>
        </w:rPr>
        <w:footnoteReference w:id="53"/>
      </w:r>
      <w:r>
        <w:t xml:space="preserve">、EAPO</w:t>
      </w:r>
      <w:r>
        <w:t xml:space="preserve"> </w:t>
      </w:r>
      <w:r>
        <w:rPr>
          <w:vertAlign w:val="superscript"/>
        </w:rPr>
        <w:footnoteReference w:id="54"/>
      </w:r>
      <w:r>
        <w:t xml:space="preserve">、HEAL</w:t>
      </w:r>
      <w:r>
        <w:t xml:space="preserve"> </w:t>
      </w:r>
      <w:r>
        <w:rPr>
          <w:vertAlign w:val="superscript"/>
        </w:rPr>
        <w:footnoteReference w:id="55"/>
      </w:r>
      <w:r>
        <w:t xml:space="preserve">均将MATH-500作为主要评估项。评估设置通常采用4-shot prompting</w:t>
      </w:r>
      <w:r>
        <w:t xml:space="preserve"> </w:t>
      </w:r>
      <w:r>
        <w:rPr>
          <w:vertAlign w:val="superscript"/>
        </w:rPr>
        <w:footnoteReference w:id="56"/>
      </w:r>
      <w:r>
        <w:t xml:space="preserve">，前沿模型在该基准上的准确率约为80%-85%，仍有提升空间。</w:t>
      </w:r>
    </w:p>
    <w:p>
      <w:pPr>
        <w:pStyle w:val="BodyText"/>
      </w:pPr>
      <w:r>
        <w:t xml:space="preserve">AIME（American Invitational Mathematics Examination）是通往USAMO（美国数学奥林匹克）的邀请赛，每年发布AIME I和AIME II各15题，共30题，答案为0-999范围内的整数</w:t>
      </w:r>
      <w:r>
        <w:t xml:space="preserve"> </w:t>
      </w:r>
      <w:fldSimple w:instr="NOTEREF _Ref_Footnote_46 \h \f">
        <w:r>
          <w:rPr>
            <w:vertAlign w:val="superscript"/>
          </w:rPr>
          <w:t>46</w:t>
        </w:r>
      </w:fldSimple>
      <w:r>
        <w:t xml:space="preserve">。AIME题目要求多步逻辑推理和创造性解题策略，是当前区分前沿推理模型的高敏感度Benchmark。DeepSeek-R1在AIME 2024上达到79.8%的pass@1准确率，成为推理能力的标志性成就。由于每年仅30题，AIME评估通常采用Avg@32或Avg</w:t>
      </w:r>
      <w:r>
        <w:t xml:space="preserve">@8采样策略以减少方差</w:t>
      </w:r>
      <w:r>
        <w:t xml:space="preserve"> </w:t>
      </w:r>
      <w:fldSimple w:instr="NOTEREF _Ref_Footnote_54 \h \f">
        <w:r>
          <w:rPr>
            <w:vertAlign w:val="superscript"/>
          </w:rPr>
          <w:t>54</w:t>
        </w:r>
      </w:fldSimple>
      <w:r>
        <w:t xml:space="preserve"> </w:t>
      </w:r>
      <w:r>
        <w:rPr>
          <w:vertAlign w:val="superscript"/>
        </w:rPr>
        <w:footnoteReference w:id="57"/>
      </w:r>
      <w:r>
        <w:t xml:space="preserve">，并使用temperature=0.6、top_p=0.95的标准解码设置</w:t>
      </w:r>
      <w:r>
        <w:t xml:space="preserve"> </w:t>
      </w:r>
      <w:r>
        <w:rPr>
          <w:vertAlign w:val="superscript"/>
        </w:rPr>
        <w:footnoteReference w:id="58"/>
      </w:r>
      <w:r>
        <w:t xml:space="preserve"> </w:t>
      </w:r>
      <w:r>
        <w:rPr>
          <w:vertAlign w:val="superscript"/>
        </w:rPr>
        <w:footnoteReference w:id="59"/>
      </w:r>
      <w:r>
        <w:t xml:space="preserve">。AIME 2025因发布时间较新，被广泛用于低数据污染风险的”fresher”评估</w:t>
      </w:r>
      <w:r>
        <w:t xml:space="preserve"> </w:t>
      </w:r>
      <w:fldSimple w:instr="NOTEREF _Ref_Footnote_49 \h \f">
        <w:r>
          <w:rPr>
            <w:vertAlign w:val="superscript"/>
          </w:rPr>
          <w:t>49</w:t>
        </w:r>
      </w:fldSimple>
      <w:r>
        <w:t xml:space="preserve">。</w:t>
      </w:r>
    </w:p>
    <w:bookmarkEnd w:id="94"/>
    <w:bookmarkStart w:id="95" w:name="专家层gpqa-diamond前沿模型与人类专家的差距"/>
    <w:p>
      <w:pPr>
        <w:pStyle w:val="Heading3"/>
      </w:pPr>
      <w:r>
        <w:t xml:space="preserve">5.1.3 专家层：GPQA-Diamond——前沿模型与人类专家的差距</w:t>
      </w:r>
    </w:p>
    <w:p>
      <w:pPr>
        <w:pStyle w:val="FirstParagraph"/>
      </w:pPr>
      <w:r>
        <w:t xml:space="preserve">GPQA-Diamond（Graduate-Level Google-Proof Q&amp;A Diamond子集）包含198道由PhD领域专家撰写的多选题，覆盖物理、化学和生物学</w:t>
      </w:r>
      <w:r>
        <w:t xml:space="preserve"> </w:t>
      </w:r>
      <w:fldSimple w:instr="NOTEREF _Ref_Footnote_46 \h \f">
        <w:r>
          <w:rPr>
            <w:vertAlign w:val="superscript"/>
          </w:rPr>
          <w:t>46</w:t>
        </w:r>
      </w:fldSimple>
      <w:r>
        <w:t xml:space="preserve"> </w:t>
      </w:r>
      <w:fldSimple w:instr="NOTEREF _Ref_Footnote_51 \h \f">
        <w:r>
          <w:rPr>
            <w:vertAlign w:val="superscript"/>
          </w:rPr>
          <w:t>51</w:t>
        </w:r>
      </w:fldSimple>
      <w:r>
        <w:t xml:space="preserve">。该Benchmark的设计核心在于”Google-proof”——即使有无限制的网络访问，非专家也难以正确回答。GPQA-Diamond仅保留那些独立专家验证者均能正确回答、而非专家验证者失败的问题，确保题目质量</w:t>
      </w:r>
      <w:r>
        <w:t xml:space="preserve"> </w:t>
      </w:r>
      <w:fldSimple w:instr="NOTEREF _Ref_Footnote_52 \h \f">
        <w:r>
          <w:rPr>
            <w:vertAlign w:val="superscript"/>
          </w:rPr>
          <w:t>52</w:t>
        </w:r>
      </w:fldSimple>
      <w:r>
        <w:t xml:space="preserve">。人类基线数据显示，领域专家准确率约65%，非专家约34%（相比随机基线25%）</w:t>
      </w:r>
      <w:fldSimple w:instr="NOTEREF _Ref_Footnote_46 \h \f">
        <w:r>
          <w:rPr>
            <w:vertAlign w:val="superscript"/>
          </w:rPr>
          <w:t>46</w:t>
        </w:r>
      </w:fldSimple>
      <w:r>
        <w:t xml:space="preserve">，为模型评估提供了清晰的人类能力参照。GPQA-Diamond是评估OOD（Out-of-Distribution）通用化能力的核心基准</w:t>
      </w:r>
      <w:r>
        <w:t xml:space="preserve"> </w:t>
      </w:r>
      <w:r>
        <w:rPr>
          <w:vertAlign w:val="superscript"/>
        </w:rPr>
        <w:footnoteReference w:id="60"/>
      </w:r>
      <w:r>
        <w:t xml:space="preserve"> </w:t>
      </w:r>
      <w:r>
        <w:rPr>
          <w:vertAlign w:val="superscript"/>
        </w:rPr>
        <w:footnoteReference w:id="61"/>
      </w:r>
      <w:r>
        <w:t xml:space="preserve">，通常使用Avg@8或rollout=2进行多次采样取平均</w:t>
      </w:r>
      <w:r>
        <w:t xml:space="preserve"> </w:t>
      </w:r>
      <w:fldSimple w:instr="NOTEREF _Ref_Footnote_57 \h \f">
        <w:r>
          <w:rPr>
            <w:vertAlign w:val="superscript"/>
          </w:rPr>
          <w:t>57</w:t>
        </w:r>
      </w:fldSimple>
      <w:r>
        <w:t xml:space="preserve"> </w:t>
      </w:r>
      <w:r>
        <w:rPr>
          <w:vertAlign w:val="superscript"/>
        </w:rPr>
        <w:footnoteReference w:id="62"/>
      </w:r>
      <w:r>
        <w:t xml:space="preserve">。当前前沿模型在该基准上的准确率约为60%-65%，尚未超越人类专家水平，使其成为最具区分度的专家级评估工具之一。</w:t>
      </w:r>
    </w:p>
    <w:bookmarkEnd w:id="95"/>
    <w:bookmarkStart w:id="99" w:name="前沿层frontiermath与livemathbench抗污染动态更新机制"/>
    <w:p>
      <w:pPr>
        <w:pStyle w:val="Heading3"/>
      </w:pPr>
      <w:r>
        <w:t xml:space="preserve">5.1.4 前沿层：FrontierMath与LiveMathBench——抗污染动态更新机制</w:t>
      </w:r>
    </w:p>
    <w:p>
      <w:pPr>
        <w:pStyle w:val="FirstParagraph"/>
      </w:pPr>
      <w:r>
        <w:t xml:space="preserve">FrontierMath由Epoch AI于2024年发布，采用未发表的专家撰写问题与隐藏评估集设计，从根本上防止数据污染</w:t>
      </w:r>
      <w:r>
        <w:t xml:space="preserve"> </w:t>
      </w:r>
      <w:r>
        <w:rPr>
          <w:vertAlign w:val="superscript"/>
        </w:rPr>
        <w:footnoteReference w:id="63"/>
      </w:r>
      <w:r>
        <w:t xml:space="preserve">。该Benchmark的研究级数学问题覆盖多个前沿领域。数据显示，从2024年6月到2025年12月，前沿模型在FrontierMath Tier 1-3上的准确率从1%提升至41%</w:t>
      </w:r>
      <w:r>
        <w:t xml:space="preserve"> </w:t>
      </w:r>
      <w:r>
        <w:rPr>
          <w:vertAlign w:val="superscript"/>
        </w:rPr>
        <w:footnoteReference w:id="64"/>
      </w:r>
      <w:r>
        <w:t xml:space="preserve">，进步显著但仍远低于饱和水平，是当前评估模型数学能力前沿的有效工具。</w:t>
      </w:r>
    </w:p>
    <w:p>
      <w:pPr>
        <w:pStyle w:val="BodyText"/>
      </w:pPr>
      <w:r>
        <w:t xml:space="preserve">LiveMathBench是2025年推出的持续更新动态数学Benchmark，提供高质量英语数学问题</w:t>
      </w:r>
      <w:r>
        <w:t xml:space="preserve"> </w:t>
      </w:r>
      <w:r>
        <w:rPr>
          <w:vertAlign w:val="superscript"/>
        </w:rPr>
        <w:footnoteReference w:id="65"/>
      </w:r>
      <w:r>
        <w:t xml:space="preserve">。其202505 hard split包含100道高难度题目。动态更新机制确保了评估数据的新鲜度，降低了训练数据污染的风险。类似的抗污染设计理念也被LiveCodeBench所采用，后者通过时序分区实现版本迭代（v5: 2024.8-2025.2, v6: 2025.2-2025.5）</w:t>
      </w:r>
      <w:r>
        <w:rPr>
          <w:vertAlign w:val="superscript"/>
        </w:rPr>
        <w:footnoteReference w:id="66"/>
      </w:r>
      <w:r>
        <w:t xml:space="preserve"> </w:t>
      </w:r>
      <w:r>
        <w:rPr>
          <w:vertAlign w:val="superscript"/>
        </w:rPr>
        <w:footnoteReference w:id="67"/>
      </w:r>
      <w:r>
        <w:t xml:space="preserve">。</w:t>
      </w:r>
    </w:p>
    <w:p>
      <w:pPr>
        <w:pStyle w:val="BodyText"/>
      </w:pPr>
      <w:r>
        <w:t xml:space="preserve">Humanity’s Last Exam（HLE）是2025年由CAIS与Scale AI合作开发的多模态Benchmark，文本子集约2,158题，其中数学占45.23%（976题）</w:t>
      </w:r>
      <w:r>
        <w:rPr>
          <w:vertAlign w:val="superscript"/>
        </w:rPr>
        <w:footnoteReference w:id="68"/>
      </w:r>
      <w:r>
        <w:t xml:space="preserve">。与传统知识Benchmark中前沿模型超过90%准确率不同，HLE中大多数模型得分低于10%，人类专家平均准确率则超过90%</w:t>
      </w:r>
      <w:r>
        <w:t xml:space="preserve"> </w:t>
      </w:r>
      <w:fldSimple w:instr="NOTEREF _Ref_Footnote_68 \h \f">
        <w:r>
          <w:rPr>
            <w:vertAlign w:val="superscript"/>
          </w:rPr>
          <w:t>68</w:t>
        </w:r>
      </w:fldSimple>
      <w:r>
        <w:t xml:space="preserve">。Nemotron-Cascade使用thinking模式、temperature=1.0与128K token思考预算进行评估，Grok-4约达25.4%，而GPT-4和Claude-3低于10%</w:t>
      </w:r>
      <w:r>
        <w:t xml:space="preserve"> </w:t>
      </w:r>
      <w:r>
        <w:rPr>
          <w:vertAlign w:val="superscript"/>
        </w:rPr>
        <w:footnoteReference w:id="69"/>
      </w:r>
      <w:r>
        <w:t xml:space="preserve"> </w:t>
      </w:r>
      <w:fldSimple w:instr="NOTEREF _Ref_Footnote_68 \h \f">
        <w:r>
          <w:rPr>
            <w:vertAlign w:val="superscript"/>
          </w:rPr>
          <w:t>68</w:t>
        </w:r>
      </w:fldSimple>
      <w:r>
        <w:t xml:space="preserve">。</w:t>
      </w:r>
    </w:p>
    <w:p>
      <w:pPr>
        <w:pStyle w:val="BodyText"/>
      </w:pPr>
      <w:r>
        <w:rPr>
          <w:bCs/>
          <w:b/>
        </w:rPr>
        <w:t xml:space="preserve">表1：数学推理Benchmark层级体系</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Benchmark</w:t>
            </w:r>
          </w:p>
        </w:tc>
        <w:tc>
          <w:tcPr/>
          <w:p>
            <w:pPr>
              <w:pStyle w:val="Compact"/>
              <w:jc w:val="left"/>
            </w:pPr>
            <w:r>
              <w:t xml:space="preserve">难度级别</w:t>
            </w:r>
          </w:p>
        </w:tc>
        <w:tc>
          <w:tcPr/>
          <w:p>
            <w:pPr>
              <w:pStyle w:val="Compact"/>
              <w:jc w:val="left"/>
            </w:pPr>
            <w:r>
              <w:t xml:space="preserve">题目数量</w:t>
            </w:r>
          </w:p>
        </w:tc>
        <w:tc>
          <w:tcPr/>
          <w:p>
            <w:pPr>
              <w:pStyle w:val="Compact"/>
              <w:jc w:val="left"/>
            </w:pPr>
            <w:r>
              <w:t xml:space="preserve">评估指标</w:t>
            </w:r>
          </w:p>
        </w:tc>
        <w:tc>
          <w:tcPr/>
          <w:p>
            <w:pPr>
              <w:pStyle w:val="Compact"/>
              <w:jc w:val="left"/>
            </w:pPr>
            <w:r>
              <w:t xml:space="preserve">代表性论文使用频率</w:t>
            </w:r>
          </w:p>
        </w:tc>
        <w:tc>
          <w:tcPr/>
          <w:p>
            <w:pPr>
              <w:pStyle w:val="Compact"/>
              <w:jc w:val="left"/>
            </w:pPr>
            <w:r>
              <w:t xml:space="preserve">是否已饱和</w:t>
            </w:r>
          </w:p>
        </w:tc>
      </w:tr>
      <w:tr>
        <w:tc>
          <w:tcPr/>
          <w:p>
            <w:pPr>
              <w:pStyle w:val="Compact"/>
              <w:jc w:val="left"/>
            </w:pPr>
            <w:r>
              <w:t xml:space="preserve">GSM8K</w:t>
            </w:r>
            <w:r>
              <w:t xml:space="preserve"> </w:t>
            </w:r>
            <w:fldSimple w:instr="NOTEREF _Ref_Footnote_42 \h \f">
              <w:r>
                <w:rPr>
                  <w:vertAlign w:val="superscript"/>
                </w:rPr>
                <w:t>42</w:t>
              </w:r>
            </w:fldSimple>
          </w:p>
        </w:tc>
        <w:tc>
          <w:tcPr/>
          <w:p>
            <w:pPr>
              <w:pStyle w:val="Compact"/>
              <w:jc w:val="left"/>
            </w:pPr>
            <w:r>
              <w:t xml:space="preserve">小学</w:t>
            </w:r>
          </w:p>
        </w:tc>
        <w:tc>
          <w:tcPr/>
          <w:p>
            <w:pPr>
              <w:pStyle w:val="Compact"/>
              <w:jc w:val="left"/>
            </w:pPr>
            <w:r>
              <w:t xml:space="preserve">1,319</w:t>
            </w:r>
          </w:p>
        </w:tc>
        <w:tc>
          <w:tcPr/>
          <w:p>
            <w:pPr>
              <w:pStyle w:val="Compact"/>
              <w:jc w:val="left"/>
            </w:pPr>
            <w:r>
              <w:t xml:space="preserve">Exact Match</w:t>
            </w:r>
          </w:p>
        </w:tc>
        <w:tc>
          <w:tcPr/>
          <w:p>
            <w:pPr>
              <w:pStyle w:val="Compact"/>
              <w:jc w:val="left"/>
            </w:pPr>
            <w:r>
              <w:t xml:space="preserve">极高（几乎所有RLVR论文）</w:t>
            </w:r>
          </w:p>
        </w:tc>
        <w:tc>
          <w:tcPr/>
          <w:p>
            <w:pPr>
              <w:pStyle w:val="Compact"/>
              <w:jc w:val="left"/>
            </w:pPr>
            <w:r>
              <w:t xml:space="preserve">是（97%+）</w:t>
            </w:r>
            <w:fldSimple w:instr="NOTEREF _Ref_Footnote_45 \h \f">
              <w:r>
                <w:rPr>
                  <w:vertAlign w:val="superscript"/>
                </w:rPr>
                <w:t>45</w:t>
              </w:r>
            </w:fldSimple>
          </w:p>
        </w:tc>
      </w:tr>
      <w:tr>
        <w:tc>
          <w:tcPr/>
          <w:p>
            <w:pPr>
              <w:pStyle w:val="Compact"/>
              <w:jc w:val="left"/>
            </w:pPr>
            <w:r>
              <w:t xml:space="preserve">MATH-500</w:t>
            </w:r>
            <w:r>
              <w:t xml:space="preserve"> </w:t>
            </w:r>
            <w:fldSimple w:instr="NOTEREF _Ref_Footnote_51 \h \f">
              <w:r>
                <w:rPr>
                  <w:vertAlign w:val="superscript"/>
                </w:rPr>
                <w:t>51</w:t>
              </w:r>
            </w:fldSimple>
          </w:p>
        </w:tc>
        <w:tc>
          <w:tcPr/>
          <w:p>
            <w:pPr>
              <w:pStyle w:val="Compact"/>
              <w:jc w:val="left"/>
            </w:pPr>
            <w:r>
              <w:t xml:space="preserve">高中竞赛</w:t>
            </w:r>
          </w:p>
        </w:tc>
        <w:tc>
          <w:tcPr/>
          <w:p>
            <w:pPr>
              <w:pStyle w:val="Compact"/>
              <w:jc w:val="left"/>
            </w:pPr>
            <w:r>
              <w:t xml:space="preserve">500</w:t>
            </w:r>
          </w:p>
        </w:tc>
        <w:tc>
          <w:tcPr/>
          <w:p>
            <w:pPr>
              <w:pStyle w:val="Compact"/>
              <w:jc w:val="left"/>
            </w:pPr>
            <w:r>
              <w:t xml:space="preserve">Exact Match</w:t>
            </w:r>
          </w:p>
        </w:tc>
        <w:tc>
          <w:tcPr/>
          <w:p>
            <w:pPr>
              <w:pStyle w:val="Compact"/>
              <w:jc w:val="left"/>
            </w:pPr>
            <w:r>
              <w:t xml:space="preserve">高（DeepScaleR, EAPO, HEAL等）</w:t>
            </w:r>
          </w:p>
        </w:tc>
        <w:tc>
          <w:tcPr/>
          <w:p>
            <w:pPr>
              <w:pStyle w:val="Compact"/>
              <w:jc w:val="left"/>
            </w:pPr>
            <w:r>
              <w:t xml:space="preserve">接近饱和（~85%）</w:t>
            </w:r>
          </w:p>
        </w:tc>
      </w:tr>
      <w:tr>
        <w:tc>
          <w:tcPr/>
          <w:p>
            <w:pPr>
              <w:pStyle w:val="Compact"/>
              <w:jc w:val="left"/>
            </w:pPr>
            <w:r>
              <w:t xml:space="preserve">AIME 2024</w:t>
            </w:r>
            <w:r>
              <w:t xml:space="preserve"> </w:t>
            </w:r>
            <w:fldSimple w:instr="NOTEREF _Ref_Footnote_46 \h \f">
              <w:r>
                <w:rPr>
                  <w:vertAlign w:val="superscript"/>
                </w:rPr>
                <w:t>46</w:t>
              </w:r>
            </w:fldSimple>
          </w:p>
        </w:tc>
        <w:tc>
          <w:tcPr/>
          <w:p>
            <w:pPr>
              <w:pStyle w:val="Compact"/>
              <w:jc w:val="left"/>
            </w:pPr>
            <w:r>
              <w:t xml:space="preserve">邀请赛</w:t>
            </w:r>
          </w:p>
        </w:tc>
        <w:tc>
          <w:tcPr/>
          <w:p>
            <w:pPr>
              <w:pStyle w:val="Compact"/>
              <w:jc w:val="left"/>
            </w:pPr>
            <w:r>
              <w:t xml:space="preserve">30</w:t>
            </w:r>
          </w:p>
        </w:tc>
        <w:tc>
          <w:tcPr/>
          <w:p>
            <w:pPr>
              <w:pStyle w:val="Compact"/>
              <w:jc w:val="left"/>
            </w:pPr>
            <w:r>
              <w:t xml:space="preserve">Accuracy / Avg@32</w:t>
            </w:r>
          </w:p>
        </w:tc>
        <w:tc>
          <w:tcPr/>
          <w:p>
            <w:pPr>
              <w:pStyle w:val="Compact"/>
              <w:jc w:val="left"/>
            </w:pPr>
            <w:r>
              <w:t xml:space="preserve">极高（推理模型标配）</w:t>
            </w:r>
          </w:p>
        </w:tc>
        <w:tc>
          <w:tcPr/>
          <w:p>
            <w:pPr>
              <w:pStyle w:val="Compact"/>
              <w:jc w:val="left"/>
            </w:pPr>
            <w:r>
              <w:t xml:space="preserve">否（~80%区分度仍存）</w:t>
            </w:r>
          </w:p>
        </w:tc>
      </w:tr>
      <w:tr>
        <w:tc>
          <w:tcPr/>
          <w:p>
            <w:pPr>
              <w:pStyle w:val="Compact"/>
              <w:jc w:val="left"/>
            </w:pPr>
            <w:r>
              <w:t xml:space="preserve">AIME 2025</w:t>
            </w:r>
            <w:r>
              <w:t xml:space="preserve"> </w:t>
            </w:r>
            <w:fldSimple w:instr="NOTEREF _Ref_Footnote_49 \h \f">
              <w:r>
                <w:rPr>
                  <w:vertAlign w:val="superscript"/>
                </w:rPr>
                <w:t>49</w:t>
              </w:r>
            </w:fldSimple>
          </w:p>
        </w:tc>
        <w:tc>
          <w:tcPr/>
          <w:p>
            <w:pPr>
              <w:pStyle w:val="Compact"/>
              <w:jc w:val="left"/>
            </w:pPr>
            <w:r>
              <w:t xml:space="preserve">邀请赛</w:t>
            </w:r>
          </w:p>
        </w:tc>
        <w:tc>
          <w:tcPr/>
          <w:p>
            <w:pPr>
              <w:pStyle w:val="Compact"/>
              <w:jc w:val="left"/>
            </w:pPr>
            <w:r>
              <w:t xml:space="preserve">30</w:t>
            </w:r>
          </w:p>
        </w:tc>
        <w:tc>
          <w:tcPr/>
          <w:p>
            <w:pPr>
              <w:pStyle w:val="Compact"/>
              <w:jc w:val="left"/>
            </w:pPr>
            <w:r>
              <w:t xml:space="preserve">Accuracy / Avg@32</w:t>
            </w:r>
          </w:p>
        </w:tc>
        <w:tc>
          <w:tcPr/>
          <w:p>
            <w:pPr>
              <w:pStyle w:val="Compact"/>
              <w:jc w:val="left"/>
            </w:pPr>
            <w:r>
              <w:t xml:space="preserve">高（低污染优势）</w:t>
            </w:r>
          </w:p>
        </w:tc>
        <w:tc>
          <w:tcPr/>
          <w:p>
            <w:pPr>
              <w:pStyle w:val="Compact"/>
              <w:jc w:val="left"/>
            </w:pPr>
            <w:r>
              <w:t xml:space="preserve">否</w:t>
            </w:r>
          </w:p>
        </w:tc>
      </w:tr>
      <w:tr>
        <w:tc>
          <w:tcPr/>
          <w:p>
            <w:pPr>
              <w:pStyle w:val="Compact"/>
              <w:jc w:val="left"/>
            </w:pPr>
            <w:r>
              <w:t xml:space="preserve">AMC 2023</w:t>
            </w:r>
            <w:r>
              <w:t xml:space="preserve"> </w:t>
            </w:r>
            <w:fldSimple w:instr="NOTEREF _Ref_Footnote_53 \h \f">
              <w:r>
                <w:rPr>
                  <w:vertAlign w:val="superscript"/>
                </w:rPr>
                <w:t>53</w:t>
              </w:r>
            </w:fldSimple>
          </w:p>
        </w:tc>
        <w:tc>
          <w:tcPr/>
          <w:p>
            <w:pPr>
              <w:pStyle w:val="Compact"/>
              <w:jc w:val="left"/>
            </w:pPr>
            <w:r>
              <w:t xml:space="preserve">竞赛中级</w:t>
            </w:r>
          </w:p>
        </w:tc>
        <w:tc>
          <w:tcPr/>
          <w:p>
            <w:pPr>
              <w:pStyle w:val="Compact"/>
              <w:jc w:val="left"/>
            </w:pPr>
            <w:r>
              <w:t xml:space="preserve">40</w:t>
            </w:r>
          </w:p>
        </w:tc>
        <w:tc>
          <w:tcPr/>
          <w:p>
            <w:pPr>
              <w:pStyle w:val="Compact"/>
              <w:jc w:val="left"/>
            </w:pPr>
            <w:r>
              <w:t xml:space="preserve">Accuracy / Avg@8</w:t>
            </w:r>
          </w:p>
        </w:tc>
        <w:tc>
          <w:tcPr/>
          <w:p>
            <w:pPr>
              <w:pStyle w:val="Compact"/>
              <w:jc w:val="left"/>
            </w:pPr>
            <w:r>
              <w:t xml:space="preserve">中（HEAL, EAPO等）</w:t>
            </w:r>
          </w:p>
        </w:tc>
        <w:tc>
          <w:tcPr/>
          <w:p>
            <w:pPr>
              <w:pStyle w:val="Compact"/>
              <w:jc w:val="left"/>
            </w:pPr>
            <w:r>
              <w:t xml:space="preserve">否</w:t>
            </w:r>
          </w:p>
        </w:tc>
      </w:tr>
      <w:tr>
        <w:tc>
          <w:tcPr/>
          <w:p>
            <w:pPr>
              <w:pStyle w:val="Compact"/>
              <w:jc w:val="left"/>
            </w:pPr>
            <w:r>
              <w:t xml:space="preserve">OlympiadBench</w:t>
            </w:r>
            <w:r>
              <w:t xml:space="preserve"> </w:t>
            </w:r>
            <w:r>
              <w:rPr>
                <w:vertAlign w:val="superscript"/>
              </w:rPr>
              <w:footnoteReference w:id="70"/>
            </w:r>
          </w:p>
        </w:tc>
        <w:tc>
          <w:tcPr/>
          <w:p>
            <w:pPr>
              <w:pStyle w:val="Compact"/>
              <w:jc w:val="left"/>
            </w:pPr>
            <w:r>
              <w:t xml:space="preserve">国际奥赛</w:t>
            </w:r>
          </w:p>
        </w:tc>
        <w:tc>
          <w:tcPr/>
          <w:p>
            <w:pPr>
              <w:pStyle w:val="Compact"/>
              <w:jc w:val="left"/>
            </w:pPr>
            <w:r>
              <w:t xml:space="preserve">8,952</w:t>
            </w:r>
          </w:p>
        </w:tc>
        <w:tc>
          <w:tcPr/>
          <w:p>
            <w:pPr>
              <w:pStyle w:val="Compact"/>
              <w:jc w:val="left"/>
            </w:pPr>
            <w:r>
              <w:t xml:space="preserve">多种</w:t>
            </w:r>
          </w:p>
        </w:tc>
        <w:tc>
          <w:tcPr/>
          <w:p>
            <w:pPr>
              <w:pStyle w:val="Compact"/>
              <w:jc w:val="left"/>
            </w:pPr>
            <w:r>
              <w:t xml:space="preserve">中（多领域评估）</w:t>
            </w:r>
          </w:p>
        </w:tc>
        <w:tc>
          <w:tcPr/>
          <w:p>
            <w:pPr>
              <w:pStyle w:val="Compact"/>
              <w:jc w:val="left"/>
            </w:pPr>
            <w:r>
              <w:t xml:space="preserve">否（GPT-4V仅17%）</w:t>
            </w:r>
          </w:p>
        </w:tc>
      </w:tr>
      <w:tr>
        <w:tc>
          <w:tcPr/>
          <w:p>
            <w:pPr>
              <w:pStyle w:val="Compact"/>
              <w:jc w:val="left"/>
            </w:pPr>
            <w:r>
              <w:t xml:space="preserve">Omni-MATH</w:t>
            </w:r>
            <w:r>
              <w:t xml:space="preserve"> </w:t>
            </w:r>
            <w:r>
              <w:rPr>
                <w:vertAlign w:val="superscript"/>
              </w:rPr>
              <w:footnoteReference w:id="71"/>
            </w:r>
          </w:p>
        </w:tc>
        <w:tc>
          <w:tcPr/>
          <w:p>
            <w:pPr>
              <w:pStyle w:val="Compact"/>
              <w:jc w:val="left"/>
            </w:pPr>
            <w:r>
              <w:t xml:space="preserve">奥赛级</w:t>
            </w:r>
          </w:p>
        </w:tc>
        <w:tc>
          <w:tcPr/>
          <w:p>
            <w:pPr>
              <w:pStyle w:val="Compact"/>
              <w:jc w:val="left"/>
            </w:pPr>
            <w:r>
              <w:t xml:space="preserve">4,428</w:t>
            </w:r>
          </w:p>
        </w:tc>
        <w:tc>
          <w:tcPr/>
          <w:p>
            <w:pPr>
              <w:pStyle w:val="Compact"/>
              <w:jc w:val="left"/>
            </w:pPr>
            <w:r>
              <w:t xml:space="preserve">Accuracy</w:t>
            </w:r>
          </w:p>
        </w:tc>
        <w:tc>
          <w:tcPr/>
          <w:p>
            <w:pPr>
              <w:pStyle w:val="Compact"/>
              <w:jc w:val="left"/>
            </w:pPr>
            <w:r>
              <w:t xml:space="preserve">中（33+子领域覆盖）</w:t>
            </w:r>
          </w:p>
        </w:tc>
        <w:tc>
          <w:tcPr/>
          <w:p>
            <w:pPr>
              <w:pStyle w:val="Compact"/>
              <w:jc w:val="left"/>
            </w:pPr>
            <w:r>
              <w:t xml:space="preserve">否</w:t>
            </w:r>
          </w:p>
        </w:tc>
      </w:tr>
      <w:tr>
        <w:tc>
          <w:tcPr/>
          <w:p>
            <w:pPr>
              <w:pStyle w:val="Compact"/>
              <w:jc w:val="left"/>
            </w:pPr>
            <w:r>
              <w:t xml:space="preserve">DeepScaleR Dataset</w:t>
            </w:r>
            <w:r>
              <w:t xml:space="preserve"> </w:t>
            </w:r>
            <w:fldSimple w:instr="NOTEREF _Ref_Footnote_53 \h \f">
              <w:r>
                <w:rPr>
                  <w:vertAlign w:val="superscript"/>
                </w:rPr>
                <w:t>53</w:t>
              </w:r>
            </w:fldSimple>
          </w:p>
        </w:tc>
        <w:tc>
          <w:tcPr/>
          <w:p>
            <w:pPr>
              <w:pStyle w:val="Compact"/>
              <w:jc w:val="left"/>
            </w:pPr>
            <w:r>
              <w:t xml:space="preserve">竞赛级</w:t>
            </w:r>
          </w:p>
        </w:tc>
        <w:tc>
          <w:tcPr/>
          <w:p>
            <w:pPr>
              <w:pStyle w:val="Compact"/>
              <w:jc w:val="left"/>
            </w:pPr>
            <w:r>
              <w:t xml:space="preserve">~40K训练</w:t>
            </w:r>
          </w:p>
        </w:tc>
        <w:tc>
          <w:tcPr/>
          <w:p>
            <w:pPr>
              <w:pStyle w:val="Compact"/>
              <w:jc w:val="left"/>
            </w:pPr>
            <w:r>
              <w:t xml:space="preserve">—</w:t>
            </w:r>
          </w:p>
        </w:tc>
        <w:tc>
          <w:tcPr/>
          <w:p>
            <w:pPr>
              <w:pStyle w:val="Compact"/>
              <w:jc w:val="left"/>
            </w:pPr>
            <w:r>
              <w:t xml:space="preserve">高（训练兼评估参考）</w:t>
            </w:r>
          </w:p>
        </w:tc>
        <w:tc>
          <w:tcPr/>
          <w:p>
            <w:pPr>
              <w:pStyle w:val="Compact"/>
              <w:jc w:val="left"/>
            </w:pPr>
            <w:r>
              <w:t xml:space="preserve">—</w:t>
            </w:r>
          </w:p>
        </w:tc>
      </w:tr>
      <w:tr>
        <w:tc>
          <w:tcPr/>
          <w:p>
            <w:pPr>
              <w:pStyle w:val="Compact"/>
              <w:jc w:val="left"/>
            </w:pPr>
            <w:r>
              <w:t xml:space="preserve">GPQA-Diamond</w:t>
            </w:r>
            <w:r>
              <w:t xml:space="preserve"> </w:t>
            </w:r>
            <w:fldSimple w:instr="NOTEREF _Ref_Footnote_46 \h \f">
              <w:r>
                <w:rPr>
                  <w:vertAlign w:val="superscript"/>
                </w:rPr>
                <w:t>46</w:t>
              </w:r>
            </w:fldSimple>
          </w:p>
        </w:tc>
        <w:tc>
          <w:tcPr/>
          <w:p>
            <w:pPr>
              <w:pStyle w:val="Compact"/>
              <w:jc w:val="left"/>
            </w:pPr>
            <w:r>
              <w:t xml:space="preserve">博士级</w:t>
            </w:r>
          </w:p>
        </w:tc>
        <w:tc>
          <w:tcPr/>
          <w:p>
            <w:pPr>
              <w:pStyle w:val="Compact"/>
              <w:jc w:val="left"/>
            </w:pPr>
            <w:r>
              <w:t xml:space="preserve">198</w:t>
            </w:r>
          </w:p>
        </w:tc>
        <w:tc>
          <w:tcPr/>
          <w:p>
            <w:pPr>
              <w:pStyle w:val="Compact"/>
              <w:jc w:val="left"/>
            </w:pPr>
            <w:r>
              <w:t xml:space="preserve">Accuracy</w:t>
            </w:r>
          </w:p>
        </w:tc>
        <w:tc>
          <w:tcPr/>
          <w:p>
            <w:pPr>
              <w:pStyle w:val="Compact"/>
              <w:jc w:val="left"/>
            </w:pPr>
            <w:r>
              <w:t xml:space="preserve">高（Nemotron-Cascade等）</w:t>
            </w:r>
          </w:p>
        </w:tc>
        <w:tc>
          <w:tcPr/>
          <w:p>
            <w:pPr>
              <w:pStyle w:val="Compact"/>
              <w:jc w:val="left"/>
            </w:pPr>
            <w:r>
              <w:t xml:space="preserve">否（~65%，未超专家）</w:t>
            </w:r>
          </w:p>
        </w:tc>
      </w:tr>
      <w:tr>
        <w:tc>
          <w:tcPr/>
          <w:p>
            <w:pPr>
              <w:pStyle w:val="Compact"/>
              <w:jc w:val="left"/>
            </w:pPr>
            <w:r>
              <w:t xml:space="preserve">FrontierMath</w:t>
            </w:r>
            <w:r>
              <w:t xml:space="preserve"> </w:t>
            </w:r>
            <w:fldSimple w:instr="NOTEREF _Ref_Footnote_63 \h \f">
              <w:r>
                <w:rPr>
                  <w:vertAlign w:val="superscript"/>
                </w:rPr>
                <w:t>63</w:t>
              </w:r>
            </w:fldSimple>
          </w:p>
        </w:tc>
        <w:tc>
          <w:tcPr/>
          <w:p>
            <w:pPr>
              <w:pStyle w:val="Compact"/>
              <w:jc w:val="left"/>
            </w:pPr>
            <w:r>
              <w:t xml:space="preserve">研究级</w:t>
            </w:r>
          </w:p>
        </w:tc>
        <w:tc>
          <w:tcPr/>
          <w:p>
            <w:pPr>
              <w:pStyle w:val="Compact"/>
              <w:jc w:val="left"/>
            </w:pPr>
            <w:r>
              <w:t xml:space="preserve">隐藏集</w:t>
            </w:r>
          </w:p>
        </w:tc>
        <w:tc>
          <w:tcPr/>
          <w:p>
            <w:pPr>
              <w:pStyle w:val="Compact"/>
              <w:jc w:val="left"/>
            </w:pPr>
            <w:r>
              <w:t xml:space="preserve">Avg@8</w:t>
            </w:r>
          </w:p>
        </w:tc>
        <w:tc>
          <w:tcPr/>
          <w:p>
            <w:pPr>
              <w:pStyle w:val="Compact"/>
              <w:jc w:val="left"/>
            </w:pPr>
            <w:r>
              <w:t xml:space="preserve">中（Epoch AI发布）</w:t>
            </w:r>
          </w:p>
        </w:tc>
        <w:tc>
          <w:tcPr/>
          <w:p>
            <w:pPr>
              <w:pStyle w:val="Compact"/>
              <w:jc w:val="left"/>
            </w:pPr>
            <w:r>
              <w:t xml:space="preserve">否（41%且持续提升）</w:t>
            </w:r>
          </w:p>
        </w:tc>
      </w:tr>
      <w:tr>
        <w:tc>
          <w:tcPr/>
          <w:p>
            <w:pPr>
              <w:pStyle w:val="Compact"/>
              <w:jc w:val="left"/>
            </w:pPr>
            <w:r>
              <w:t xml:space="preserve">LiveMathBench</w:t>
            </w:r>
            <w:r>
              <w:t xml:space="preserve"> </w:t>
            </w:r>
            <w:fldSimple w:instr="NOTEREF _Ref_Footnote_65 \h \f">
              <w:r>
                <w:rPr>
                  <w:vertAlign w:val="superscript"/>
                </w:rPr>
                <w:t>65</w:t>
              </w:r>
            </w:fldSimple>
          </w:p>
        </w:tc>
        <w:tc>
          <w:tcPr/>
          <w:p>
            <w:pPr>
              <w:pStyle w:val="Compact"/>
              <w:jc w:val="left"/>
            </w:pPr>
            <w:r>
              <w:t xml:space="preserve">高难度</w:t>
            </w:r>
          </w:p>
        </w:tc>
        <w:tc>
          <w:tcPr/>
          <w:p>
            <w:pPr>
              <w:pStyle w:val="Compact"/>
              <w:jc w:val="left"/>
            </w:pPr>
            <w:r>
              <w:t xml:space="preserve">动态更新</w:t>
            </w:r>
          </w:p>
        </w:tc>
        <w:tc>
          <w:tcPr/>
          <w:p>
            <w:pPr>
              <w:pStyle w:val="Compact"/>
              <w:jc w:val="left"/>
            </w:pPr>
            <w:r>
              <w:t xml:space="preserve">Accuracy</w:t>
            </w:r>
          </w:p>
        </w:tc>
        <w:tc>
          <w:tcPr/>
          <w:p>
            <w:pPr>
              <w:pStyle w:val="Compact"/>
              <w:jc w:val="left"/>
            </w:pPr>
            <w:r>
              <w:t xml:space="preserve">低（新兴Benchmark）</w:t>
            </w:r>
          </w:p>
        </w:tc>
        <w:tc>
          <w:tcPr/>
          <w:p>
            <w:pPr>
              <w:pStyle w:val="Compact"/>
              <w:jc w:val="left"/>
            </w:pPr>
            <w:r>
              <w:t xml:space="preserve">否（动态机制）</w:t>
            </w:r>
          </w:p>
        </w:tc>
      </w:tr>
      <w:tr>
        <w:tc>
          <w:tcPr/>
          <w:p>
            <w:pPr>
              <w:pStyle w:val="Compact"/>
              <w:jc w:val="left"/>
            </w:pPr>
            <w:r>
              <w:t xml:space="preserve">HLE</w:t>
            </w:r>
            <w:r>
              <w:t xml:space="preserve"> </w:t>
            </w:r>
            <w:fldSimple w:instr="NOTEREF _Ref_Footnote_68 \h \f">
              <w:r>
                <w:rPr>
                  <w:vertAlign w:val="superscript"/>
                </w:rPr>
                <w:t>68</w:t>
              </w:r>
            </w:fldSimple>
          </w:p>
        </w:tc>
        <w:tc>
          <w:tcPr/>
          <w:p>
            <w:pPr>
              <w:pStyle w:val="Compact"/>
              <w:jc w:val="left"/>
            </w:pPr>
            <w:r>
              <w:t xml:space="preserve">前沿学术</w:t>
            </w:r>
          </w:p>
        </w:tc>
        <w:tc>
          <w:tcPr/>
          <w:p>
            <w:pPr>
              <w:pStyle w:val="Compact"/>
              <w:jc w:val="left"/>
            </w:pPr>
            <w:r>
              <w:t xml:space="preserve">~3,000</w:t>
            </w:r>
          </w:p>
        </w:tc>
        <w:tc>
          <w:tcPr/>
          <w:p>
            <w:pPr>
              <w:pStyle w:val="Compact"/>
              <w:jc w:val="left"/>
            </w:pPr>
            <w:r>
              <w:t xml:space="preserve">Accuracy</w:t>
            </w:r>
          </w:p>
        </w:tc>
        <w:tc>
          <w:tcPr/>
          <w:p>
            <w:pPr>
              <w:pStyle w:val="Compact"/>
              <w:jc w:val="left"/>
            </w:pPr>
            <w:r>
              <w:t xml:space="preserve">中（Nemotron-Cascade）</w:t>
            </w:r>
          </w:p>
        </w:tc>
        <w:tc>
          <w:tcPr/>
          <w:p>
            <w:pPr>
              <w:pStyle w:val="Compact"/>
              <w:jc w:val="left"/>
            </w:pPr>
            <w:r>
              <w:t xml:space="preserve">否（&lt;10%多数模型）</w:t>
            </w:r>
          </w:p>
        </w:tc>
      </w:tr>
    </w:tbl>
    <w:p>
      <w:pPr>
        <w:pStyle w:val="CaptionedFigure"/>
      </w:pPr>
      <w:r>
        <w:drawing>
          <wp:inline>
            <wp:extent cx="5334000" cy="2635384"/>
            <wp:effectExtent b="0" l="0" r="0" t="0"/>
            <wp:docPr descr="数学推理Benchmark饱和度梯度与难度层级" title="" id="97" name="Picture"/>
            <a:graphic>
              <a:graphicData uri="http://schemas.openxmlformats.org/drawingml/2006/picture">
                <pic:pic>
                  <pic:nvPicPr>
                    <pic:cNvPr descr="fig_math_benchmark_saturation.png" id="98" name="Picture"/>
                    <pic:cNvPicPr>
                      <a:picLocks noChangeArrowheads="1" noChangeAspect="1"/>
                    </pic:cNvPicPr>
                  </pic:nvPicPr>
                  <pic:blipFill>
                    <a:blip r:embed="rId96"/>
                    <a:stretch>
                      <a:fillRect/>
                    </a:stretch>
                  </pic:blipFill>
                  <pic:spPr bwMode="auto">
                    <a:xfrm>
                      <a:off x="0" y="0"/>
                      <a:ext cx="5334000" cy="2635384"/>
                    </a:xfrm>
                    <a:prstGeom prst="rect">
                      <a:avLst/>
                    </a:prstGeom>
                    <a:noFill/>
                    <a:ln w="9525">
                      <a:noFill/>
                      <a:headEnd/>
                      <a:tailEnd/>
                    </a:ln>
                  </pic:spPr>
                </pic:pic>
              </a:graphicData>
            </a:graphic>
          </wp:inline>
        </w:drawing>
      </w:r>
    </w:p>
    <w:p>
      <w:pPr>
        <w:pStyle w:val="ImageCaption"/>
      </w:pPr>
      <w:r>
        <w:t xml:space="preserve">数学推理Benchmark饱和度梯度与难度层级</w:t>
      </w:r>
    </w:p>
    <w:p>
      <w:pPr>
        <w:pStyle w:val="BodyText"/>
      </w:pPr>
      <w:r>
        <w:t xml:space="preserve">上表与图呈现了数学推理Benchmark从基础到前沿的完整层级谱系。GSM8K作为基础验证工具已趋于饱和，其核心价值在于排除模型是否存在基础推理缺陷，而非性能排序。MATH-500和AIME系列构成当前评估的主干，前者覆盖高中竞赛级知识广度，后者提供高区分度的推理深度测试。GPQA-Diamond以其博士级难度和人类专家基线成为衡量模型是否达到专家水平的关键门槛。FrontierMath、LiveMathBench和HLE则代表了抗污染评估的前沿方向，通过隐藏测试集、动态更新和极高难度设计，试图在模型能力快速进步的背景下维持评估的区分效度。值得注意的是，AIME每年仅30题的供给量构成了评估瓶颈——即便采用Avg@32采样策略，评估结果的统计置信度仍受限于题目池规模。这一结构性约束推动了LiveMathBench等动态更新机制的发展。</w:t>
      </w:r>
    </w:p>
    <w:bookmarkEnd w:id="99"/>
    <w:bookmarkEnd w:id="100"/>
    <w:bookmarkStart w:id="107" w:name="代码生成benchmark"/>
    <w:p>
      <w:pPr>
        <w:pStyle w:val="Heading2"/>
      </w:pPr>
      <w:r>
        <w:t xml:space="preserve">5.2 代码生成Benchmark</w:t>
      </w:r>
    </w:p>
    <w:p>
      <w:pPr>
        <w:pStyle w:val="FirstParagraph"/>
      </w:pPr>
      <w:r>
        <w:t xml:space="preserve">代码生成评估在LLM+RL研究中占据重要地位，尤其是RLVR训练在代码推理任务上的应用日益广泛。代码Benchmark面临的独特挑战在于评估数据更容易被泄露到训练语料中——LeetCode、Codeforces等平台的公开题目常被收录于预训练数据。</w:t>
      </w:r>
    </w:p>
    <w:bookmarkStart w:id="101" w:name="humanevalmbpp经典但已被大量泄露"/>
    <w:p>
      <w:pPr>
        <w:pStyle w:val="Heading3"/>
      </w:pPr>
      <w:r>
        <w:t xml:space="preserve">5.2.1 HumanEval/MBPP：经典但已被大量泄露</w:t>
      </w:r>
    </w:p>
    <w:p>
      <w:pPr>
        <w:pStyle w:val="FirstParagraph"/>
      </w:pPr>
      <w:r>
        <w:t xml:space="preserve">HumanEval发布于2021年，包含164道Python函数合成题目，每题包含docstring描述与单元测试，评估指标为Pass@k</w:t>
      </w:r>
      <w:r>
        <w:t xml:space="preserve"> </w:t>
      </w:r>
      <w:fldSimple w:instr="NOTEREF _Ref_Footnote_43 \h \f">
        <w:r>
          <w:rPr>
            <w:vertAlign w:val="superscript"/>
          </w:rPr>
          <w:t>43</w:t>
        </w:r>
      </w:fldSimple>
      <w:r>
        <w:t xml:space="preserve">。HumanEval是代码生成评估的开创性Benchmark，但由于其广泛使用和公开时间较长，题目内容已被大量收录于预训练语料和合成训练数据中，数据污染风险极高。EvalPlus框架通过增加80倍以上的测试用例解决了原测试覆盖不足的问题，形成HumanEval+增强版本</w:t>
      </w:r>
      <w:r>
        <w:t xml:space="preserve"> </w:t>
      </w:r>
      <w:fldSimple w:instr="NOTEREF _Ref_Footnote_43 \h \f">
        <w:r>
          <w:rPr>
            <w:vertAlign w:val="superscript"/>
          </w:rPr>
          <w:t>43</w:t>
        </w:r>
      </w:fldSimple>
      <w:r>
        <w:t xml:space="preserve"> </w:t>
      </w:r>
      <w:fldSimple w:instr="NOTEREF _Ref_Footnote_44 \h \f">
        <w:r>
          <w:rPr>
            <w:vertAlign w:val="superscript"/>
          </w:rPr>
          <w:t>44</w:t>
        </w:r>
      </w:fldSimple>
      <w:r>
        <w:t xml:space="preserve">，在一定程度上缓解了测试泄露导致的分数虚高问题。</w:t>
      </w:r>
    </w:p>
    <w:p>
      <w:pPr>
        <w:pStyle w:val="BodyText"/>
      </w:pPr>
      <w:r>
        <w:t xml:space="preserve">MBPP（Mostly Basic Programming Problems）发布于同年，包含974题（sanitized版本427题），难度为入门级编程</w:t>
      </w:r>
      <w:r>
        <w:t xml:space="preserve"> </w:t>
      </w:r>
      <w:fldSimple w:instr="NOTEREF _Ref_Footnote_43 \h \f">
        <w:r>
          <w:rPr>
            <w:vertAlign w:val="superscript"/>
          </w:rPr>
          <w:t>43</w:t>
        </w:r>
      </w:fldSimple>
      <w:r>
        <w:t xml:space="preserve">。与HumanEval类似，MBPP也面临数据污染问题，且其入门级难度对当前前沿模型的区分度有限。</w:t>
      </w:r>
    </w:p>
    <w:bookmarkEnd w:id="101"/>
    <w:bookmarkStart w:id="102" w:name="livecodebench每月更新机制解决数据污染问题"/>
    <w:p>
      <w:pPr>
        <w:pStyle w:val="Heading3"/>
      </w:pPr>
      <w:r>
        <w:t xml:space="preserve">5.2.2 LiveCodeBench：每月更新机制解决数据污染问题</w:t>
      </w:r>
    </w:p>
    <w:p>
      <w:pPr>
        <w:pStyle w:val="FirstParagraph"/>
      </w:pPr>
      <w:r>
        <w:t xml:space="preserve">LiveCodeBench（LCB）是2024年发布的动态代码评估Benchmark，通过收集LeetCode、AtCoder、Codeforces等在线编程平台新发布的问题来最小化数据污染</w:t>
      </w:r>
      <w:r>
        <w:t xml:space="preserve"> </w:t>
      </w:r>
      <w:fldSimple w:instr="NOTEREF _Ref_Footnote_44 \h \f">
        <w:r>
          <w:rPr>
            <w:vertAlign w:val="superscript"/>
          </w:rPr>
          <w:t>44</w:t>
        </w:r>
      </w:fldSimple>
      <w:r>
        <w:t xml:space="preserve">。其核心创新在于时序分区版本划分：LCB v5覆盖2024年8月至2025年2月的新题目（约374-511题），LCB v6覆盖2025年2月至2025年5月（约131-454题）</w:t>
      </w:r>
      <w:fldSimple w:instr="NOTEREF _Ref_Footnote_66 \h \f">
        <w:r>
          <w:rPr>
            <w:vertAlign w:val="superscript"/>
          </w:rPr>
          <w:t>66</w:t>
        </w:r>
      </w:fldSimple>
      <w:r>
        <w:t xml:space="preserve"> </w:t>
      </w:r>
      <w:fldSimple w:instr="NOTEREF _Ref_Footnote_67 \h \f">
        <w:r>
          <w:rPr>
            <w:vertAlign w:val="superscript"/>
          </w:rPr>
          <w:t>67</w:t>
        </w:r>
      </w:fldSimple>
      <w:r>
        <w:t xml:space="preserve">。这种基于时间窗口的版本迭代机制确保了评估数据在模型训练截止日期之后发布，从根本上切断了数据污染的路径。</w:t>
      </w:r>
    </w:p>
    <w:p>
      <w:pPr>
        <w:pStyle w:val="BodyText"/>
      </w:pPr>
      <w:r>
        <w:t xml:space="preserve">评估设置上，LiveCodeBench采用temperature=0.6、top_p=0.95、top_k=20的标准解码配置</w:t>
      </w:r>
      <w:r>
        <w:t xml:space="preserve"> </w:t>
      </w:r>
      <w:fldSimple w:instr="NOTEREF _Ref_Footnote_59 \h \f">
        <w:r>
          <w:rPr>
            <w:vertAlign w:val="superscript"/>
          </w:rPr>
          <w:t>59</w:t>
        </w:r>
      </w:fldSimple>
      <w:r>
        <w:t xml:space="preserve"> </w:t>
      </w:r>
      <w:fldSimple w:instr="NOTEREF _Ref_Footnote_66 \h \f">
        <w:r>
          <w:rPr>
            <w:vertAlign w:val="superscript"/>
          </w:rPr>
          <w:t>66</w:t>
        </w:r>
      </w:fldSimple>
      <w:r>
        <w:t xml:space="preserve">，最大生成长度为32,768至65,536 tokens</w:t>
      </w:r>
      <w:r>
        <w:t xml:space="preserve"> </w:t>
      </w:r>
      <w:r>
        <w:rPr>
          <w:vertAlign w:val="superscript"/>
        </w:rPr>
        <w:footnoteReference w:id="72"/>
      </w:r>
      <w:r>
        <w:t xml:space="preserve">，通常报告avg@8指标</w:t>
      </w:r>
      <w:r>
        <w:t xml:space="preserve"> </w:t>
      </w:r>
      <w:r>
        <w:rPr>
          <w:vertAlign w:val="superscript"/>
        </w:rPr>
        <w:footnoteReference w:id="73"/>
      </w:r>
      <w:r>
        <w:t xml:space="preserve">。AceReason-Nemotron</w:t>
      </w:r>
      <w:r>
        <w:t xml:space="preserve"> </w:t>
      </w:r>
      <w:fldSimple w:instr="NOTEREF _Ref_Footnote_59 \h \f">
        <w:r>
          <w:rPr>
            <w:vertAlign w:val="superscript"/>
          </w:rPr>
          <w:t>59</w:t>
        </w:r>
      </w:fldSimple>
      <w:r>
        <w:t xml:space="preserve">、RefineRL</w:t>
      </w:r>
      <w:r>
        <w:t xml:space="preserve"> </w:t>
      </w:r>
      <w:fldSimple w:instr="NOTEREF _Ref_Footnote_72 \h \f">
        <w:r>
          <w:rPr>
            <w:vertAlign w:val="superscript"/>
          </w:rPr>
          <w:t>72</w:t>
        </w:r>
      </w:fldSimple>
      <w:r>
        <w:t xml:space="preserve">、DCPO</w:t>
      </w:r>
      <w:r>
        <w:t xml:space="preserve"> </w:t>
      </w:r>
      <w:r>
        <w:rPr>
          <w:vertAlign w:val="superscript"/>
        </w:rPr>
        <w:footnoteReference w:id="74"/>
      </w:r>
      <w:r>
        <w:t xml:space="preserve">等代表性工作均采用LiveCodeBench v5/v6作为主要代码评估基准，使其成为当前代码推理模型评估的事实标准。</w:t>
      </w:r>
    </w:p>
    <w:bookmarkEnd w:id="102"/>
    <w:bookmarkStart w:id="106" w:name="swe-bench系列真实软件工程任务评估"/>
    <w:p>
      <w:pPr>
        <w:pStyle w:val="Heading3"/>
      </w:pPr>
      <w:r>
        <w:t xml:space="preserve">5.2.3 SWE-Bench系列：真实软件工程任务评估</w:t>
      </w:r>
    </w:p>
    <w:p>
      <w:pPr>
        <w:pStyle w:val="FirstParagraph"/>
      </w:pPr>
      <w:r>
        <w:t xml:space="preserve">SWE-Bench系列评估模型在真实代码库中修复GitHub issue的能力，是连接代码生成与实际软件工程实践的桥梁。该系列包含多个变体：SWE-Bench Original</w:t>
      </w:r>
      <w:r>
        <w:t xml:space="preserve"> </w:t>
      </w:r>
      <w:fldSimple w:instr="NOTEREF _Ref_Footnote_43 \h \f">
        <w:r>
          <w:rPr>
            <w:vertAlign w:val="superscript"/>
          </w:rPr>
          <w:t>43</w:t>
        </w:r>
      </w:fldSimple>
      <w:r>
        <w:t xml:space="preserve">评估仓库级issue修复，通过仓库测试套件验证patch正确性；SWE-Bench Verified</w:t>
      </w:r>
      <w:r>
        <w:t xml:space="preserve"> </w:t>
      </w:r>
      <w:fldSimple w:instr="NOTEREF _Ref_Footnote_43 \h \f">
        <w:r>
          <w:rPr>
            <w:vertAlign w:val="superscript"/>
          </w:rPr>
          <w:t>43</w:t>
        </w:r>
      </w:fldSimple>
      <w:r>
        <w:t xml:space="preserve">是OpenAI人工验证的500题子集，过滤了原数据集中的问题；SWE-Bench Pro</w:t>
      </w:r>
      <w:r>
        <w:t xml:space="preserve"> </w:t>
      </w:r>
      <w:r>
        <w:rPr>
          <w:vertAlign w:val="superscript"/>
        </w:rPr>
        <w:footnoteReference w:id="75"/>
      </w:r>
      <w:r>
        <w:t xml:space="preserve">将评估扩展至长程工程任务与多语言支持，平均需要修改107行代码、跨越4个文件；SWE-Bench Live</w:t>
      </w:r>
      <w:r>
        <w:t xml:space="preserve"> </w:t>
      </w:r>
      <w:fldSimple w:instr="NOTEREF _Ref_Footnote_43 \h \f">
        <w:r>
          <w:rPr>
            <w:vertAlign w:val="superscript"/>
          </w:rPr>
          <w:t>43</w:t>
        </w:r>
      </w:fldSimple>
      <w:r>
        <w:t xml:space="preserve">则持续从GitHub收集新patch，实现动态更新。</w:t>
      </w:r>
    </w:p>
    <w:p>
      <w:pPr>
        <w:pStyle w:val="BodyText"/>
      </w:pPr>
      <w:r>
        <w:t xml:space="preserve">Nemotron-Cascade使用mini-SWE-agent scaffold在SWE-Bench Verified上评估，通过云评估工具sb-cli获取最终分数</w:t>
      </w:r>
      <w:r>
        <w:t xml:space="preserve"> </w:t>
      </w:r>
      <w:r>
        <w:rPr>
          <w:vertAlign w:val="superscript"/>
        </w:rPr>
        <w:footnoteReference w:id="76"/>
      </w:r>
      <w:r>
        <w:t xml:space="preserve">。SWE-Bench系列的高实用性使其成为评估模型真实软件工程能力的黄金标准，但其评估环境复杂、运行成本高（需要执行仓库测试套件），限制了其在研究中的普及度。</w:t>
      </w:r>
    </w:p>
    <w:p>
      <w:pPr>
        <w:pStyle w:val="BodyText"/>
      </w:pPr>
      <w:r>
        <w:t xml:space="preserve">BigCodeBench</w:t>
      </w:r>
      <w:r>
        <w:t xml:space="preserve"> </w:t>
      </w:r>
      <w:r>
        <w:rPr>
          <w:vertAlign w:val="superscript"/>
        </w:rPr>
        <w:footnoteReference w:id="77"/>
      </w:r>
      <w:r>
        <w:t xml:space="preserve"> </w:t>
      </w:r>
      <w:r>
        <w:rPr>
          <w:vertAlign w:val="superscript"/>
        </w:rPr>
        <w:footnoteReference w:id="78"/>
      </w:r>
      <w:r>
        <w:t xml:space="preserve">是另一个值得关注的代码Benchmark，包含1,140道题目，评估需要调用139个不同第三方库的复杂功能实现，更贴近实际软件开发场景。MultiPL-E</w:t>
      </w:r>
      <w:r>
        <w:t xml:space="preserve"> </w:t>
      </w:r>
      <w:fldSimple w:instr="NOTEREF _Ref_Footnote_43 \h \f">
        <w:r>
          <w:rPr>
            <w:vertAlign w:val="superscript"/>
          </w:rPr>
          <w:t>43</w:t>
        </w:r>
      </w:fldSimple>
      <w:r>
        <w:t xml:space="preserve">则将HumanEval和MBPP翻译至18种编程语言，用于评估多语言代码生成能力。</w:t>
      </w:r>
    </w:p>
    <w:p>
      <w:pPr>
        <w:pStyle w:val="BodyText"/>
      </w:pPr>
      <w:r>
        <w:rPr>
          <w:bCs/>
          <w:b/>
        </w:rPr>
        <w:t xml:space="preserve">表2：代码生成Benchmark对比</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Benchmark</w:t>
            </w:r>
          </w:p>
        </w:tc>
        <w:tc>
          <w:tcPr/>
          <w:p>
            <w:pPr>
              <w:pStyle w:val="Compact"/>
              <w:jc w:val="left"/>
            </w:pPr>
            <w:r>
              <w:t xml:space="preserve">语言</w:t>
            </w:r>
          </w:p>
        </w:tc>
        <w:tc>
          <w:tcPr/>
          <w:p>
            <w:pPr>
              <w:pStyle w:val="Compact"/>
              <w:jc w:val="left"/>
            </w:pPr>
            <w:r>
              <w:t xml:space="preserve">题目数</w:t>
            </w:r>
          </w:p>
        </w:tc>
        <w:tc>
          <w:tcPr/>
          <w:p>
            <w:pPr>
              <w:pStyle w:val="Compact"/>
              <w:jc w:val="left"/>
            </w:pPr>
            <w:r>
              <w:t xml:space="preserve">评估指标</w:t>
            </w:r>
          </w:p>
        </w:tc>
        <w:tc>
          <w:tcPr/>
          <w:p>
            <w:pPr>
              <w:pStyle w:val="Compact"/>
              <w:jc w:val="left"/>
            </w:pPr>
            <w:r>
              <w:t xml:space="preserve">更新频率</w:t>
            </w:r>
          </w:p>
        </w:tc>
        <w:tc>
          <w:tcPr/>
          <w:p>
            <w:pPr>
              <w:pStyle w:val="Compact"/>
              <w:jc w:val="left"/>
            </w:pPr>
            <w:r>
              <w:t xml:space="preserve">泄露风险</w:t>
            </w:r>
          </w:p>
        </w:tc>
        <w:tc>
          <w:tcPr/>
          <w:p>
            <w:pPr>
              <w:pStyle w:val="Compact"/>
              <w:jc w:val="left"/>
            </w:pPr>
            <w:r>
              <w:t xml:space="preserve">主要特点</w:t>
            </w:r>
          </w:p>
        </w:tc>
      </w:tr>
      <w:tr>
        <w:tc>
          <w:tcPr/>
          <w:p>
            <w:pPr>
              <w:pStyle w:val="Compact"/>
              <w:jc w:val="left"/>
            </w:pPr>
            <w:r>
              <w:t xml:space="preserve">HumanEval</w:t>
            </w:r>
            <w:r>
              <w:t xml:space="preserve"> </w:t>
            </w:r>
            <w:fldSimple w:instr="NOTEREF _Ref_Footnote_43 \h \f">
              <w:r>
                <w:rPr>
                  <w:vertAlign w:val="superscript"/>
                </w:rPr>
                <w:t>43</w:t>
              </w:r>
            </w:fldSimple>
          </w:p>
        </w:tc>
        <w:tc>
          <w:tcPr/>
          <w:p>
            <w:pPr>
              <w:pStyle w:val="Compact"/>
              <w:jc w:val="left"/>
            </w:pPr>
            <w:r>
              <w:t xml:space="preserve">Python</w:t>
            </w:r>
          </w:p>
        </w:tc>
        <w:tc>
          <w:tcPr/>
          <w:p>
            <w:pPr>
              <w:pStyle w:val="Compact"/>
              <w:jc w:val="left"/>
            </w:pPr>
            <w:r>
              <w:t xml:space="preserve">164</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极高</w:t>
            </w:r>
          </w:p>
        </w:tc>
        <w:tc>
          <w:tcPr/>
          <w:p>
            <w:pPr>
              <w:pStyle w:val="Compact"/>
              <w:jc w:val="left"/>
            </w:pPr>
            <w:r>
              <w:t xml:space="preserve">开创性函数级代码评估</w:t>
            </w:r>
          </w:p>
        </w:tc>
      </w:tr>
      <w:tr>
        <w:tc>
          <w:tcPr/>
          <w:p>
            <w:pPr>
              <w:pStyle w:val="Compact"/>
              <w:jc w:val="left"/>
            </w:pPr>
            <w:r>
              <w:t xml:space="preserve">HumanEval+</w:t>
            </w:r>
            <w:r>
              <w:t xml:space="preserve"> </w:t>
            </w:r>
            <w:fldSimple w:instr="NOTEREF _Ref_Footnote_44 \h \f">
              <w:r>
                <w:rPr>
                  <w:vertAlign w:val="superscript"/>
                </w:rPr>
                <w:t>44</w:t>
              </w:r>
            </w:fldSimple>
          </w:p>
        </w:tc>
        <w:tc>
          <w:tcPr/>
          <w:p>
            <w:pPr>
              <w:pStyle w:val="Compact"/>
              <w:jc w:val="left"/>
            </w:pPr>
            <w:r>
              <w:t xml:space="preserve">Python</w:t>
            </w:r>
          </w:p>
        </w:tc>
        <w:tc>
          <w:tcPr/>
          <w:p>
            <w:pPr>
              <w:pStyle w:val="Compact"/>
              <w:jc w:val="left"/>
            </w:pPr>
            <w:r>
              <w:t xml:space="preserve">164增强</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高（增强测试套件缓解）</w:t>
            </w:r>
          </w:p>
        </w:tc>
        <w:tc>
          <w:tcPr/>
          <w:p>
            <w:pPr>
              <w:pStyle w:val="Compact"/>
              <w:jc w:val="left"/>
            </w:pPr>
            <w:r>
              <w:t xml:space="preserve">80x+测试用例覆盖</w:t>
            </w:r>
          </w:p>
        </w:tc>
      </w:tr>
      <w:tr>
        <w:tc>
          <w:tcPr/>
          <w:p>
            <w:pPr>
              <w:pStyle w:val="Compact"/>
              <w:jc w:val="left"/>
            </w:pPr>
            <w:r>
              <w:t xml:space="preserve">MBPP</w:t>
            </w:r>
            <w:r>
              <w:t xml:space="preserve"> </w:t>
            </w:r>
            <w:fldSimple w:instr="NOTEREF _Ref_Footnote_43 \h \f">
              <w:r>
                <w:rPr>
                  <w:vertAlign w:val="superscript"/>
                </w:rPr>
                <w:t>43</w:t>
              </w:r>
            </w:fldSimple>
          </w:p>
        </w:tc>
        <w:tc>
          <w:tcPr/>
          <w:p>
            <w:pPr>
              <w:pStyle w:val="Compact"/>
              <w:jc w:val="left"/>
            </w:pPr>
            <w:r>
              <w:t xml:space="preserve">Python</w:t>
            </w:r>
          </w:p>
        </w:tc>
        <w:tc>
          <w:tcPr/>
          <w:p>
            <w:pPr>
              <w:pStyle w:val="Compact"/>
              <w:jc w:val="left"/>
            </w:pPr>
            <w:r>
              <w:t xml:space="preserve">974 (sanitized 427)</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极高</w:t>
            </w:r>
          </w:p>
        </w:tc>
        <w:tc>
          <w:tcPr/>
          <w:p>
            <w:pPr>
              <w:pStyle w:val="Compact"/>
              <w:jc w:val="left"/>
            </w:pPr>
            <w:r>
              <w:t xml:space="preserve">入门级编程</w:t>
            </w:r>
          </w:p>
        </w:tc>
      </w:tr>
      <w:tr>
        <w:tc>
          <w:tcPr/>
          <w:p>
            <w:pPr>
              <w:pStyle w:val="Compact"/>
              <w:jc w:val="left"/>
            </w:pPr>
            <w:r>
              <w:t xml:space="preserve">LiveCodeBench v5</w:t>
            </w:r>
            <w:r>
              <w:t xml:space="preserve"> </w:t>
            </w:r>
            <w:fldSimple w:instr="NOTEREF _Ref_Footnote_66 \h \f">
              <w:r>
                <w:rPr>
                  <w:vertAlign w:val="superscript"/>
                </w:rPr>
                <w:t>66</w:t>
              </w:r>
            </w:fldSimple>
          </w:p>
        </w:tc>
        <w:tc>
          <w:tcPr/>
          <w:p>
            <w:pPr>
              <w:pStyle w:val="Compact"/>
              <w:jc w:val="left"/>
            </w:pPr>
            <w:r>
              <w:t xml:space="preserve">Python (多平台)</w:t>
            </w:r>
          </w:p>
        </w:tc>
        <w:tc>
          <w:tcPr/>
          <w:p>
            <w:pPr>
              <w:pStyle w:val="Compact"/>
              <w:jc w:val="left"/>
            </w:pPr>
            <w:r>
              <w:t xml:space="preserve">~374-511</w:t>
            </w:r>
          </w:p>
        </w:tc>
        <w:tc>
          <w:tcPr/>
          <w:p>
            <w:pPr>
              <w:pStyle w:val="Compact"/>
              <w:jc w:val="left"/>
            </w:pPr>
            <w:r>
              <w:t xml:space="preserve">Pass@1, avg@8</w:t>
            </w:r>
          </w:p>
        </w:tc>
        <w:tc>
          <w:tcPr/>
          <w:p>
            <w:pPr>
              <w:pStyle w:val="Compact"/>
              <w:jc w:val="left"/>
            </w:pPr>
            <w:r>
              <w:t xml:space="preserve">时序分区（2024.8-2025.2）</w:t>
            </w:r>
          </w:p>
        </w:tc>
        <w:tc>
          <w:tcPr/>
          <w:p>
            <w:pPr>
              <w:pStyle w:val="Compact"/>
              <w:jc w:val="left"/>
            </w:pPr>
            <w:r>
              <w:t xml:space="preserve">低</w:t>
            </w:r>
          </w:p>
        </w:tc>
        <w:tc>
          <w:tcPr/>
          <w:p>
            <w:pPr>
              <w:pStyle w:val="Compact"/>
              <w:jc w:val="left"/>
            </w:pPr>
            <w:r>
              <w:t xml:space="preserve">动态防污染，事实标准</w:t>
            </w:r>
          </w:p>
        </w:tc>
      </w:tr>
      <w:tr>
        <w:tc>
          <w:tcPr/>
          <w:p>
            <w:pPr>
              <w:pStyle w:val="Compact"/>
              <w:jc w:val="left"/>
            </w:pPr>
            <w:r>
              <w:t xml:space="preserve">LiveCodeBench v6</w:t>
            </w:r>
            <w:r>
              <w:t xml:space="preserve"> </w:t>
            </w:r>
            <w:fldSimple w:instr="NOTEREF _Ref_Footnote_67 \h \f">
              <w:r>
                <w:rPr>
                  <w:vertAlign w:val="superscript"/>
                </w:rPr>
                <w:t>67</w:t>
              </w:r>
            </w:fldSimple>
          </w:p>
        </w:tc>
        <w:tc>
          <w:tcPr/>
          <w:p>
            <w:pPr>
              <w:pStyle w:val="Compact"/>
              <w:jc w:val="left"/>
            </w:pPr>
            <w:r>
              <w:t xml:space="preserve">Python (多平台)</w:t>
            </w:r>
          </w:p>
        </w:tc>
        <w:tc>
          <w:tcPr/>
          <w:p>
            <w:pPr>
              <w:pStyle w:val="Compact"/>
              <w:jc w:val="left"/>
            </w:pPr>
            <w:r>
              <w:t xml:space="preserve">~131-454</w:t>
            </w:r>
          </w:p>
        </w:tc>
        <w:tc>
          <w:tcPr/>
          <w:p>
            <w:pPr>
              <w:pStyle w:val="Compact"/>
              <w:jc w:val="left"/>
            </w:pPr>
            <w:r>
              <w:t xml:space="preserve">Pass@1, avg@8</w:t>
            </w:r>
          </w:p>
        </w:tc>
        <w:tc>
          <w:tcPr/>
          <w:p>
            <w:pPr>
              <w:pStyle w:val="Compact"/>
              <w:jc w:val="left"/>
            </w:pPr>
            <w:r>
              <w:t xml:space="preserve">时序分区（2025.2-2025.5）</w:t>
            </w:r>
          </w:p>
        </w:tc>
        <w:tc>
          <w:tcPr/>
          <w:p>
            <w:pPr>
              <w:pStyle w:val="Compact"/>
              <w:jc w:val="left"/>
            </w:pPr>
            <w:r>
              <w:t xml:space="preserve">低</w:t>
            </w:r>
          </w:p>
        </w:tc>
        <w:tc>
          <w:tcPr/>
          <w:p>
            <w:pPr>
              <w:pStyle w:val="Compact"/>
              <w:jc w:val="left"/>
            </w:pPr>
            <w:r>
              <w:t xml:space="preserve">最新版本</w:t>
            </w:r>
          </w:p>
        </w:tc>
      </w:tr>
      <w:tr>
        <w:tc>
          <w:tcPr/>
          <w:p>
            <w:pPr>
              <w:pStyle w:val="Compact"/>
              <w:jc w:val="left"/>
            </w:pPr>
            <w:r>
              <w:t xml:space="preserve">SWE-Bench Verified</w:t>
            </w:r>
            <w:r>
              <w:t xml:space="preserve"> </w:t>
            </w:r>
            <w:fldSimple w:instr="NOTEREF _Ref_Footnote_43 \h \f">
              <w:r>
                <w:rPr>
                  <w:vertAlign w:val="superscript"/>
                </w:rPr>
                <w:t>43</w:t>
              </w:r>
            </w:fldSimple>
          </w:p>
        </w:tc>
        <w:tc>
          <w:tcPr/>
          <w:p>
            <w:pPr>
              <w:pStyle w:val="Compact"/>
              <w:jc w:val="left"/>
            </w:pPr>
            <w:r>
              <w:t xml:space="preserve">多语言</w:t>
            </w:r>
          </w:p>
        </w:tc>
        <w:tc>
          <w:tcPr/>
          <w:p>
            <w:pPr>
              <w:pStyle w:val="Compact"/>
              <w:jc w:val="left"/>
            </w:pPr>
            <w:r>
              <w:t xml:space="preserve">500</w:t>
            </w:r>
          </w:p>
        </w:tc>
        <w:tc>
          <w:tcPr/>
          <w:p>
            <w:pPr>
              <w:pStyle w:val="Compact"/>
              <w:jc w:val="left"/>
            </w:pPr>
            <w:r>
              <w:t xml:space="preserve">Pass(test)</w:t>
            </w:r>
          </w:p>
        </w:tc>
        <w:tc>
          <w:tcPr/>
          <w:p>
            <w:pPr>
              <w:pStyle w:val="Compact"/>
              <w:jc w:val="left"/>
            </w:pPr>
            <w:r>
              <w:t xml:space="preserve">静态（人工验证）</w:t>
            </w:r>
          </w:p>
        </w:tc>
        <w:tc>
          <w:tcPr/>
          <w:p>
            <w:pPr>
              <w:pStyle w:val="Compact"/>
              <w:jc w:val="left"/>
            </w:pPr>
            <w:r>
              <w:t xml:space="preserve">中</w:t>
            </w:r>
          </w:p>
        </w:tc>
        <w:tc>
          <w:tcPr/>
          <w:p>
            <w:pPr>
              <w:pStyle w:val="Compact"/>
              <w:jc w:val="left"/>
            </w:pPr>
            <w:r>
              <w:t xml:space="preserve">真实issue修复评估</w:t>
            </w:r>
          </w:p>
        </w:tc>
      </w:tr>
      <w:tr>
        <w:tc>
          <w:tcPr/>
          <w:p>
            <w:pPr>
              <w:pStyle w:val="Compact"/>
              <w:jc w:val="left"/>
            </w:pPr>
            <w:r>
              <w:t xml:space="preserve">SWE-Bench Pro</w:t>
            </w:r>
            <w:r>
              <w:t xml:space="preserve"> </w:t>
            </w:r>
            <w:fldSimple w:instr="NOTEREF _Ref_Footnote_75 \h \f">
              <w:r>
                <w:rPr>
                  <w:vertAlign w:val="superscript"/>
                </w:rPr>
                <w:t>75</w:t>
              </w:r>
            </w:fldSimple>
          </w:p>
        </w:tc>
        <w:tc>
          <w:tcPr/>
          <w:p>
            <w:pPr>
              <w:pStyle w:val="Compact"/>
              <w:jc w:val="left"/>
            </w:pPr>
            <w:r>
              <w:t xml:space="preserve">多语言</w:t>
            </w:r>
          </w:p>
        </w:tc>
        <w:tc>
          <w:tcPr/>
          <w:p>
            <w:pPr>
              <w:pStyle w:val="Compact"/>
              <w:jc w:val="left"/>
            </w:pPr>
            <w:r>
              <w:t xml:space="preserve">扩展</w:t>
            </w:r>
          </w:p>
        </w:tc>
        <w:tc>
          <w:tcPr/>
          <w:p>
            <w:pPr>
              <w:pStyle w:val="Compact"/>
              <w:jc w:val="left"/>
            </w:pPr>
            <w:r>
              <w:t xml:space="preserve">Pass(test)</w:t>
            </w:r>
          </w:p>
        </w:tc>
        <w:tc>
          <w:tcPr/>
          <w:p>
            <w:pPr>
              <w:pStyle w:val="Compact"/>
              <w:jc w:val="left"/>
            </w:pPr>
            <w:r>
              <w:t xml:space="preserve">静态</w:t>
            </w:r>
          </w:p>
        </w:tc>
        <w:tc>
          <w:tcPr/>
          <w:p>
            <w:pPr>
              <w:pStyle w:val="Compact"/>
              <w:jc w:val="left"/>
            </w:pPr>
            <w:r>
              <w:t xml:space="preserve">中</w:t>
            </w:r>
          </w:p>
        </w:tc>
        <w:tc>
          <w:tcPr/>
          <w:p>
            <w:pPr>
              <w:pStyle w:val="Compact"/>
              <w:jc w:val="left"/>
            </w:pPr>
            <w:r>
              <w:t xml:space="preserve">长程工程，107行/4文件均改</w:t>
            </w:r>
          </w:p>
        </w:tc>
      </w:tr>
      <w:tr>
        <w:tc>
          <w:tcPr/>
          <w:p>
            <w:pPr>
              <w:pStyle w:val="Compact"/>
              <w:jc w:val="left"/>
            </w:pPr>
            <w:r>
              <w:t xml:space="preserve">SWE-Bench Live</w:t>
            </w:r>
            <w:r>
              <w:t xml:space="preserve"> </w:t>
            </w:r>
            <w:fldSimple w:instr="NOTEREF _Ref_Footnote_43 \h \f">
              <w:r>
                <w:rPr>
                  <w:vertAlign w:val="superscript"/>
                </w:rPr>
                <w:t>43</w:t>
              </w:r>
            </w:fldSimple>
          </w:p>
        </w:tc>
        <w:tc>
          <w:tcPr/>
          <w:p>
            <w:pPr>
              <w:pStyle w:val="Compact"/>
              <w:jc w:val="left"/>
            </w:pPr>
            <w:r>
              <w:t xml:space="preserve">多语言</w:t>
            </w:r>
          </w:p>
        </w:tc>
        <w:tc>
          <w:tcPr/>
          <w:p>
            <w:pPr>
              <w:pStyle w:val="Compact"/>
              <w:jc w:val="left"/>
            </w:pPr>
            <w:r>
              <w:t xml:space="preserve">动态</w:t>
            </w:r>
          </w:p>
        </w:tc>
        <w:tc>
          <w:tcPr/>
          <w:p>
            <w:pPr>
              <w:pStyle w:val="Compact"/>
              <w:jc w:val="left"/>
            </w:pPr>
            <w:r>
              <w:t xml:space="preserve">Pass(test)</w:t>
            </w:r>
          </w:p>
        </w:tc>
        <w:tc>
          <w:tcPr/>
          <w:p>
            <w:pPr>
              <w:pStyle w:val="Compact"/>
              <w:jc w:val="left"/>
            </w:pPr>
            <w:r>
              <w:t xml:space="preserve">持续更新（GitHub）</w:t>
            </w:r>
          </w:p>
        </w:tc>
        <w:tc>
          <w:tcPr/>
          <w:p>
            <w:pPr>
              <w:pStyle w:val="Compact"/>
              <w:jc w:val="left"/>
            </w:pPr>
            <w:r>
              <w:t xml:space="preserve">低</w:t>
            </w:r>
          </w:p>
        </w:tc>
        <w:tc>
          <w:tcPr/>
          <w:p>
            <w:pPr>
              <w:pStyle w:val="Compact"/>
              <w:jc w:val="left"/>
            </w:pPr>
            <w:r>
              <w:t xml:space="preserve">动态收集新patch</w:t>
            </w:r>
          </w:p>
        </w:tc>
      </w:tr>
      <w:tr>
        <w:tc>
          <w:tcPr/>
          <w:p>
            <w:pPr>
              <w:pStyle w:val="Compact"/>
              <w:jc w:val="left"/>
            </w:pPr>
            <w:r>
              <w:t xml:space="preserve">BigCodeBench</w:t>
            </w:r>
            <w:r>
              <w:t xml:space="preserve"> </w:t>
            </w:r>
            <w:fldSimple w:instr="NOTEREF _Ref_Footnote_77 \h \f">
              <w:r>
                <w:rPr>
                  <w:vertAlign w:val="superscript"/>
                </w:rPr>
                <w:t>77</w:t>
              </w:r>
            </w:fldSimple>
          </w:p>
        </w:tc>
        <w:tc>
          <w:tcPr/>
          <w:p>
            <w:pPr>
              <w:pStyle w:val="Compact"/>
              <w:jc w:val="left"/>
            </w:pPr>
            <w:r>
              <w:t xml:space="preserve">Python</w:t>
            </w:r>
          </w:p>
        </w:tc>
        <w:tc>
          <w:tcPr/>
          <w:p>
            <w:pPr>
              <w:pStyle w:val="Compact"/>
              <w:jc w:val="left"/>
            </w:pPr>
            <w:r>
              <w:t xml:space="preserve">1,140</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中</w:t>
            </w:r>
          </w:p>
        </w:tc>
        <w:tc>
          <w:tcPr/>
          <w:p>
            <w:pPr>
              <w:pStyle w:val="Compact"/>
              <w:jc w:val="left"/>
            </w:pPr>
            <w:r>
              <w:t xml:space="preserve">139个第三方库调用</w:t>
            </w:r>
          </w:p>
        </w:tc>
      </w:tr>
      <w:tr>
        <w:tc>
          <w:tcPr/>
          <w:p>
            <w:pPr>
              <w:pStyle w:val="Compact"/>
              <w:jc w:val="left"/>
            </w:pPr>
            <w:r>
              <w:t xml:space="preserve">MultiPL-E</w:t>
            </w:r>
            <w:r>
              <w:t xml:space="preserve"> </w:t>
            </w:r>
            <w:fldSimple w:instr="NOTEREF _Ref_Footnote_43 \h \f">
              <w:r>
                <w:rPr>
                  <w:vertAlign w:val="superscript"/>
                </w:rPr>
                <w:t>43</w:t>
              </w:r>
            </w:fldSimple>
          </w:p>
        </w:tc>
        <w:tc>
          <w:tcPr/>
          <w:p>
            <w:pPr>
              <w:pStyle w:val="Compact"/>
              <w:jc w:val="left"/>
            </w:pPr>
            <w:r>
              <w:t xml:space="preserve">18种语言</w:t>
            </w:r>
          </w:p>
        </w:tc>
        <w:tc>
          <w:tcPr/>
          <w:p>
            <w:pPr>
              <w:pStyle w:val="Compact"/>
              <w:jc w:val="left"/>
            </w:pPr>
            <w:r>
              <w:t xml:space="preserve">—</w:t>
            </w:r>
          </w:p>
        </w:tc>
        <w:tc>
          <w:tcPr/>
          <w:p>
            <w:pPr>
              <w:pStyle w:val="Compact"/>
              <w:jc w:val="left"/>
            </w:pPr>
            <w:r>
              <w:t xml:space="preserve">Pass@k</w:t>
            </w:r>
          </w:p>
        </w:tc>
        <w:tc>
          <w:tcPr/>
          <w:p>
            <w:pPr>
              <w:pStyle w:val="Compact"/>
              <w:jc w:val="left"/>
            </w:pPr>
            <w:r>
              <w:t xml:space="preserve">静态</w:t>
            </w:r>
          </w:p>
        </w:tc>
        <w:tc>
          <w:tcPr/>
          <w:p>
            <w:pPr>
              <w:pStyle w:val="Compact"/>
              <w:jc w:val="left"/>
            </w:pPr>
            <w:r>
              <w:t xml:space="preserve">高</w:t>
            </w:r>
          </w:p>
        </w:tc>
        <w:tc>
          <w:tcPr/>
          <w:p>
            <w:pPr>
              <w:pStyle w:val="Compact"/>
              <w:jc w:val="left"/>
            </w:pPr>
            <w:r>
              <w:t xml:space="preserve">多语言翻译评估</w:t>
            </w:r>
          </w:p>
        </w:tc>
      </w:tr>
    </w:tbl>
    <w:p>
      <w:pPr>
        <w:pStyle w:val="CaptionedFigure"/>
      </w:pPr>
      <w:r>
        <w:drawing>
          <wp:inline>
            <wp:extent cx="5334000" cy="3358626"/>
            <wp:effectExtent b="0" l="0" r="0" t="0"/>
            <wp:docPr descr="代码生成Benchmark泄露风险与实用价值对比" title="" id="104" name="Picture"/>
            <a:graphic>
              <a:graphicData uri="http://schemas.openxmlformats.org/drawingml/2006/picture">
                <pic:pic>
                  <pic:nvPicPr>
                    <pic:cNvPr descr="fig_code_benchmark_risk_utility.png" id="105" name="Picture"/>
                    <pic:cNvPicPr>
                      <a:picLocks noChangeArrowheads="1" noChangeAspect="1"/>
                    </pic:cNvPicPr>
                  </pic:nvPicPr>
                  <pic:blipFill>
                    <a:blip r:embed="rId103"/>
                    <a:stretch>
                      <a:fillRect/>
                    </a:stretch>
                  </pic:blipFill>
                  <pic:spPr bwMode="auto">
                    <a:xfrm>
                      <a:off x="0" y="0"/>
                      <a:ext cx="5334000" cy="3358626"/>
                    </a:xfrm>
                    <a:prstGeom prst="rect">
                      <a:avLst/>
                    </a:prstGeom>
                    <a:noFill/>
                    <a:ln w="9525">
                      <a:noFill/>
                      <a:headEnd/>
                      <a:tailEnd/>
                    </a:ln>
                  </pic:spPr>
                </pic:pic>
              </a:graphicData>
            </a:graphic>
          </wp:inline>
        </w:drawing>
      </w:r>
    </w:p>
    <w:p>
      <w:pPr>
        <w:pStyle w:val="ImageCaption"/>
      </w:pPr>
      <w:r>
        <w:t xml:space="preserve">代码生成Benchmark泄露风险与实用价值对比</w:t>
      </w:r>
    </w:p>
    <w:p>
      <w:pPr>
        <w:pStyle w:val="BodyText"/>
      </w:pPr>
      <w:r>
        <w:t xml:space="preserve">上表与图揭示了代码评估领域的结构性迁移趋势。HumanEval和MBPP作为经典Benchmark，虽然使用频率仍然很高，但其极高的泄露风险使其评估结果的信度受到质疑——模型在这些Benchmark上的高分可能反映的是记忆能力而非生成能力。LiveCodeBench通过时序分区机制实现了低泄露风险与高实用价值的双重优势，成为2024-2025年代码评估的首选工具。SWE-Bench系列则在任务真实性维度上处于领先地位，从Verified的人工验证到Pro的长程工程任务，再到Live的持续更新，覆盖了从可控研究评估到真实工程场景的完整光谱。研究者在实际评估中应当避免单独使用HumanEval/MBPP，而采用”LiveCodeBench（动态防污染）+ SWE-Bench Verified（真实任务）+ HumanEval+（增强测试）“的组合策略，以获得更全面和可信的评估结果。</w:t>
      </w:r>
    </w:p>
    <w:bookmarkEnd w:id="106"/>
    <w:bookmarkEnd w:id="107"/>
    <w:bookmarkStart w:id="110" w:name="通用能力与指令遵循"/>
    <w:p>
      <w:pPr>
        <w:pStyle w:val="Heading2"/>
      </w:pPr>
      <w:r>
        <w:t xml:space="preserve">5.3 通用能力与指令遵循</w:t>
      </w:r>
    </w:p>
    <w:p>
      <w:pPr>
        <w:pStyle w:val="FirstParagraph"/>
      </w:pPr>
      <w:r>
        <w:t xml:space="preserve">除数学推理和代码生成外，LLM+RL研究还需要评估模型的通用知识覆盖、符号推理能力与指令遵循质量。</w:t>
      </w:r>
    </w:p>
    <w:bookmarkStart w:id="108" w:name="mmlummlu-pro与bbhbbeh"/>
    <w:p>
      <w:pPr>
        <w:pStyle w:val="Heading3"/>
      </w:pPr>
      <w:r>
        <w:t xml:space="preserve">5.3.1 MMLU/MMLU-Pro与BBH/BBEH</w:t>
      </w:r>
    </w:p>
    <w:p>
      <w:pPr>
        <w:pStyle w:val="FirstParagraph"/>
      </w:pPr>
      <w:r>
        <w:t xml:space="preserve">MMLU（Massive Multitask Language Understanding）是2021年发布的通用知识Benchmark，覆盖57个学科，约14,079道测试题，评估设置为5-shot</w:t>
      </w:r>
      <w:r>
        <w:t xml:space="preserve"> </w:t>
      </w:r>
      <w:r>
        <w:rPr>
          <w:vertAlign w:val="superscript"/>
        </w:rPr>
        <w:footnoteReference w:id="79"/>
      </w:r>
      <w:r>
        <w:t xml:space="preserve">。MMLU长期作为通用模型能力评估的基线，但随着前沿模型在该基准上接近90%准确率，其区分度逐渐下降。MMLU-Pro</w:t>
      </w:r>
      <w:r>
        <w:t xml:space="preserve"> </w:t>
      </w:r>
      <w:r>
        <w:rPr>
          <w:vertAlign w:val="superscript"/>
        </w:rPr>
        <w:footnoteReference w:id="80"/>
      </w:r>
      <w:r>
        <w:t xml:space="preserve"> </w:t>
      </w:r>
      <w:fldSimple w:instr="NOTEREF _Ref_Footnote_57 \h \f">
        <w:r>
          <w:rPr>
            <w:vertAlign w:val="superscript"/>
          </w:rPr>
          <w:t>57</w:t>
        </w:r>
      </w:fldSimple>
      <w:r>
        <w:t xml:space="preserve">于2024年发布作为升级替代，将选项从4个增加到10个，移除简单和噪声问题，加入更多大学级别挑战性题目。GPT-4在MMLU-Pro上仅达72.6%准确率，相比MMLU显著下降，表明难度和区分度得到有效提升</w:t>
      </w:r>
      <w:r>
        <w:t xml:space="preserve"> </w:t>
      </w:r>
      <w:fldSimple w:instr="NOTEREF _Ref_Footnote_80 \h \f">
        <w:r>
          <w:rPr>
            <w:vertAlign w:val="superscript"/>
          </w:rPr>
          <w:t>80</w:t>
        </w:r>
      </w:fldSimple>
      <w:r>
        <w:t xml:space="preserve">。Nemotron-Cascade使用thinking模式、单generation评估MMLU-Pro</w:t>
      </w:r>
      <w:r>
        <w:t xml:space="preserve"> </w:t>
      </w:r>
      <w:fldSimple w:instr="NOTEREF _Ref_Footnote_57 \h \f">
        <w:r>
          <w:rPr>
            <w:vertAlign w:val="superscript"/>
          </w:rPr>
          <w:t>57</w:t>
        </w:r>
      </w:fldSimple>
      <w:r>
        <w:t xml:space="preserve">。</w:t>
      </w:r>
    </w:p>
    <w:p>
      <w:pPr>
        <w:pStyle w:val="BodyText"/>
      </w:pPr>
      <w:r>
        <w:t xml:space="preserve">BBH（BIG-Bench Hard）从BIG-Bench中筛选出23个最具挑战性的任务，覆盖算法推理、常识推理和多步推理</w:t>
      </w:r>
      <w:r>
        <w:t xml:space="preserve"> </w:t>
      </w:r>
      <w:r>
        <w:rPr>
          <w:vertAlign w:val="superscript"/>
        </w:rPr>
        <w:footnoteReference w:id="81"/>
      </w:r>
      <w:r>
        <w:t xml:space="preserve"> </w:t>
      </w:r>
      <w:r>
        <w:rPr>
          <w:vertAlign w:val="superscript"/>
        </w:rPr>
        <w:footnoteReference w:id="82"/>
      </w:r>
      <w:r>
        <w:t xml:space="preserve">。随着前沿模型在BBH上接近满分，其区分度也在下降。BBEH（BIG-Bench Extra Hard）是Google DeepMind于2025年发布的加难版本，将每个BBH任务替换为探测相似推理能力但难度显著增加的新任务</w:t>
      </w:r>
      <w:r>
        <w:t xml:space="preserve"> </w:t>
      </w:r>
      <w:r>
        <w:rPr>
          <w:vertAlign w:val="superscript"/>
        </w:rPr>
        <w:footnoteReference w:id="83"/>
      </w:r>
      <w:r>
        <w:t xml:space="preserve">。最佳通用模型在BBEH上平均准确率仅9.8%，最佳推理专用模型44.8%</w:t>
      </w:r>
      <w:r>
        <w:t xml:space="preserve"> </w:t>
      </w:r>
      <w:fldSimple w:instr="NOTEREF _Ref_Footnote_83 \h \f">
        <w:r>
          <w:rPr>
            <w:vertAlign w:val="superscript"/>
          </w:rPr>
          <w:t>83</w:t>
        </w:r>
      </w:fldSimple>
      <w:r>
        <w:t xml:space="preserve">，重新建立了有效的区分梯度。ARC（AI2 Reasoning Challenge）Challenge Set包含2,590题科学问答题目</w:t>
      </w:r>
      <w:r>
        <w:t xml:space="preserve"> </w:t>
      </w:r>
      <w:fldSimple w:instr="NOTEREF _Ref_Footnote_43 \h \f">
        <w:r>
          <w:rPr>
            <w:vertAlign w:val="superscript"/>
          </w:rPr>
          <w:t>43</w:t>
        </w:r>
      </w:fldSimple>
      <w:r>
        <w:t xml:space="preserve">，作为通用基线评估使用。</w:t>
      </w:r>
    </w:p>
    <w:bookmarkEnd w:id="108"/>
    <w:bookmarkStart w:id="109" w:name="ifevalalpacaeval-2.0指令遵循与对齐评估"/>
    <w:p>
      <w:pPr>
        <w:pStyle w:val="Heading3"/>
      </w:pPr>
      <w:r>
        <w:t xml:space="preserve">5.3.2 IFEval/AlpacaEval 2.0：指令遵循与对齐评估</w:t>
      </w:r>
    </w:p>
    <w:p>
      <w:pPr>
        <w:pStyle w:val="FirstParagraph"/>
      </w:pPr>
      <w:r>
        <w:t xml:space="preserve">IFEval（Instruction Following Evaluation）评估模型遵循可验证指令的能力，包含约541个prompts，覆盖25种约束类型（如输出长度限制、格式要求、关键词使用等）</w:t>
      </w:r>
      <w:r>
        <w:rPr>
          <w:vertAlign w:val="superscript"/>
        </w:rPr>
        <w:footnoteReference w:id="84"/>
      </w:r>
      <w:r>
        <w:t xml:space="preserve"> </w:t>
      </w:r>
      <w:r>
        <w:rPr>
          <w:vertAlign w:val="superscript"/>
        </w:rPr>
        <w:footnoteReference w:id="85"/>
      </w:r>
      <w:r>
        <w:t xml:space="preserve">。其核心优势在于使用预定义的Python脚本进行客观评估，完全避免LLM-as-a-Judge的主观偏差。Nemotron-Cascade在IFEval评估中采用thinking和non-thinking模式中的较高分</w:t>
      </w:r>
      <w:r>
        <w:t xml:space="preserve"> </w:t>
      </w:r>
      <w:fldSimple w:instr="NOTEREF _Ref_Footnote_57 \h \f">
        <w:r>
          <w:rPr>
            <w:vertAlign w:val="superscript"/>
          </w:rPr>
          <w:t>57</w:t>
        </w:r>
      </w:fldSimple>
      <w:r>
        <w:t xml:space="preserve">，使用OpenCompass工具包进行评估</w:t>
      </w:r>
      <w:r>
        <w:t xml:space="preserve"> </w:t>
      </w:r>
      <w:r>
        <w:rPr>
          <w:vertAlign w:val="superscript"/>
        </w:rPr>
        <w:footnoteReference w:id="86"/>
      </w:r>
      <w:r>
        <w:t xml:space="preserve">。</w:t>
      </w:r>
    </w:p>
    <w:p>
      <w:pPr>
        <w:pStyle w:val="BodyText"/>
      </w:pPr>
      <w:r>
        <w:t xml:space="preserve">AlpacaEval 2.0通过LLM-as-a-Judge两两比较机制评估指令遵循质量，引入长度控制（Length-Controlled）机制减少评估器的长度偏差</w:t>
      </w:r>
      <w:r>
        <w:t xml:space="preserve"> </w:t>
      </w:r>
      <w:r>
        <w:rPr>
          <w:vertAlign w:val="superscript"/>
        </w:rPr>
        <w:footnoteReference w:id="87"/>
      </w:r>
      <w:r>
        <w:t xml:space="preserve">。其核心指标LC Win Rate反映模型输出在与基线模型对比中的胜率。MT-Bench</w:t>
      </w:r>
      <w:r>
        <w:t xml:space="preserve"> </w:t>
      </w:r>
      <w:fldSimple w:instr="NOTEREF _Ref_Footnote_43 \h \f">
        <w:r>
          <w:rPr>
            <w:vertAlign w:val="superscript"/>
          </w:rPr>
          <w:t>43</w:t>
        </w:r>
      </w:fldSimple>
      <w:r>
        <w:t xml:space="preserve"> </w:t>
      </w:r>
      <w:r>
        <w:rPr>
          <w:vertAlign w:val="superscript"/>
        </w:rPr>
        <w:footnoteReference w:id="88"/>
      </w:r>
      <w:r>
        <w:t xml:space="preserve">使用GPT-4等强大LLM作为评判者对模型输出进行1-10分评分，覆盖多轮对话能力，但存在rubric drift和judge bias问题。其他值得关注的指令遵循Benchmark包括FollowBench</w:t>
      </w:r>
      <w:r>
        <w:t xml:space="preserve"> </w:t>
      </w:r>
      <w:r>
        <w:rPr>
          <w:vertAlign w:val="superscript"/>
        </w:rPr>
        <w:footnoteReference w:id="89"/>
      </w:r>
      <w:r>
        <w:t xml:space="preserve">（820条instructions，5级难度约束跟随）、ArenaHard</w:t>
      </w:r>
      <w:r>
        <w:t xml:space="preserve"> </w:t>
      </w:r>
      <w:fldSimple w:instr="NOTEREF _Ref_Footnote_87 \h \f">
        <w:r>
          <w:rPr>
            <w:vertAlign w:val="superscript"/>
          </w:rPr>
          <w:t>87</w:t>
        </w:r>
      </w:fldSimple>
      <w:r>
        <w:t xml:space="preserve">（500题Chatbot Arena困难子集）和WildBench</w:t>
      </w:r>
      <w:r>
        <w:t xml:space="preserve"> </w:t>
      </w:r>
      <w:fldSimple w:instr="NOTEREF _Ref_Footnote_43 \h \f">
        <w:r>
          <w:rPr>
            <w:vertAlign w:val="superscript"/>
          </w:rPr>
          <w:t>43</w:t>
        </w:r>
      </w:fldSimple>
      <w:r>
        <w:t xml:space="preserve">（1,024样本真实世界对话日志）。</w:t>
      </w:r>
    </w:p>
    <w:p>
      <w:pPr>
        <w:pStyle w:val="BodyText"/>
      </w:pPr>
      <w:r>
        <w:t xml:space="preserve">在通用能力评估实践中，前沿模型通常采用MMLU/MMLU-Pro + BBH/BBEH + ARC的组合来覆盖通用知识与符号推理，配合IFEval + AlpacaEval 2.0评估指令遵循质量。这种多维组合避免了单一Benchmark饱和导致的评估失真。</w:t>
      </w:r>
    </w:p>
    <w:bookmarkEnd w:id="109"/>
    <w:bookmarkEnd w:id="110"/>
    <w:bookmarkStart w:id="114" w:name="评估方法论与框架"/>
    <w:p>
      <w:pPr>
        <w:pStyle w:val="Heading2"/>
      </w:pPr>
      <w:r>
        <w:t xml:space="preserve">5.4 评估方法论与框架</w:t>
      </w:r>
    </w:p>
    <w:p>
      <w:pPr>
        <w:pStyle w:val="FirstParagraph"/>
      </w:pPr>
      <w:r>
        <w:t xml:space="preserve">标准化评估方法论是确保Benchmark结果可比性和可复现性的基础。2024-2025年间，LLM+RL领域在采样策略、评估框架和数据污染检测三个维度上形成了日益成熟的方法论共识。</w:t>
      </w:r>
    </w:p>
    <w:bookmarkStart w:id="111" w:name="采样策略标准化"/>
    <w:p>
      <w:pPr>
        <w:pStyle w:val="Heading3"/>
      </w:pPr>
      <w:r>
        <w:t xml:space="preserve">5.4.1 采样策略标准化</w:t>
      </w:r>
    </w:p>
    <w:p>
      <w:pPr>
        <w:pStyle w:val="FirstParagraph"/>
      </w:pPr>
      <w:r>
        <w:t xml:space="preserve">评估采样策略的标准化是确保不同研究结果可比性的关键。在数学推理和代码生成评估中，temperature=0.6、top_p=0.95已成为广泛接受的标准解码配置</w:t>
      </w:r>
      <w:r>
        <w:t xml:space="preserve"> </w:t>
      </w:r>
      <w:fldSimple w:instr="NOTEREF _Ref_Footnote_59 \h \f">
        <w:r>
          <w:rPr>
            <w:vertAlign w:val="superscript"/>
          </w:rPr>
          <w:t>59</w:t>
        </w:r>
      </w:fldSimple>
      <w:r>
        <w:t xml:space="preserve"> </w:t>
      </w:r>
      <w:fldSimple w:instr="NOTEREF _Ref_Footnote_66 \h \f">
        <w:r>
          <w:rPr>
            <w:vertAlign w:val="superscript"/>
          </w:rPr>
          <w:t>66</w:t>
        </w:r>
      </w:fldSimple>
      <w:r>
        <w:t xml:space="preserve"> </w:t>
      </w:r>
      <w:fldSimple w:instr="NOTEREF _Ref_Footnote_57 \h \f">
        <w:r>
          <w:rPr>
            <w:vertAlign w:val="superscript"/>
          </w:rPr>
          <w:t>57</w:t>
        </w:r>
      </w:fldSimple>
      <w:r>
        <w:t xml:space="preserve">，部分工作增加top_k=20的限制</w:t>
      </w:r>
      <w:r>
        <w:t xml:space="preserve"> </w:t>
      </w:r>
      <w:fldSimple w:instr="NOTEREF _Ref_Footnote_74 \h \f">
        <w:r>
          <w:rPr>
            <w:vertAlign w:val="superscript"/>
          </w:rPr>
          <w:t>74</w:t>
        </w:r>
      </w:fldSimple>
      <w:r>
        <w:t xml:space="preserve">。这一设置平衡了采样多样性与结果稳定性——较低的temperature确保输出质量，较高的top_p保留合理的采样空间。</w:t>
      </w:r>
    </w:p>
    <w:p>
      <w:pPr>
        <w:pStyle w:val="BodyText"/>
      </w:pPr>
      <w:r>
        <w:t xml:space="preserve">对于小规模Benchmark（如AIME仅30题），多次采样取平均是减少评估方差的必要手段。Avg@k（k次采样平均正确率）是当前数学推理评估的首选指标</w:t>
      </w:r>
      <w:r>
        <w:t xml:space="preserve"> </w:t>
      </w:r>
      <w:fldSimple w:instr="NOTEREF _Ref_Footnote_55 \h \f">
        <w:r>
          <w:rPr>
            <w:vertAlign w:val="superscript"/>
          </w:rPr>
          <w:t>55</w:t>
        </w:r>
      </w:fldSimple>
      <w:r>
        <w:t xml:space="preserve"> </w:t>
      </w:r>
      <w:fldSimple w:instr="NOTEREF _Ref_Footnote_57 \h \f">
        <w:r>
          <w:rPr>
            <w:vertAlign w:val="superscript"/>
          </w:rPr>
          <w:t>57</w:t>
        </w:r>
      </w:fldSimple>
      <w:r>
        <w:t xml:space="preserve">，相比Pass@k更稳定。AIME系列通常采用Avg@32</w:t>
      </w:r>
      <w:r>
        <w:t xml:space="preserve"> </w:t>
      </w:r>
      <w:fldSimple w:instr="NOTEREF _Ref_Footnote_54 \h \f">
        <w:r>
          <w:rPr>
            <w:vertAlign w:val="superscript"/>
          </w:rPr>
          <w:t>54</w:t>
        </w:r>
      </w:fldSimple>
      <w:r>
        <w:t xml:space="preserve">或Avg@8</w:t>
      </w:r>
      <w:r>
        <w:t xml:space="preserve"> </w:t>
      </w:r>
      <w:fldSimple w:instr="NOTEREF _Ref_Footnote_57 \h \f">
        <w:r>
          <w:rPr>
            <w:vertAlign w:val="superscript"/>
          </w:rPr>
          <w:t>57</w:t>
        </w:r>
      </w:fldSimple>
      <w:r>
        <w:t xml:space="preserve">，GPQA-Diamond使用Avg@8或rollout=2</w:t>
      </w:r>
      <w:r>
        <w:t xml:space="preserve"> </w:t>
      </w:r>
      <w:fldSimple w:instr="NOTEREF _Ref_Footnote_62 \h \f">
        <w:r>
          <w:rPr>
            <w:vertAlign w:val="superscript"/>
          </w:rPr>
          <w:t>62</w:t>
        </w:r>
      </w:fldSimple>
      <w:r>
        <w:t xml:space="preserve">。Pass@1衡量单次生成正确率，反映模型在实际部署场景中的期望性能。Maj@k（Majority Vote</w:t>
      </w:r>
      <w:r>
        <w:t xml:space="preserve"> </w:t>
      </w:r>
      <w:r>
        <w:t xml:space="preserve">@k</w:t>
      </w:r>
      <w:r>
        <w:t xml:space="preserve">）从k个采样中进行多数投票</w:t>
      </w:r>
      <w:r>
        <w:t xml:space="preserve"> </w:t>
      </w:r>
      <w:r>
        <w:rPr>
          <w:vertAlign w:val="superscript"/>
        </w:rPr>
        <w:footnoteReference w:id="90"/>
      </w:r>
      <w:r>
        <w:t xml:space="preserve">，RM@k使用奖励模型从k个采样中选择最佳答案</w:t>
      </w:r>
      <w:r>
        <w:t xml:space="preserve"> </w:t>
      </w:r>
      <w:fldSimple w:instr="NOTEREF _Ref_Footnote_90 \h \f">
        <w:r>
          <w:rPr>
            <w:vertAlign w:val="superscript"/>
          </w:rPr>
          <w:t>90</w:t>
        </w:r>
      </w:fldSimple>
      <w:r>
        <w:t xml:space="preserve">。</w:t>
      </w:r>
    </w:p>
    <w:p>
      <w:pPr>
        <w:pStyle w:val="BodyText"/>
      </w:pPr>
      <w:r>
        <w:t xml:space="preserve">最大生成长度方面，数学推理通常设置32,768 tokens</w:t>
      </w:r>
      <w:r>
        <w:t xml:space="preserve"> </w:t>
      </w:r>
      <w:fldSimple w:instr="NOTEREF _Ref_Footnote_59 \h \f">
        <w:r>
          <w:rPr>
            <w:vertAlign w:val="superscript"/>
          </w:rPr>
          <w:t>59</w:t>
        </w:r>
      </w:fldSimple>
      <w:r>
        <w:t xml:space="preserve">，代码生成因需要更长输出设置32K-65K tokens</w:t>
      </w:r>
      <w:r>
        <w:t xml:space="preserve"> </w:t>
      </w:r>
      <w:fldSimple w:instr="NOTEREF _Ref_Footnote_72 \h \f">
        <w:r>
          <w:rPr>
            <w:vertAlign w:val="superscript"/>
          </w:rPr>
          <w:t>72</w:t>
        </w:r>
      </w:fldSimple>
      <w:r>
        <w:t xml:space="preserve">。Qwen3-8B使用temperature=0.7、top_p=0.8、top_k=20的配置</w:t>
      </w:r>
      <w:r>
        <w:t xml:space="preserve"> </w:t>
      </w:r>
      <w:fldSimple w:instr="NOTEREF _Ref_Footnote_74 \h \f">
        <w:r>
          <w:rPr>
            <w:vertAlign w:val="superscript"/>
          </w:rPr>
          <w:t>74</w:t>
        </w:r>
      </w:fldSimple>
      <w:r>
        <w:t xml:space="preserve">，与DeepSeek-R1标准设置略有不同，反映了不同模型对解码超参数的敏感度差异。</w:t>
      </w:r>
    </w:p>
    <w:bookmarkEnd w:id="111"/>
    <w:bookmarkStart w:id="112" w:name="评估框架工具链"/>
    <w:p>
      <w:pPr>
        <w:pStyle w:val="Heading3"/>
      </w:pPr>
      <w:r>
        <w:t xml:space="preserve">5.4.2 评估框架工具链</w:t>
      </w:r>
    </w:p>
    <w:p>
      <w:pPr>
        <w:pStyle w:val="FirstParagraph"/>
      </w:pPr>
      <w:r>
        <w:t xml:space="preserve">标准化的评估框架是确保Benchmark可复现执行的基础设施。当前领域形成了多个互补的评估框架。</w:t>
      </w:r>
    </w:p>
    <w:p>
      <w:pPr>
        <w:pStyle w:val="BodyText"/>
      </w:pPr>
      <w:r>
        <w:t xml:space="preserve">lm-evaluation-harness由EleutherAI开发，是最广泛使用的标准化开源LLM评估框架，支持MMLU、GSM8K、HellaSwag、WinoGrande、ARC、TruthfulQA等多种Benchmark的统一评估接口和few-shot评估配置</w:t>
      </w:r>
      <w:r>
        <w:t xml:space="preserve"> </w:t>
      </w:r>
      <w:r>
        <w:rPr>
          <w:vertAlign w:val="superscript"/>
        </w:rPr>
        <w:footnoteReference w:id="91"/>
      </w:r>
      <w:r>
        <w:t xml:space="preserve"> </w:t>
      </w:r>
      <w:r>
        <w:rPr>
          <w:vertAlign w:val="superscript"/>
        </w:rPr>
        <w:footnoteReference w:id="92"/>
      </w:r>
      <w:r>
        <w:t xml:space="preserve">，被Open LLM Leaderboard等平台采用。OpenCompass由上海AI Lab开发，支持多种模型和Benchmark的并行评估</w:t>
      </w:r>
      <w:r>
        <w:t xml:space="preserve"> </w:t>
      </w:r>
      <w:fldSimple w:instr="NOTEREF _Ref_Footnote_86 \h \f">
        <w:r>
          <w:rPr>
            <w:vertAlign w:val="superscript"/>
          </w:rPr>
          <w:t>86</w:t>
        </w:r>
      </w:fldSimple>
      <w:r>
        <w:t xml:space="preserve">，被Nemotron-Cascade用于GPQA-Diamond和AIME评估</w:t>
      </w:r>
      <w:r>
        <w:t xml:space="preserve"> </w:t>
      </w:r>
      <w:fldSimple w:instr="NOTEREF _Ref_Footnote_62 \h \f">
        <w:r>
          <w:rPr>
            <w:vertAlign w:val="superscript"/>
          </w:rPr>
          <w:t>62</w:t>
        </w:r>
      </w:fldSimple>
      <w:r>
        <w:t xml:space="preserve">。Inspect由英国AI安全研究所（UK AISI）开发，支持动态prompt工程、数据集过滤和多种评分指标（exact match、choice-based）</w:t>
      </w:r>
      <w:r>
        <w:rPr>
          <w:vertAlign w:val="superscript"/>
        </w:rPr>
        <w:footnoteReference w:id="93"/>
      </w:r>
      <w:r>
        <w:t xml:space="preserve"> </w:t>
      </w:r>
      <w:r>
        <w:rPr>
          <w:vertAlign w:val="superscript"/>
        </w:rPr>
        <w:footnoteReference w:id="94"/>
      </w:r>
      <w:r>
        <w:t xml:space="preserve">，广泛用于安全评估和能力评估。Math-Verify是专门的数学答案验证框架，支持从模型输出中提取</w:t>
      </w:r>
      <w:r>
        <w:rPr>
          <w:rStyle w:val="VerbatimChar"/>
        </w:rPr>
        <w:t xml:space="preserve">\boxed{}</w:t>
      </w:r>
      <w:r>
        <w:t xml:space="preserve">中的答案并进行精确的数值和符号匹配</w:t>
      </w:r>
      <w:r>
        <w:t xml:space="preserve"> </w:t>
      </w:r>
      <w:r>
        <w:rPr>
          <w:vertAlign w:val="superscript"/>
        </w:rPr>
        <w:footnoteReference w:id="95"/>
      </w:r>
      <w:r>
        <w:t xml:space="preserve">，被FlashThink等工作采用。simple-evals由OpenAI开发，支持0-shot和3-shot设置</w:t>
      </w:r>
      <w:r>
        <w:t xml:space="preserve"> </w:t>
      </w:r>
      <w:fldSimple w:instr="NOTEREF _Ref_Footnote_95 \h \f">
        <w:r>
          <w:rPr>
            <w:vertAlign w:val="superscript"/>
          </w:rPr>
          <w:t>95</w:t>
        </w:r>
      </w:fldSimple>
      <w:r>
        <w:t xml:space="preserve">。lighteval由HuggingFace开发，定位为轻量评估框架</w:t>
      </w:r>
      <w:r>
        <w:t xml:space="preserve"> </w:t>
      </w:r>
      <w:fldSimple w:instr="NOTEREF _Ref_Footnote_60 \h \f">
        <w:r>
          <w:rPr>
            <w:vertAlign w:val="superscript"/>
          </w:rPr>
          <w:t>60</w:t>
        </w:r>
      </w:fldSimple>
      <w:r>
        <w:t xml:space="preserve">。verl是结合RL训练与评估的综合框架</w:t>
      </w:r>
      <w:r>
        <w:t xml:space="preserve"> </w:t>
      </w:r>
      <w:r>
        <w:rPr>
          <w:vertAlign w:val="superscript"/>
        </w:rPr>
        <w:footnoteReference w:id="96"/>
      </w:r>
      <w:r>
        <w:t xml:space="preserve">。</w:t>
      </w:r>
    </w:p>
    <w:p>
      <w:pPr>
        <w:pStyle w:val="BodyText"/>
      </w:pPr>
      <w:r>
        <w:rPr>
          <w:bCs/>
          <w:b/>
        </w:rPr>
        <w:t xml:space="preserve">表3：评估框架工具链对比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框架</w:t>
            </w:r>
          </w:p>
        </w:tc>
        <w:tc>
          <w:tcPr/>
          <w:p>
            <w:pPr>
              <w:pStyle w:val="Compact"/>
              <w:jc w:val="left"/>
            </w:pPr>
            <w:r>
              <w:t xml:space="preserve">开发机构</w:t>
            </w:r>
          </w:p>
        </w:tc>
        <w:tc>
          <w:tcPr/>
          <w:p>
            <w:pPr>
              <w:pStyle w:val="Compact"/>
              <w:jc w:val="left"/>
            </w:pPr>
            <w:r>
              <w:t xml:space="preserve">支持算法/模型</w:t>
            </w:r>
          </w:p>
        </w:tc>
        <w:tc>
          <w:tcPr/>
          <w:p>
            <w:pPr>
              <w:pStyle w:val="Compact"/>
              <w:jc w:val="left"/>
            </w:pPr>
            <w:r>
              <w:t xml:space="preserve">支持Benchmark数量</w:t>
            </w:r>
          </w:p>
        </w:tc>
        <w:tc>
          <w:tcPr/>
          <w:p>
            <w:pPr>
              <w:pStyle w:val="Compact"/>
              <w:jc w:val="left"/>
            </w:pPr>
            <w:r>
              <w:t xml:space="preserve">主要特点</w:t>
            </w:r>
          </w:p>
        </w:tc>
      </w:tr>
      <w:tr>
        <w:tc>
          <w:tcPr/>
          <w:p>
            <w:pPr>
              <w:pStyle w:val="Compact"/>
              <w:jc w:val="left"/>
            </w:pPr>
            <w:r>
              <w:t xml:space="preserve">lm-evaluation-harness</w:t>
            </w:r>
            <w:r>
              <w:t xml:space="preserve"> </w:t>
            </w:r>
            <w:fldSimple w:instr="NOTEREF _Ref_Footnote_91 \h \f">
              <w:r>
                <w:rPr>
                  <w:vertAlign w:val="superscript"/>
                </w:rPr>
                <w:t>91</w:t>
              </w:r>
            </w:fldSimple>
          </w:p>
        </w:tc>
        <w:tc>
          <w:tcPr/>
          <w:p>
            <w:pPr>
              <w:pStyle w:val="Compact"/>
              <w:jc w:val="left"/>
            </w:pPr>
            <w:r>
              <w:t xml:space="preserve">EleutherAI</w:t>
            </w:r>
          </w:p>
        </w:tc>
        <w:tc>
          <w:tcPr/>
          <w:p>
            <w:pPr>
              <w:pStyle w:val="Compact"/>
              <w:jc w:val="left"/>
            </w:pPr>
            <w:r>
              <w:t xml:space="preserve">通用LLM</w:t>
            </w:r>
          </w:p>
        </w:tc>
        <w:tc>
          <w:tcPr/>
          <w:p>
            <w:pPr>
              <w:pStyle w:val="Compact"/>
              <w:jc w:val="left"/>
            </w:pPr>
            <w:r>
              <w:t xml:space="preserve">50+（MMLU, GSM8K, ARC等）</w:t>
            </w:r>
          </w:p>
        </w:tc>
        <w:tc>
          <w:tcPr/>
          <w:p>
            <w:pPr>
              <w:pStyle w:val="Compact"/>
              <w:jc w:val="left"/>
            </w:pPr>
            <w:r>
              <w:t xml:space="preserve">最广泛使用的标准化开源评估，few-shot配置，Open LLM Leaderboard采用</w:t>
            </w:r>
          </w:p>
        </w:tc>
      </w:tr>
      <w:tr>
        <w:tc>
          <w:tcPr/>
          <w:p>
            <w:pPr>
              <w:pStyle w:val="Compact"/>
              <w:jc w:val="left"/>
            </w:pPr>
            <w:r>
              <w:t xml:space="preserve">OpenCompass</w:t>
            </w:r>
            <w:r>
              <w:t xml:space="preserve"> </w:t>
            </w:r>
            <w:fldSimple w:instr="NOTEREF _Ref_Footnote_86 \h \f">
              <w:r>
                <w:rPr>
                  <w:vertAlign w:val="superscript"/>
                </w:rPr>
                <w:t>86</w:t>
              </w:r>
            </w:fldSimple>
          </w:p>
        </w:tc>
        <w:tc>
          <w:tcPr/>
          <w:p>
            <w:pPr>
              <w:pStyle w:val="Compact"/>
              <w:jc w:val="left"/>
            </w:pPr>
            <w:r>
              <w:t xml:space="preserve">上海AI Lab</w:t>
            </w:r>
          </w:p>
        </w:tc>
        <w:tc>
          <w:tcPr/>
          <w:p>
            <w:pPr>
              <w:pStyle w:val="Compact"/>
              <w:jc w:val="left"/>
            </w:pPr>
            <w:r>
              <w:t xml:space="preserve">通用LLM</w:t>
            </w:r>
          </w:p>
        </w:tc>
        <w:tc>
          <w:tcPr/>
          <w:p>
            <w:pPr>
              <w:pStyle w:val="Compact"/>
              <w:jc w:val="left"/>
            </w:pPr>
            <w:r>
              <w:t xml:space="preserve">100+</w:t>
            </w:r>
          </w:p>
        </w:tc>
        <w:tc>
          <w:tcPr/>
          <w:p>
            <w:pPr>
              <w:pStyle w:val="Compact"/>
              <w:jc w:val="left"/>
            </w:pPr>
            <w:r>
              <w:t xml:space="preserve">多模型并行评估，被Nemotron-Cascade用于GPQA/AIME</w:t>
            </w:r>
            <w:r>
              <w:t xml:space="preserve"> </w:t>
            </w:r>
            <w:fldSimple w:instr="NOTEREF _Ref_Footnote_62 \h \f">
              <w:r>
                <w:rPr>
                  <w:vertAlign w:val="superscript"/>
                </w:rPr>
                <w:t>62</w:t>
              </w:r>
            </w:fldSimple>
          </w:p>
        </w:tc>
      </w:tr>
      <w:tr>
        <w:tc>
          <w:tcPr/>
          <w:p>
            <w:pPr>
              <w:pStyle w:val="Compact"/>
              <w:jc w:val="left"/>
            </w:pPr>
            <w:r>
              <w:t xml:space="preserve">Inspect</w:t>
            </w:r>
            <w:r>
              <w:t xml:space="preserve"> </w:t>
            </w:r>
            <w:fldSimple w:instr="NOTEREF _Ref_Footnote_93 \h \f">
              <w:r>
                <w:rPr>
                  <w:vertAlign w:val="superscript"/>
                </w:rPr>
                <w:t>93</w:t>
              </w:r>
            </w:fldSimple>
          </w:p>
        </w:tc>
        <w:tc>
          <w:tcPr/>
          <w:p>
            <w:pPr>
              <w:pStyle w:val="Compact"/>
              <w:jc w:val="left"/>
            </w:pPr>
            <w:r>
              <w:t xml:space="preserve">UK AISI</w:t>
            </w:r>
          </w:p>
        </w:tc>
        <w:tc>
          <w:tcPr/>
          <w:p>
            <w:pPr>
              <w:pStyle w:val="Compact"/>
              <w:jc w:val="left"/>
            </w:pPr>
            <w:r>
              <w:t xml:space="preserve">通用LLM</w:t>
            </w:r>
          </w:p>
        </w:tc>
        <w:tc>
          <w:tcPr/>
          <w:p>
            <w:pPr>
              <w:pStyle w:val="Compact"/>
              <w:jc w:val="left"/>
            </w:pPr>
            <w:r>
              <w:t xml:space="preserve">30+</w:t>
            </w:r>
          </w:p>
        </w:tc>
        <w:tc>
          <w:tcPr/>
          <w:p>
            <w:pPr>
              <w:pStyle w:val="Compact"/>
              <w:jc w:val="left"/>
            </w:pPr>
            <w:r>
              <w:t xml:space="preserve">动态prompt工程，安全评估专用，exact match + choice-based评分</w:t>
            </w:r>
          </w:p>
        </w:tc>
      </w:tr>
      <w:tr>
        <w:tc>
          <w:tcPr/>
          <w:p>
            <w:pPr>
              <w:pStyle w:val="Compact"/>
              <w:jc w:val="left"/>
            </w:pPr>
            <w:r>
              <w:t xml:space="preserve">Math-Verify</w:t>
            </w:r>
            <w:r>
              <w:t xml:space="preserve"> </w:t>
            </w:r>
            <w:fldSimple w:instr="NOTEREF _Ref_Footnote_95 \h \f">
              <w:r>
                <w:rPr>
                  <w:vertAlign w:val="superscript"/>
                </w:rPr>
                <w:t>95</w:t>
              </w:r>
            </w:fldSimple>
          </w:p>
        </w:tc>
        <w:tc>
          <w:tcPr/>
          <w:p>
            <w:pPr>
              <w:pStyle w:val="Compact"/>
              <w:jc w:val="left"/>
            </w:pPr>
            <w:r>
              <w:t xml:space="preserve">独立</w:t>
            </w:r>
          </w:p>
        </w:tc>
        <w:tc>
          <w:tcPr/>
          <w:p>
            <w:pPr>
              <w:pStyle w:val="Compact"/>
              <w:jc w:val="left"/>
            </w:pPr>
            <w:r>
              <w:t xml:space="preserve">数学推理模型</w:t>
            </w:r>
          </w:p>
        </w:tc>
        <w:tc>
          <w:tcPr/>
          <w:p>
            <w:pPr>
              <w:pStyle w:val="Compact"/>
              <w:jc w:val="left"/>
            </w:pPr>
            <w:r>
              <w:t xml:space="preserve">数学专用</w:t>
            </w:r>
          </w:p>
        </w:tc>
        <w:tc>
          <w:tcPr/>
          <w:p>
            <w:pPr>
              <w:pStyle w:val="Compact"/>
              <w:jc w:val="left"/>
            </w:pPr>
            <w:r>
              <w:t xml:space="preserve">数学答案验证，</w:t>
            </w:r>
            <w:r>
              <w:rPr>
                <w:rStyle w:val="VerbatimChar"/>
              </w:rPr>
              <w:t xml:space="preserve">\boxed{}</w:t>
            </w:r>
            <w:r>
              <w:t xml:space="preserve">提取，精确数值/符号匹配</w:t>
            </w:r>
          </w:p>
        </w:tc>
      </w:tr>
      <w:tr>
        <w:tc>
          <w:tcPr/>
          <w:p>
            <w:pPr>
              <w:pStyle w:val="Compact"/>
              <w:jc w:val="left"/>
            </w:pPr>
            <w:r>
              <w:t xml:space="preserve">simple-evals</w:t>
            </w:r>
            <w:r>
              <w:t xml:space="preserve"> </w:t>
            </w:r>
            <w:fldSimple w:instr="NOTEREF _Ref_Footnote_95 \h \f">
              <w:r>
                <w:rPr>
                  <w:vertAlign w:val="superscript"/>
                </w:rPr>
                <w:t>95</w:t>
              </w:r>
            </w:fldSimple>
          </w:p>
        </w:tc>
        <w:tc>
          <w:tcPr/>
          <w:p>
            <w:pPr>
              <w:pStyle w:val="Compact"/>
              <w:jc w:val="left"/>
            </w:pPr>
            <w:r>
              <w:t xml:space="preserve">OpenAI</w:t>
            </w:r>
          </w:p>
        </w:tc>
        <w:tc>
          <w:tcPr/>
          <w:p>
            <w:pPr>
              <w:pStyle w:val="Compact"/>
              <w:jc w:val="left"/>
            </w:pPr>
            <w:r>
              <w:t xml:space="preserve">OpenAI模型为主</w:t>
            </w:r>
          </w:p>
        </w:tc>
        <w:tc>
          <w:tcPr/>
          <w:p>
            <w:pPr>
              <w:pStyle w:val="Compact"/>
              <w:jc w:val="left"/>
            </w:pPr>
            <w:r>
              <w:t xml:space="preserve">10+</w:t>
            </w:r>
          </w:p>
        </w:tc>
        <w:tc>
          <w:tcPr/>
          <w:p>
            <w:pPr>
              <w:pStyle w:val="Compact"/>
              <w:jc w:val="left"/>
            </w:pPr>
            <w:r>
              <w:t xml:space="preserve">轻量，0-shot和3-shot，被FlashThink采用</w:t>
            </w:r>
          </w:p>
        </w:tc>
      </w:tr>
      <w:tr>
        <w:tc>
          <w:tcPr/>
          <w:p>
            <w:pPr>
              <w:pStyle w:val="Compact"/>
              <w:jc w:val="left"/>
            </w:pPr>
            <w:r>
              <w:t xml:space="preserve">lighteval</w:t>
            </w:r>
            <w:r>
              <w:t xml:space="preserve"> </w:t>
            </w:r>
            <w:fldSimple w:instr="NOTEREF _Ref_Footnote_60 \h \f">
              <w:r>
                <w:rPr>
                  <w:vertAlign w:val="superscript"/>
                </w:rPr>
                <w:t>60</w:t>
              </w:r>
            </w:fldSimple>
          </w:p>
        </w:tc>
        <w:tc>
          <w:tcPr/>
          <w:p>
            <w:pPr>
              <w:pStyle w:val="Compact"/>
              <w:jc w:val="left"/>
            </w:pPr>
            <w:r>
              <w:t xml:space="preserve">HuggingFace</w:t>
            </w:r>
          </w:p>
        </w:tc>
        <w:tc>
          <w:tcPr/>
          <w:p>
            <w:pPr>
              <w:pStyle w:val="Compact"/>
              <w:jc w:val="left"/>
            </w:pPr>
            <w:r>
              <w:t xml:space="preserve">HuggingFace模型</w:t>
            </w:r>
          </w:p>
        </w:tc>
        <w:tc>
          <w:tcPr/>
          <w:p>
            <w:pPr>
              <w:pStyle w:val="Compact"/>
              <w:jc w:val="left"/>
            </w:pPr>
            <w:r>
              <w:t xml:space="preserve">20+</w:t>
            </w:r>
          </w:p>
        </w:tc>
        <w:tc>
          <w:tcPr/>
          <w:p>
            <w:pPr>
              <w:pStyle w:val="Compact"/>
              <w:jc w:val="left"/>
            </w:pPr>
            <w:r>
              <w:t xml:space="preserve">轻量快速评估，与HF生态深度集成</w:t>
            </w:r>
          </w:p>
        </w:tc>
      </w:tr>
      <w:tr>
        <w:tc>
          <w:tcPr/>
          <w:p>
            <w:pPr>
              <w:pStyle w:val="Compact"/>
              <w:jc w:val="left"/>
            </w:pPr>
            <w:r>
              <w:t xml:space="preserve">verl</w:t>
            </w:r>
            <w:r>
              <w:t xml:space="preserve"> </w:t>
            </w:r>
            <w:fldSimple w:instr="NOTEREF _Ref_Footnote_96 \h \f">
              <w:r>
                <w:rPr>
                  <w:vertAlign w:val="superscript"/>
                </w:rPr>
                <w:t>96</w:t>
              </w:r>
            </w:fldSimple>
          </w:p>
        </w:tc>
        <w:tc>
          <w:tcPr/>
          <w:p>
            <w:pPr>
              <w:pStyle w:val="Compact"/>
              <w:jc w:val="left"/>
            </w:pPr>
            <w:r>
              <w:t xml:space="preserve">独立</w:t>
            </w:r>
          </w:p>
        </w:tc>
        <w:tc>
          <w:tcPr/>
          <w:p>
            <w:pPr>
              <w:pStyle w:val="Compact"/>
              <w:jc w:val="left"/>
            </w:pPr>
            <w:r>
              <w:t xml:space="preserve">RL训练模型</w:t>
            </w:r>
          </w:p>
        </w:tc>
        <w:tc>
          <w:tcPr/>
          <w:p>
            <w:pPr>
              <w:pStyle w:val="Compact"/>
              <w:jc w:val="left"/>
            </w:pPr>
            <w:r>
              <w:t xml:space="preserve">10+</w:t>
            </w:r>
          </w:p>
        </w:tc>
        <w:tc>
          <w:tcPr/>
          <w:p>
            <w:pPr>
              <w:pStyle w:val="Compact"/>
              <w:jc w:val="left"/>
            </w:pPr>
            <w:r>
              <w:t xml:space="preserve">RL训练与评估一体化，支持GRPO类算法评估</w:t>
            </w:r>
          </w:p>
        </w:tc>
      </w:tr>
    </w:tbl>
    <w:p>
      <w:pPr>
        <w:pStyle w:val="BodyText"/>
      </w:pPr>
      <w:r>
        <w:t xml:space="preserve">上述框架形成了互补的评估工具链。lm-evaluation-harness和OpenCompass是通用评估的主力，覆盖从基础到高级的多种Benchmark。Math-Verify填补了数学答案精确验证的空白，其</w:t>
      </w:r>
      <w:r>
        <w:rPr>
          <w:rStyle w:val="VerbatimChar"/>
        </w:rPr>
        <w:t xml:space="preserve">\boxed{}</w:t>
      </w:r>
      <w:r>
        <w:t xml:space="preserve">提取和符号匹配功能对于数学推理评估至关重要。Inspect在安全评估领域具有独特优势。研究者在实际评估中通常组合使用多个框架——例如使用OpenCompass执行GPQA-Diamond评估</w:t>
      </w:r>
      <w:r>
        <w:t xml:space="preserve"> </w:t>
      </w:r>
      <w:fldSimple w:instr="NOTEREF _Ref_Footnote_62 \h \f">
        <w:r>
          <w:rPr>
            <w:vertAlign w:val="superscript"/>
          </w:rPr>
          <w:t>62</w:t>
        </w:r>
      </w:fldSimple>
      <w:r>
        <w:t xml:space="preserve">，使用Math-Verify处理数学答案验证</w:t>
      </w:r>
      <w:r>
        <w:t xml:space="preserve"> </w:t>
      </w:r>
      <w:fldSimple w:instr="NOTEREF _Ref_Footnote_95 \h \f">
        <w:r>
          <w:rPr>
            <w:vertAlign w:val="superscript"/>
          </w:rPr>
          <w:t>95</w:t>
        </w:r>
      </w:fldSimple>
      <w:r>
        <w:t xml:space="preserve">，使用lm-evaluation-harness执行MMLU等通用Benchmark</w:t>
      </w:r>
      <w:r>
        <w:t xml:space="preserve"> </w:t>
      </w:r>
      <w:fldSimple w:instr="NOTEREF _Ref_Footnote_91 \h \f">
        <w:r>
          <w:rPr>
            <w:vertAlign w:val="superscript"/>
          </w:rPr>
          <w:t>91</w:t>
        </w:r>
      </w:fldSimple>
      <w:r>
        <w:t xml:space="preserve">。</w:t>
      </w:r>
    </w:p>
    <w:bookmarkEnd w:id="112"/>
    <w:bookmarkStart w:id="113" w:name="数据污染检测"/>
    <w:p>
      <w:pPr>
        <w:pStyle w:val="Heading3"/>
      </w:pPr>
      <w:r>
        <w:t xml:space="preserve">5.4.3 数据污染检测</w:t>
      </w:r>
    </w:p>
    <w:p>
      <w:pPr>
        <w:pStyle w:val="FirstParagraph"/>
      </w:pPr>
      <w:r>
        <w:t xml:space="preserve">数据污染是LLM+RL评估面临的根本性挑战，污染来源包括预训练语料重叠和SFT/RL阶段合成数据的意外泄露</w:t>
      </w:r>
      <w:r>
        <w:t xml:space="preserve"> </w:t>
      </w:r>
      <w:r>
        <w:rPr>
          <w:vertAlign w:val="superscript"/>
        </w:rPr>
        <w:footnoteReference w:id="97"/>
      </w:r>
      <w:r>
        <w:t xml:space="preserve"> </w:t>
      </w:r>
      <w:r>
        <w:rPr>
          <w:vertAlign w:val="superscript"/>
        </w:rPr>
        <w:footnoteReference w:id="98"/>
      </w:r>
      <w:r>
        <w:t xml:space="preserve">。主要检测方法包括三类：基于n-gram匹配的精确文本重叠检测，是最直接但容易被改写绕过的方法；基于embedding相似度的语义检测，可捕获改写和释义后的污染；变体检测方法通过生成Benchmark问题的变体版本，比较模型在原始题与变体题上的表现差异，若性能显著下降则暗示污染</w:t>
      </w:r>
      <w:r>
        <w:t xml:space="preserve"> </w:t>
      </w:r>
      <w:fldSimple w:instr="NOTEREF _Ref_Footnote_97 \h \f">
        <w:r>
          <w:rPr>
            <w:vertAlign w:val="superscript"/>
          </w:rPr>
          <w:t>97</w:t>
        </w:r>
      </w:fldSimple>
      <w:r>
        <w:t xml:space="preserve">。时序分析方法通过比较模型在训练截止前后发布的题目表现来推断污染程度</w:t>
      </w:r>
      <w:r>
        <w:t xml:space="preserve"> </w:t>
      </w:r>
      <w:fldSimple w:instr="NOTEREF _Ref_Footnote_97 \h \f">
        <w:r>
          <w:rPr>
            <w:vertAlign w:val="superscript"/>
          </w:rPr>
          <w:t>97</w:t>
        </w:r>
      </w:fldSimple>
      <w:r>
        <w:t xml:space="preserve">。</w:t>
      </w:r>
    </w:p>
    <w:p>
      <w:pPr>
        <w:pStyle w:val="BodyText"/>
      </w:pPr>
      <w:r>
        <w:t xml:space="preserve">防污染Benchmark设计策略呈现多样化趋势。时序过滤（Temporal Filtering）以LiveCodeBench</w:t>
      </w:r>
      <w:r>
        <w:t xml:space="preserve"> </w:t>
      </w:r>
      <w:fldSimple w:instr="NOTEREF _Ref_Footnote_44 \h \f">
        <w:r>
          <w:rPr>
            <w:vertAlign w:val="superscript"/>
          </w:rPr>
          <w:t>44</w:t>
        </w:r>
      </w:fldSimple>
      <w:r>
        <w:t xml:space="preserve">和LiveBench</w:t>
      </w:r>
      <w:r>
        <w:t xml:space="preserve"> </w:t>
      </w:r>
      <w:fldSimple w:instr="NOTEREF _Ref_Footnote_97 \h \f">
        <w:r>
          <w:rPr>
            <w:vertAlign w:val="superscript"/>
          </w:rPr>
          <w:t>97</w:t>
        </w:r>
      </w:fldSimple>
      <w:r>
        <w:t xml:space="preserve">为代表，仅使用模型训练截止日期之后发布的新题目。动态更新机制以SWE-Bench Live</w:t>
      </w:r>
      <w:r>
        <w:t xml:space="preserve"> </w:t>
      </w:r>
      <w:fldSimple w:instr="NOTEREF _Ref_Footnote_43 \h \f">
        <w:r>
          <w:rPr>
            <w:vertAlign w:val="superscript"/>
          </w:rPr>
          <w:t>43</w:t>
        </w:r>
      </w:fldSimple>
      <w:r>
        <w:t xml:space="preserve">和LiveMathBench</w:t>
      </w:r>
      <w:r>
        <w:t xml:space="preserve"> </w:t>
      </w:r>
      <w:fldSimple w:instr="NOTEREF _Ref_Footnote_65 \h \f">
        <w:r>
          <w:rPr>
            <w:vertAlign w:val="superscript"/>
          </w:rPr>
          <w:t>65</w:t>
        </w:r>
      </w:fldSimple>
      <w:r>
        <w:t xml:space="preserve">为代表，持续从真实来源收集新数据。隐藏测试集以FrontierMath</w:t>
      </w:r>
      <w:r>
        <w:t xml:space="preserve"> </w:t>
      </w:r>
      <w:fldSimple w:instr="NOTEREF _Ref_Footnote_63 \h \f">
        <w:r>
          <w:rPr>
            <w:vertAlign w:val="superscript"/>
          </w:rPr>
          <w:t>63</w:t>
        </w:r>
      </w:fldSimple>
      <w:r>
        <w:t xml:space="preserve">为代表，评估集不对外公开。此外，PPM和DyCodeEval等工作探索了自动生成新问题的方法论。由于大多数前沿模型不公开训练数据</w:t>
      </w:r>
      <w:r>
        <w:t xml:space="preserve"> </w:t>
      </w:r>
      <w:fldSimple w:instr="NOTEREF _Ref_Footnote_97 \h \f">
        <w:r>
          <w:rPr>
            <w:vertAlign w:val="superscript"/>
          </w:rPr>
          <w:t>97</w:t>
        </w:r>
      </w:fldSimple>
      <w:r>
        <w:t xml:space="preserve">，完全消除污染评估在实践中极为困难，因此组合使用多种防污染策略（动态更新 + 隐藏集 + 变体检测）成为当前的最佳实践。</w:t>
      </w:r>
    </w:p>
    <w:bookmarkEnd w:id="113"/>
    <w:bookmarkEnd w:id="114"/>
    <w:bookmarkStart w:id="140" w:name="训练框架系统工程与高效训练"/>
    <w:p>
      <w:pPr>
        <w:pStyle w:val="Heading2"/>
      </w:pPr>
      <w:r>
        <w:t xml:space="preserve">6. 训练框架、系统工程与高效训练</w:t>
      </w:r>
    </w:p>
    <w:p>
      <w:pPr>
        <w:pStyle w:val="FirstParagraph"/>
      </w:pPr>
      <w:r>
        <w:t xml:space="preserve">LLM+RL研究的爆发式增长不仅依赖于算法创新，更离不开底层训练框架与系统工程的支撑。从同步到异步、从单控制器到多控制器、从专用系统到统一框架，训练基础设施的演进速度毫不逊色于算法层面的突破。本章系统梳理2024-2025年主流训练框架的技术特征与性能边界，剖析推理引擎中的KV Cache优化机制，并探讨小模型高效训练与数据筛选的前沿方案。</w:t>
      </w:r>
    </w:p>
    <w:bookmarkStart w:id="121" w:name="训练框架生态"/>
    <w:p>
      <w:pPr>
        <w:pStyle w:val="Heading3"/>
      </w:pPr>
      <w:r>
        <w:t xml:space="preserve">6.1 训练框架生态</w:t>
      </w:r>
    </w:p>
    <w:bookmarkStart w:id="115" w:name="verlhybridflow混合控制器架构的工业级实践"/>
    <w:p>
      <w:pPr>
        <w:pStyle w:val="Heading4"/>
      </w:pPr>
      <w:r>
        <w:t xml:space="preserve">6.1.1 VERL（HybridFlow）：混合控制器架构的工业级实践</w:t>
      </w:r>
    </w:p>
    <w:p>
      <w:pPr>
        <w:pStyle w:val="FirstParagraph"/>
      </w:pPr>
      <w:r>
        <w:t xml:space="preserve">VERL（HybridFlow）由字节跳动与清华大学联合开发，发表于EuroSys 2025</w:t>
      </w:r>
      <w:r>
        <w:t xml:space="preserve"> </w:t>
      </w:r>
      <w:r>
        <w:rPr>
          <w:vertAlign w:val="superscript"/>
        </w:rPr>
        <w:footnoteReference w:id="99"/>
      </w:r>
      <w:r>
        <w:t xml:space="preserve">。其核心创新在于集成单控制器与多控制器两种范式，通过分层接口驱动阶段执行，并引入3D-HybridEngine实现参数重分片（re-sharding），结合自动设备映射优化资源利用率。在算法支持层面，VERL覆盖PPO、GRPO、ReMax、Reinforce++、RLOO等主流RL算法</w:t>
      </w:r>
      <w:r>
        <w:t xml:space="preserve"> </w:t>
      </w:r>
      <w:r>
        <w:rPr>
          <w:vertAlign w:val="superscript"/>
        </w:rPr>
        <w:footnoteReference w:id="100"/>
      </w:r>
      <w:r>
        <w:t xml:space="preserve">，推理后端兼容vLLM与TGI（SGLang支持即将推出），训练后端支持FSDP与Megatron-LM，已在高达70B参数模型和1{,}024 GPU集群上完成部署验证</w:t>
      </w:r>
      <w:r>
        <w:t xml:space="preserve"> </w:t>
      </w:r>
      <w:r>
        <w:rPr>
          <w:vertAlign w:val="superscript"/>
        </w:rPr>
        <w:footnoteReference w:id="101"/>
      </w:r>
      <w:r>
        <w:t xml:space="preserve">。2025年3月发布的v0.3版本相较前代提速约1.4倍</w:t>
      </w:r>
      <w:r>
        <w:t xml:space="preserve"> </w:t>
      </w:r>
      <w:r>
        <w:rPr>
          <w:vertAlign w:val="superscript"/>
        </w:rPr>
        <w:footnoteReference w:id="102"/>
      </w:r>
      <w:r>
        <w:t xml:space="preserve">，并在Doubao-1.5-pro的RL训练中达到OpenAI o1级数学推理性能。VERL的编程模型支持模型基奖励与函数基奖励（可验证奖励）两种模式，为RLVR（Reinforcement Learning with Verifiable Rewards）范式提供了灵活的工程基础。</w:t>
      </w:r>
    </w:p>
    <w:bookmarkEnd w:id="115"/>
    <w:bookmarkStart w:id="116" w:name="areal完全异步架构的效率突破"/>
    <w:p>
      <w:pPr>
        <w:pStyle w:val="Heading4"/>
      </w:pPr>
      <w:r>
        <w:t xml:space="preserve">6.1.2 AReaL：完全异步架构的效率突破</w:t>
      </w:r>
    </w:p>
    <w:p>
      <w:pPr>
        <w:pStyle w:val="FirstParagraph"/>
      </w:pPr>
      <w:r>
        <w:t xml:space="preserve">AReaL（Ant Reasoning RL）由清华大学与蚂蚁集团联合开发，其v0.3版本（boba²）通过完全解耦生成与训练过程，实现了2.77倍端到端加速</w:t>
      </w:r>
      <w:r>
        <w:t xml:space="preserve"> </w:t>
      </w:r>
      <w:r>
        <w:rPr>
          <w:vertAlign w:val="superscript"/>
        </w:rPr>
        <w:footnoteReference w:id="103"/>
      </w:r>
      <w:r>
        <w:t xml:space="preserve">。AReaL的核心技术在于引入显式staleness控制参数η，采用部分回滚（partial rollout）机制——截断正在进行的轨迹生成并以更新后的权重继续生成，同时使用KVCache指标监控rollout空闲状态</w:t>
      </w:r>
      <w:r>
        <w:t xml:space="preserve"> </w:t>
      </w:r>
      <w:r>
        <w:rPr>
          <w:vertAlign w:val="superscript"/>
        </w:rPr>
        <w:footnoteReference w:id="104"/>
      </w:r>
      <w:r>
        <w:t xml:space="preserve">。该系统基于Megatron-LM训练后端与修改版SGLang推理引擎，支持GRPO及staleness-aware PPO变体，测试覆盖1.5B至32B模型</w:t>
      </w:r>
      <w:r>
        <w:t xml:space="preserve"> </w:t>
      </w:r>
      <w:r>
        <w:rPr>
          <w:vertAlign w:val="superscript"/>
        </w:rPr>
        <w:footnoteReference w:id="105"/>
      </w:r>
      <w:r>
        <w:t xml:space="preserve">。值得关注的是，2025年7月推出的AReaL-lite将代码量减少80%的同时保持了90%的性能</w:t>
      </w:r>
      <w:r>
        <w:t xml:space="preserve"> </w:t>
      </w:r>
      <w:r>
        <w:rPr>
          <w:vertAlign w:val="superscript"/>
        </w:rPr>
        <w:footnoteReference w:id="106"/>
      </w:r>
      <w:r>
        <w:t xml:space="preserve">，并在2026年初支持Ascend NPU设备</w:t>
      </w:r>
      <w:r>
        <w:t xml:space="preserve"> </w:t>
      </w:r>
      <w:r>
        <w:rPr>
          <w:vertAlign w:val="superscript"/>
        </w:rPr>
        <w:footnoteReference w:id="107"/>
      </w:r>
      <w:r>
        <w:t xml:space="preserve">，展现了良好的生态适应性。AReaL还支持多轮Agentic RL训练，为超越单轮推理的复杂交互场景提供了框架支持。</w:t>
      </w:r>
    </w:p>
    <w:bookmarkEnd w:id="116"/>
    <w:bookmarkStart w:id="120" w:name="openrlhf与llamarl开源生态的两极"/>
    <w:p>
      <w:pPr>
        <w:pStyle w:val="Heading4"/>
      </w:pPr>
      <w:r>
        <w:t xml:space="preserve">6.1.3 OpenRLHF与LlamaRL：开源生态的两极</w:t>
      </w:r>
    </w:p>
    <w:p>
      <w:pPr>
        <w:pStyle w:val="FirstParagraph"/>
      </w:pPr>
      <w:r>
        <w:t xml:space="preserve">OpenRLHF是首个基于Ray+vLLM分布式架构的高性能开源RLHF框架，采用统一Agent设计范式，支持PPO、REINFORCE++、GRPO、RLOO、DAPO等算法</w:t>
      </w:r>
      <w:r>
        <w:t xml:space="preserve"> </w:t>
      </w:r>
      <w:r>
        <w:rPr>
          <w:vertAlign w:val="superscript"/>
        </w:rPr>
        <w:footnoteReference w:id="108"/>
      </w:r>
      <w:r>
        <w:t xml:space="preserve">。其核心优势在于灵活的混合引擎调度——Actor、Reward、Reference、Critic模型可跨不同GPU共享资源，v0.8.0版本进一步引入异步RLHF训练支持（</w:t>
      </w:r>
      <w:r>
        <w:rPr>
          <w:rStyle w:val="VerbatimChar"/>
        </w:rPr>
        <w:t xml:space="preserve">--train.async_enable</w:t>
      </w:r>
      <w:r>
        <w:t xml:space="preserve">），实测加速比达1.22-1.68倍</w:t>
      </w:r>
      <w:r>
        <w:t xml:space="preserve"> </w:t>
      </w:r>
      <w:fldSimple w:instr="NOTEREF _Ref_Footnote_108 \h \f">
        <w:r>
          <w:rPr>
            <w:vertAlign w:val="superscript"/>
          </w:rPr>
          <w:t>108</w:t>
        </w:r>
      </w:fldSimple>
      <w:r>
        <w:t xml:space="preserve">。LlamaRL则由Meta GenAI开发，采用完全分布式异步架构与原生PyTorch单控制器设计，在405B参数模型上实现了相比DeepSpeed-Chat类系统最高10.7倍加速</w:t>
      </w:r>
      <w:r>
        <w:t xml:space="preserve"> </w:t>
      </w:r>
      <w:r>
        <w:rPr>
          <w:vertAlign w:val="superscript"/>
        </w:rPr>
        <w:footnoteReference w:id="109"/>
      </w:r>
      <w:r>
        <w:t xml:space="preserve">。LlamaRL的关键创新包括分布式DMA权重同步、共址模型卸载（co-located model offloading）以及部分回滚策略，并包含异步设计导致严格RL加速的形式化证明</w:t>
      </w:r>
      <w:r>
        <w:t xml:space="preserve"> </w:t>
      </w:r>
      <w:r>
        <w:rPr>
          <w:vertAlign w:val="superscript"/>
        </w:rPr>
        <w:footnoteReference w:id="110"/>
      </w:r>
      <w:r>
        <w:t xml:space="preserve">。两者分别代表了开源社区（OpenRLHF）与工业巨头（LlamaRL）在可扩展RL训练领域的最高工程水平。</w:t>
      </w:r>
    </w:p>
    <w:p>
      <w:pPr>
        <w:pStyle w:val="BodyText"/>
      </w:pPr>
      <w:r>
        <w:rPr>
          <w:bCs/>
          <w:b/>
        </w:rPr>
        <w:t xml:space="preserve">表1：主流训练框架综合对比</w:t>
      </w:r>
    </w:p>
    <w:tbl>
      <w:tblPr>
        <w:tblStyle w:val="Table"/>
        <w:tblW w:type="pct" w:w="5000"/>
        <w:tblLook w:firstRow="1" w:lastRow="0" w:firstColumn="0" w:lastColumn="0" w:noHBand="0" w:noVBand="0" w:val="0020"/>
      </w:tblPr>
      <w:tblGrid>
        <w:gridCol w:w="678"/>
        <w:gridCol w:w="905"/>
        <w:gridCol w:w="1131"/>
        <w:gridCol w:w="1131"/>
        <w:gridCol w:w="1131"/>
        <w:gridCol w:w="1470"/>
        <w:gridCol w:w="1470"/>
      </w:tblGrid>
      <w:tr>
        <w:trPr>
          <w:tblHeader w:val="true"/>
        </w:trPr>
        <w:tc>
          <w:tcPr/>
          <w:p>
            <w:pPr>
              <w:pStyle w:val="Compact"/>
              <w:jc w:val="left"/>
            </w:pPr>
            <w:r>
              <w:t xml:space="preserve">框架</w:t>
            </w:r>
          </w:p>
        </w:tc>
        <w:tc>
          <w:tcPr/>
          <w:p>
            <w:pPr>
              <w:pStyle w:val="Compact"/>
              <w:jc w:val="left"/>
            </w:pPr>
            <w:r>
              <w:t xml:space="preserve">开发方</w:t>
            </w:r>
          </w:p>
        </w:tc>
        <w:tc>
          <w:tcPr/>
          <w:p>
            <w:pPr>
              <w:pStyle w:val="Compact"/>
              <w:jc w:val="left"/>
            </w:pPr>
            <w:r>
              <w:t xml:space="preserve">支持算法</w:t>
            </w:r>
          </w:p>
        </w:tc>
        <w:tc>
          <w:tcPr/>
          <w:p>
            <w:pPr>
              <w:pStyle w:val="Compact"/>
              <w:jc w:val="left"/>
            </w:pPr>
            <w:r>
              <w:t xml:space="preserve">训练后端</w:t>
            </w:r>
          </w:p>
        </w:tc>
        <w:tc>
          <w:tcPr/>
          <w:p>
            <w:pPr>
              <w:pStyle w:val="Compact"/>
              <w:jc w:val="left"/>
            </w:pPr>
            <w:r>
              <w:t xml:space="preserve">推理引擎</w:t>
            </w:r>
          </w:p>
        </w:tc>
        <w:tc>
          <w:tcPr/>
          <w:p>
            <w:pPr>
              <w:pStyle w:val="Compact"/>
              <w:jc w:val="left"/>
            </w:pPr>
            <w:r>
              <w:t xml:space="preserve">支持模型大小</w:t>
            </w:r>
          </w:p>
        </w:tc>
        <w:tc>
          <w:tcPr/>
          <w:p>
            <w:pPr>
              <w:pStyle w:val="Compact"/>
              <w:jc w:val="left"/>
            </w:pPr>
            <w:r>
              <w:t xml:space="preserve">吞吐量加速比</w:t>
            </w:r>
          </w:p>
        </w:tc>
      </w:tr>
      <w:tr>
        <w:tc>
          <w:tcPr/>
          <w:p>
            <w:pPr>
              <w:pStyle w:val="Compact"/>
              <w:jc w:val="left"/>
            </w:pPr>
            <w:r>
              <w:t xml:space="preserve">VERL</w:t>
            </w:r>
          </w:p>
        </w:tc>
        <w:tc>
          <w:tcPr/>
          <w:p>
            <w:pPr>
              <w:pStyle w:val="Compact"/>
              <w:jc w:val="left"/>
            </w:pPr>
            <w:r>
              <w:t xml:space="preserve">字节/清华</w:t>
            </w:r>
          </w:p>
        </w:tc>
        <w:tc>
          <w:tcPr/>
          <w:p>
            <w:pPr>
              <w:pStyle w:val="Compact"/>
              <w:jc w:val="left"/>
            </w:pPr>
            <w:r>
              <w:t xml:space="preserve">PPO, GRPO, ReMax, RLOO</w:t>
            </w:r>
            <w:r>
              <w:t xml:space="preserve"> </w:t>
            </w:r>
            <w:fldSimple w:instr="NOTEREF _Ref_Footnote_100 \h \f">
              <w:r>
                <w:rPr>
                  <w:vertAlign w:val="superscript"/>
                </w:rPr>
                <w:t>100</w:t>
              </w:r>
            </w:fldSimple>
          </w:p>
        </w:tc>
        <w:tc>
          <w:tcPr/>
          <w:p>
            <w:pPr>
              <w:pStyle w:val="Compact"/>
              <w:jc w:val="left"/>
            </w:pPr>
            <w:r>
              <w:t xml:space="preserve">FSDP, Megatron-LM</w:t>
            </w:r>
          </w:p>
        </w:tc>
        <w:tc>
          <w:tcPr/>
          <w:p>
            <w:pPr>
              <w:pStyle w:val="Compact"/>
              <w:jc w:val="left"/>
            </w:pPr>
            <w:r>
              <w:t xml:space="preserve">vLLM, TGI</w:t>
            </w:r>
          </w:p>
        </w:tc>
        <w:tc>
          <w:tcPr/>
          <w:p>
            <w:pPr>
              <w:pStyle w:val="Compact"/>
              <w:jc w:val="left"/>
            </w:pPr>
            <w:r>
              <w:t xml:space="preserve">70B+</w:t>
            </w:r>
          </w:p>
        </w:tc>
        <w:tc>
          <w:tcPr/>
          <w:p>
            <w:pPr>
              <w:pStyle w:val="Compact"/>
              <w:jc w:val="left"/>
            </w:pPr>
            <w:r>
              <w:t xml:space="preserve">1.4x (v0.3)</w:t>
            </w:r>
            <w:r>
              <w:t xml:space="preserve"> </w:t>
            </w:r>
            <w:fldSimple w:instr="NOTEREF _Ref_Footnote_102 \h \f">
              <w:r>
                <w:rPr>
                  <w:vertAlign w:val="superscript"/>
                </w:rPr>
                <w:t>102</w:t>
              </w:r>
            </w:fldSimple>
          </w:p>
        </w:tc>
      </w:tr>
      <w:tr>
        <w:tc>
          <w:tcPr/>
          <w:p>
            <w:pPr>
              <w:pStyle w:val="Compact"/>
              <w:jc w:val="left"/>
            </w:pPr>
            <w:r>
              <w:t xml:space="preserve">AReaL</w:t>
            </w:r>
          </w:p>
        </w:tc>
        <w:tc>
          <w:tcPr/>
          <w:p>
            <w:pPr>
              <w:pStyle w:val="Compact"/>
              <w:jc w:val="left"/>
            </w:pPr>
            <w:r>
              <w:t xml:space="preserve">蚂蚁/清华</w:t>
            </w:r>
          </w:p>
        </w:tc>
        <w:tc>
          <w:tcPr/>
          <w:p>
            <w:pPr>
              <w:pStyle w:val="Compact"/>
              <w:jc w:val="left"/>
            </w:pPr>
            <w:r>
              <w:t xml:space="preserve">GRPO, staleness-aware PPO</w:t>
            </w:r>
            <w:r>
              <w:t xml:space="preserve"> </w:t>
            </w:r>
            <w:r>
              <w:rPr>
                <w:vertAlign w:val="superscript"/>
              </w:rPr>
              <w:footnoteReference w:id="111"/>
            </w:r>
          </w:p>
        </w:tc>
        <w:tc>
          <w:tcPr/>
          <w:p>
            <w:pPr>
              <w:pStyle w:val="Compact"/>
              <w:jc w:val="left"/>
            </w:pPr>
            <w:r>
              <w:t xml:space="preserve">Megatron-LM</w:t>
            </w:r>
          </w:p>
        </w:tc>
        <w:tc>
          <w:tcPr/>
          <w:p>
            <w:pPr>
              <w:pStyle w:val="Compact"/>
              <w:jc w:val="left"/>
            </w:pPr>
            <w:r>
              <w:t xml:space="preserve">SGLang</w:t>
            </w:r>
          </w:p>
        </w:tc>
        <w:tc>
          <w:tcPr/>
          <w:p>
            <w:pPr>
              <w:pStyle w:val="Compact"/>
              <w:jc w:val="left"/>
            </w:pPr>
            <w:r>
              <w:t xml:space="preserve">32B+</w:t>
            </w:r>
          </w:p>
        </w:tc>
        <w:tc>
          <w:tcPr/>
          <w:p>
            <w:pPr>
              <w:pStyle w:val="Compact"/>
              <w:jc w:val="left"/>
            </w:pPr>
            <w:r>
              <w:t xml:space="preserve">2.77x</w:t>
            </w:r>
            <w:r>
              <w:t xml:space="preserve"> </w:t>
            </w:r>
            <w:fldSimple w:instr="NOTEREF _Ref_Footnote_103 \h \f">
              <w:r>
                <w:rPr>
                  <w:vertAlign w:val="superscript"/>
                </w:rPr>
                <w:t>103</w:t>
              </w:r>
            </w:fldSimple>
          </w:p>
        </w:tc>
      </w:tr>
      <w:tr>
        <w:tc>
          <w:tcPr/>
          <w:p>
            <w:pPr>
              <w:pStyle w:val="Compact"/>
              <w:jc w:val="left"/>
            </w:pPr>
            <w:r>
              <w:t xml:space="preserve">OpenRLHF</w:t>
            </w:r>
          </w:p>
        </w:tc>
        <w:tc>
          <w:tcPr/>
          <w:p>
            <w:pPr>
              <w:pStyle w:val="Compact"/>
              <w:jc w:val="left"/>
            </w:pPr>
            <w:r>
              <w:t xml:space="preserve">开源社区</w:t>
            </w:r>
          </w:p>
        </w:tc>
        <w:tc>
          <w:tcPr/>
          <w:p>
            <w:pPr>
              <w:pStyle w:val="Compact"/>
              <w:jc w:val="left"/>
            </w:pPr>
            <w:r>
              <w:t xml:space="preserve">PPO, GRPO, RLOO, DAPO</w:t>
            </w:r>
            <w:r>
              <w:t xml:space="preserve"> </w:t>
            </w:r>
            <w:fldSimple w:instr="NOTEREF _Ref_Footnote_108 \h \f">
              <w:r>
                <w:rPr>
                  <w:vertAlign w:val="superscript"/>
                </w:rPr>
                <w:t>108</w:t>
              </w:r>
            </w:fldSimple>
          </w:p>
        </w:tc>
        <w:tc>
          <w:tcPr/>
          <w:p>
            <w:pPr>
              <w:pStyle w:val="Compact"/>
              <w:jc w:val="left"/>
            </w:pPr>
            <w:r>
              <w:t xml:space="preserve">DeepSpeed</w:t>
            </w:r>
          </w:p>
        </w:tc>
        <w:tc>
          <w:tcPr/>
          <w:p>
            <w:pPr>
              <w:pStyle w:val="Compact"/>
              <w:jc w:val="left"/>
            </w:pPr>
            <w:r>
              <w:t xml:space="preserve">vLLM</w:t>
            </w:r>
          </w:p>
        </w:tc>
        <w:tc>
          <w:tcPr/>
          <w:p>
            <w:pPr>
              <w:pStyle w:val="Compact"/>
              <w:jc w:val="left"/>
            </w:pPr>
            <w:r>
              <w:t xml:space="preserve">70B+</w:t>
            </w:r>
          </w:p>
        </w:tc>
        <w:tc>
          <w:tcPr/>
          <w:p>
            <w:pPr>
              <w:pStyle w:val="Compact"/>
              <w:jc w:val="left"/>
            </w:pPr>
            <w:r>
              <w:t xml:space="preserve">1.22-1.68x</w:t>
            </w:r>
            <w:r>
              <w:t xml:space="preserve"> </w:t>
            </w:r>
            <w:fldSimple w:instr="NOTEREF _Ref_Footnote_108 \h \f">
              <w:r>
                <w:rPr>
                  <w:vertAlign w:val="superscript"/>
                </w:rPr>
                <w:t>108</w:t>
              </w:r>
            </w:fldSimple>
          </w:p>
        </w:tc>
      </w:tr>
      <w:tr>
        <w:tc>
          <w:tcPr/>
          <w:p>
            <w:pPr>
              <w:pStyle w:val="Compact"/>
              <w:jc w:val="left"/>
            </w:pPr>
            <w:r>
              <w:t xml:space="preserve">LlamaRL</w:t>
            </w:r>
          </w:p>
        </w:tc>
        <w:tc>
          <w:tcPr/>
          <w:p>
            <w:pPr>
              <w:pStyle w:val="Compact"/>
              <w:jc w:val="left"/>
            </w:pPr>
            <w:r>
              <w:t xml:space="preserve">Meta</w:t>
            </w:r>
          </w:p>
        </w:tc>
        <w:tc>
          <w:tcPr/>
          <w:p>
            <w:pPr>
              <w:pStyle w:val="Compact"/>
              <w:jc w:val="left"/>
            </w:pPr>
            <w:r>
              <w:t xml:space="preserve">多种（异步off-policy）</w:t>
            </w:r>
            <w:fldSimple w:instr="NOTEREF _Ref_Footnote_110 \h \f">
              <w:r>
                <w:rPr>
                  <w:vertAlign w:val="superscript"/>
                </w:rPr>
                <w:t>110</w:t>
              </w:r>
            </w:fldSimple>
          </w:p>
        </w:tc>
        <w:tc>
          <w:tcPr/>
          <w:p>
            <w:pPr>
              <w:pStyle w:val="Compact"/>
              <w:jc w:val="left"/>
            </w:pPr>
            <w:r>
              <w:t xml:space="preserve">PyTorch原生</w:t>
            </w:r>
          </w:p>
        </w:tc>
        <w:tc>
          <w:tcPr/>
          <w:p>
            <w:pPr>
              <w:pStyle w:val="Compact"/>
              <w:jc w:val="left"/>
            </w:pPr>
            <w:r>
              <w:t xml:space="preserve">—</w:t>
            </w:r>
          </w:p>
        </w:tc>
        <w:tc>
          <w:tcPr/>
          <w:p>
            <w:pPr>
              <w:pStyle w:val="Compact"/>
              <w:jc w:val="left"/>
            </w:pPr>
            <w:r>
              <w:t xml:space="preserve">8B-405B</w:t>
            </w:r>
          </w:p>
        </w:tc>
        <w:tc>
          <w:tcPr/>
          <w:p>
            <w:pPr>
              <w:pStyle w:val="Compact"/>
              <w:jc w:val="left"/>
            </w:pPr>
            <w:r>
              <w:t xml:space="preserve">10.7x (405B)</w:t>
            </w:r>
            <w:r>
              <w:t xml:space="preserve"> </w:t>
            </w:r>
            <w:fldSimple w:instr="NOTEREF _Ref_Footnote_109 \h \f">
              <w:r>
                <w:rPr>
                  <w:vertAlign w:val="superscript"/>
                </w:rPr>
                <w:t>109</w:t>
              </w:r>
            </w:fldSimple>
          </w:p>
        </w:tc>
      </w:tr>
      <w:tr>
        <w:tc>
          <w:tcPr/>
          <w:p>
            <w:pPr>
              <w:pStyle w:val="Compact"/>
              <w:jc w:val="left"/>
            </w:pPr>
            <w:r>
              <w:t xml:space="preserve">DistFlow</w:t>
            </w:r>
          </w:p>
        </w:tc>
        <w:tc>
          <w:tcPr/>
          <w:p>
            <w:pPr>
              <w:pStyle w:val="Compact"/>
              <w:jc w:val="left"/>
            </w:pPr>
            <w:r>
              <w:t xml:space="preserve">独立研究</w:t>
            </w:r>
          </w:p>
        </w:tc>
        <w:tc>
          <w:tcPr/>
          <w:p>
            <w:pPr>
              <w:pStyle w:val="Compact"/>
              <w:jc w:val="left"/>
            </w:pPr>
            <w:r>
              <w:t xml:space="preserve">GRPO, PPO</w:t>
            </w:r>
            <w:r>
              <w:t xml:space="preserve"> </w:t>
            </w:r>
            <w:r>
              <w:rPr>
                <w:vertAlign w:val="superscript"/>
              </w:rPr>
              <w:footnoteReference w:id="112"/>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7x</w:t>
            </w:r>
            <w:r>
              <w:t xml:space="preserve"> </w:t>
            </w:r>
            <w:fldSimple w:instr="NOTEREF _Ref_Footnote_112 \h \f">
              <w:r>
                <w:rPr>
                  <w:vertAlign w:val="superscript"/>
                </w:rPr>
                <w:t>112</w:t>
              </w:r>
            </w:fldSimple>
          </w:p>
        </w:tc>
      </w:tr>
      <w:tr>
        <w:tc>
          <w:tcPr/>
          <w:p>
            <w:pPr>
              <w:pStyle w:val="Compact"/>
              <w:jc w:val="left"/>
            </w:pPr>
            <w:r>
              <w:t xml:space="preserve">Laminar</w:t>
            </w:r>
          </w:p>
        </w:tc>
        <w:tc>
          <w:tcPr/>
          <w:p>
            <w:pPr>
              <w:pStyle w:val="Compact"/>
              <w:jc w:val="left"/>
            </w:pPr>
            <w:r>
              <w:t xml:space="preserve">字节Seed</w:t>
            </w:r>
          </w:p>
        </w:tc>
        <w:tc>
          <w:tcPr/>
          <w:p>
            <w:pPr>
              <w:pStyle w:val="Compact"/>
              <w:jc w:val="left"/>
            </w:pPr>
            <w:r>
              <w:t xml:space="preserve">PPO-style</w:t>
            </w:r>
            <w:r>
              <w:t xml:space="preserve"> </w:t>
            </w:r>
            <w:fldSimple w:instr="NOTEREF _Ref_Footnote_104 \h \f">
              <w:r>
                <w:rPr>
                  <w:vertAlign w:val="superscript"/>
                </w:rPr>
                <w:t>104</w:t>
              </w:r>
            </w:fldSimple>
          </w:p>
        </w:tc>
        <w:tc>
          <w:tcPr/>
          <w:p>
            <w:pPr>
              <w:pStyle w:val="Compact"/>
              <w:jc w:val="left"/>
            </w:pPr>
            <w:r>
              <w:t xml:space="preserve">FSDP</w:t>
            </w:r>
          </w:p>
        </w:tc>
        <w:tc>
          <w:tcPr/>
          <w:p>
            <w:pPr>
              <w:pStyle w:val="Compact"/>
              <w:jc w:val="left"/>
            </w:pPr>
            <w:r>
              <w:t xml:space="preserve">vLLM</w:t>
            </w:r>
          </w:p>
        </w:tc>
        <w:tc>
          <w:tcPr/>
          <w:p>
            <w:pPr>
              <w:pStyle w:val="Compact"/>
              <w:jc w:val="left"/>
            </w:pPr>
            <w:r>
              <w:t xml:space="preserve">72B</w:t>
            </w:r>
          </w:p>
        </w:tc>
        <w:tc>
          <w:tcPr/>
          <w:p>
            <w:pPr>
              <w:pStyle w:val="Compact"/>
              <w:jc w:val="left"/>
            </w:pPr>
            <w:r>
              <w:t xml:space="preserve">5.48x</w:t>
            </w:r>
            <w:r>
              <w:t xml:space="preserve"> </w:t>
            </w:r>
            <w:fldSimple w:instr="NOTEREF _Ref_Footnote_104 \h \f">
              <w:r>
                <w:rPr>
                  <w:vertAlign w:val="superscript"/>
                </w:rPr>
                <w:t>104</w:t>
              </w:r>
            </w:fldSimple>
          </w:p>
        </w:tc>
      </w:tr>
    </w:tbl>
    <w:p>
      <w:pPr>
        <w:pStyle w:val="BodyText"/>
      </w:pPr>
      <w:r>
        <w:t xml:space="preserve">上表揭示了训练框架架构演进的三条主线。第一，</w:t>
      </w:r>
      <w:r>
        <w:rPr>
          <w:bCs/>
          <w:b/>
        </w:rPr>
        <w:t xml:space="preserve">异步化</w:t>
      </w:r>
      <w:r>
        <w:t xml:space="preserve">趋势明确——从VERL的同步混合架构到AReaL的完全异步解耦，再到Laminar的完全解耦与Relay Workers分布式参数服务，异步设计已成为大规模训练的标配。第二，</w:t>
      </w:r>
      <w:r>
        <w:rPr>
          <w:bCs/>
          <w:b/>
        </w:rPr>
        <w:t xml:space="preserve">控制器范式</w:t>
      </w:r>
      <w:r>
        <w:t xml:space="preserve">从单控制器（LlamaRL）向混合控制器（VERL）乃至多控制器（DistFlow）演进，以消除单节点瓶颈。第三，</w:t>
      </w:r>
      <w:r>
        <w:rPr>
          <w:bCs/>
          <w:b/>
        </w:rPr>
        <w:t xml:space="preserve">加速效果与模型规模正相关</w:t>
      </w:r>
      <w:r>
        <w:t xml:space="preserve">——LlamaRL在405B模型上达到10.7倍加速，显著高于中小模型场景的1-3倍，原因在于大模型的通信开销占比更高，异步架构能更有效地隐藏延迟。</w:t>
      </w:r>
    </w:p>
    <w:p>
      <w:pPr>
        <w:pStyle w:val="CaptionedFigure"/>
      </w:pPr>
      <w:r>
        <w:drawing>
          <wp:inline>
            <wp:extent cx="5334000" cy="2896680"/>
            <wp:effectExtent b="0" l="0" r="0" t="0"/>
            <wp:docPr descr="训练框架加速对比" title="" id="118" name="Picture"/>
            <a:graphic>
              <a:graphicData uri="http://schemas.openxmlformats.org/drawingml/2006/picture">
                <pic:pic>
                  <pic:nvPicPr>
                    <pic:cNvPr descr="fig_framework_speedup.png" id="119" name="Picture"/>
                    <pic:cNvPicPr>
                      <a:picLocks noChangeArrowheads="1" noChangeAspect="1"/>
                    </pic:cNvPicPr>
                  </pic:nvPicPr>
                  <pic:blipFill>
                    <a:blip r:embed="rId117"/>
                    <a:stretch>
                      <a:fillRect/>
                    </a:stretch>
                  </pic:blipFill>
                  <pic:spPr bwMode="auto">
                    <a:xfrm>
                      <a:off x="0" y="0"/>
                      <a:ext cx="5334000" cy="2896680"/>
                    </a:xfrm>
                    <a:prstGeom prst="rect">
                      <a:avLst/>
                    </a:prstGeom>
                    <a:noFill/>
                    <a:ln w="9525">
                      <a:noFill/>
                      <a:headEnd/>
                      <a:tailEnd/>
                    </a:ln>
                  </pic:spPr>
                </pic:pic>
              </a:graphicData>
            </a:graphic>
          </wp:inline>
        </w:drawing>
      </w:r>
    </w:p>
    <w:p>
      <w:pPr>
        <w:pStyle w:val="ImageCaption"/>
      </w:pPr>
      <w:r>
        <w:t xml:space="preserve">训练框架加速对比</w:t>
      </w:r>
    </w:p>
    <w:bookmarkEnd w:id="120"/>
    <w:bookmarkEnd w:id="121"/>
    <w:bookmarkStart w:id="128" w:name="推理引擎与kv-cache优化"/>
    <w:p>
      <w:pPr>
        <w:pStyle w:val="Heading3"/>
      </w:pPr>
      <w:r>
        <w:t xml:space="preserve">6.2 推理引擎与KV Cache优化</w:t>
      </w:r>
    </w:p>
    <w:bookmarkStart w:id="122" w:name="vllmpagedattention从内存浪费到高效复用"/>
    <w:p>
      <w:pPr>
        <w:pStyle w:val="Heading4"/>
      </w:pPr>
      <w:r>
        <w:t xml:space="preserve">6.2.1 vLLM+PagedAttention：从内存浪费到高效复用</w:t>
      </w:r>
    </w:p>
    <w:p>
      <w:pPr>
        <w:pStyle w:val="FirstParagraph"/>
      </w:pPr>
      <w:r>
        <w:t xml:space="preserve">vLLM通过PagedAttention机制将KV Cache管理从”预分配连续内存”模式转变为”按需分块分配”模式</w:t>
      </w:r>
      <w:r>
        <w:t xml:space="preserve"> </w:t>
      </w:r>
      <w:r>
        <w:rPr>
          <w:vertAlign w:val="superscript"/>
        </w:rPr>
        <w:footnoteReference w:id="113"/>
      </w:r>
      <w:r>
        <w:t xml:space="preserve">。该技术将KV Cache划分为固定大小的块（blocks），这些块无需在物理内存中连续，类似操作系统的虚拟内存分页机制，从而将内存浪费从传统方案的60-80%降至4%以下</w:t>
      </w:r>
      <w:r>
        <w:t xml:space="preserve"> </w:t>
      </w:r>
      <w:r>
        <w:rPr>
          <w:vertAlign w:val="superscript"/>
        </w:rPr>
        <w:footnoteReference w:id="114"/>
      </w:r>
      <w:r>
        <w:t xml:space="preserve">。配合Continuous Batching动态请求批次管理与Prefix Caching前缀复用，vLLM相比FasterTransformer和Orca达到2-4倍更高吞吐量</w:t>
      </w:r>
      <w:r>
        <w:t xml:space="preserve"> </w:t>
      </w:r>
      <w:r>
        <w:rPr>
          <w:vertAlign w:val="superscript"/>
        </w:rPr>
        <w:footnoteReference w:id="115"/>
      </w:r>
      <w:r>
        <w:t xml:space="preserve">。微软提出的Zipage扩展进一步支持token级KV Cache驱逐（Compressed PagedAttention），为长序列场景提供了更细粒度的内存管理</w:t>
      </w:r>
      <w:r>
        <w:t xml:space="preserve"> </w:t>
      </w:r>
      <w:r>
        <w:rPr>
          <w:vertAlign w:val="superscript"/>
        </w:rPr>
        <w:footnoteReference w:id="116"/>
      </w:r>
      <w:r>
        <w:t xml:space="preserve">。</w:t>
      </w:r>
    </w:p>
    <w:bookmarkEnd w:id="122"/>
    <w:bookmarkStart w:id="123" w:name="mlamulti-head-latent-attention低秩压缩的架构创新"/>
    <w:p>
      <w:pPr>
        <w:pStyle w:val="Heading4"/>
      </w:pPr>
      <w:r>
        <w:t xml:space="preserve">6.2.2 MLA（Multi-head Latent Attention）：低秩压缩的架构创新</w:t>
      </w:r>
    </w:p>
    <w:p>
      <w:pPr>
        <w:pStyle w:val="FirstParagraph"/>
      </w:pPr>
      <w:r>
        <w:t xml:space="preserve">MLA由DeepSeek在V2/V3中提出，通过低秩联合压缩Key和Value向量实现KV Cache的激进缩减。具体而言，MLA将KV Cache压缩为低秩潜在向量</w:t>
      </w:r>
      <w:r>
        <w:t xml:space="preserve"> </w:t>
      </w:r>
      <m:oMath>
        <m:r>
          <m:t>c</m:t>
        </m:r>
        <m:r>
          <m:rPr>
            <m:sty m:val="p"/>
          </m:rPr>
          <m:t>=</m:t>
        </m:r>
        <m:sSub>
          <m:e>
            <m:r>
              <m:t>W</m:t>
            </m:r>
          </m:e>
          <m:sub>
            <m:r>
              <m:t>K</m:t>
            </m:r>
            <m:r>
              <m:rPr>
                <m:sty m:val="p"/>
              </m:rPr>
              <m:t>_</m:t>
            </m:r>
            <m:r>
              <m:t>d</m:t>
            </m:r>
            <m:r>
              <m:t>o</m:t>
            </m:r>
            <m:r>
              <m:t>w</m:t>
            </m:r>
            <m:r>
              <m:t>n</m:t>
            </m:r>
          </m:sub>
        </m:sSub>
        <m:r>
          <m:rPr>
            <m:sty m:val="p"/>
          </m:rPr>
          <m:t>⋅</m:t>
        </m:r>
        <m:r>
          <m:t>h</m:t>
        </m:r>
        <m:r>
          <m:rPr>
            <m:sty m:val="p"/>
          </m:rPr>
          <m:t>∈</m:t>
        </m:r>
        <m:sSup>
          <m:e>
            <m:r>
              <m:rPr>
                <m:sty m:val="p"/>
                <m:scr m:val="double-struck"/>
              </m:rPr>
              <m:t>R</m:t>
            </m:r>
          </m:e>
          <m:sup>
            <m:sSub>
              <m:e>
                <m:r>
                  <m:t>d</m:t>
                </m:r>
              </m:e>
              <m:sub>
                <m:r>
                  <m:t>c</m:t>
                </m:r>
              </m:sub>
            </m:sSub>
          </m:sup>
        </m:sSup>
      </m:oMath>
      <w:r>
        <w:t xml:space="preserve">，其中</w:t>
      </w:r>
      <w:r>
        <w:t xml:space="preserve"> </w:t>
      </w:r>
      <m:oMath>
        <m:sSub>
          <m:e>
            <m:r>
              <m:t>d</m:t>
            </m:r>
          </m:e>
          <m:sub>
            <m:r>
              <m:t>c</m:t>
            </m:r>
          </m:sub>
        </m:sSub>
        <m:r>
          <m:rPr>
            <m:sty m:val="p"/>
          </m:rPr>
          <m:t>≪</m:t>
        </m:r>
        <m:r>
          <m:t>d</m:t>
        </m:r>
      </m:oMath>
      <w:r>
        <w:t xml:space="preserve">（</w:t>
      </w:r>
      <m:oMath>
        <m:r>
          <m:t>d</m:t>
        </m:r>
      </m:oMath>
      <w:r>
        <w:t xml:space="preserve">为原始维度），缓存压缩比可达8倍，质量损失控制在1%以内</w:t>
      </w:r>
      <w:r>
        <w:t xml:space="preserve"> </w:t>
      </w:r>
      <w:r>
        <w:rPr>
          <w:vertAlign w:val="superscript"/>
        </w:rPr>
        <w:footnoteReference w:id="117"/>
      </w:r>
      <w:r>
        <w:t xml:space="preserve">。与GQA（Grouped-Query Attention）通过共享KV头减少缓存的方式不同</w:t>
      </w:r>
      <w:r>
        <w:t xml:space="preserve"> </w:t>
      </w:r>
      <w:r>
        <w:rPr>
          <w:vertAlign w:val="superscript"/>
        </w:rPr>
        <w:footnoteReference w:id="118"/>
      </w:r>
      <w:r>
        <w:t xml:space="preserve">，MLA不是简单地共享注意力头，而是通过低秩投影压缩存储内容，实现了比GQA更显著的缩减（4-16倍 vs. H/G倍）同时保持甚至超越MHA（Multi-Head Attention）的模型质量</w:t>
      </w:r>
      <w:r>
        <w:t xml:space="preserve"> </w:t>
      </w:r>
      <w:r>
        <w:rPr>
          <w:vertAlign w:val="superscript"/>
        </w:rPr>
        <w:footnoteReference w:id="119"/>
      </w:r>
      <w:r>
        <w:t xml:space="preserve">。在DeepSeek-V3中，MLA结合RoPE位置编码解耦内容与位置信息，已成为推理效率优化的标杆设计</w:t>
      </w:r>
      <w:r>
        <w:t xml:space="preserve"> </w:t>
      </w:r>
      <w:r>
        <w:rPr>
          <w:vertAlign w:val="superscript"/>
        </w:rPr>
        <w:footnoteReference w:id="120"/>
      </w:r>
      <w:r>
        <w:t xml:space="preserve">。</w:t>
      </w:r>
    </w:p>
    <w:bookmarkEnd w:id="123"/>
    <w:bookmarkStart w:id="127" w:name="rlkvrl引导的kv-cache压缩"/>
    <w:p>
      <w:pPr>
        <w:pStyle w:val="Heading4"/>
      </w:pPr>
      <w:r>
        <w:t xml:space="preserve">6.2.3 RLKV：RL引导的KV Cache压缩</w:t>
      </w:r>
    </w:p>
    <w:p>
      <w:pPr>
        <w:pStyle w:val="FirstParagraph"/>
      </w:pPr>
      <w:r>
        <w:t xml:space="preserve">RLKV代表了算法层面优化KV Cache使用的新方向。该方法通过强化学习直接优化每个注意力头的KV Cache使用与推理质量之间的关系，在AReaL框架中以SGLang作为rollout引擎实现</w:t>
      </w:r>
      <w:r>
        <w:t xml:space="preserve"> </w:t>
      </w:r>
      <w:r>
        <w:rPr>
          <w:vertAlign w:val="superscript"/>
        </w:rPr>
        <w:footnoteReference w:id="121"/>
      </w:r>
      <w:r>
        <w:t xml:space="preserve">。RLKV使用GRPO优化门控adapter，将注意力函数替换为混合注意力，训练仅需2张NVIDIA A100 GPU（80GB）约185步、数小时即可完成。实验结果显示，RLKV在GSM8K、Math500、AIME24等推理基准上优于基线高达20%，某些任务上甚至超过完整KV Cache基线，实现20-50%的KV Cache缩减且近乎无损</w:t>
      </w:r>
      <w:r>
        <w:t xml:space="preserve"> </w:t>
      </w:r>
      <w:fldSimple w:instr="NOTEREF _Ref_Footnote_121 \h \f">
        <w:r>
          <w:rPr>
            <w:vertAlign w:val="superscript"/>
          </w:rPr>
          <w:t>121</w:t>
        </w:r>
      </w:fldSimple>
      <w:r>
        <w:t xml:space="preserve">。这一发现挑战了”KV Cache越大越好”的传统假设，表明通过RL学习可以识别并保留对推理最关键的注意力头。</w:t>
      </w:r>
    </w:p>
    <w:p>
      <w:pPr>
        <w:pStyle w:val="BodyText"/>
      </w:pPr>
      <w:r>
        <w:rPr>
          <w:bCs/>
          <w:b/>
        </w:rPr>
        <w:t xml:space="preserve">表2：KV Cache优化方法综合对比</w:t>
      </w:r>
    </w:p>
    <w:tbl>
      <w:tblPr>
        <w:tblStyle w:val="Table"/>
        <w:tblW w:type="pct" w:w="5000"/>
        <w:tblLook w:firstRow="1" w:lastRow="0" w:firstColumn="0" w:lastColumn="0" w:noHBand="0" w:noVBand="0" w:val="0020"/>
      </w:tblPr>
      <w:tblGrid>
        <w:gridCol w:w="969"/>
        <w:gridCol w:w="1293"/>
        <w:gridCol w:w="1616"/>
        <w:gridCol w:w="2424"/>
        <w:gridCol w:w="1616"/>
      </w:tblGrid>
      <w:tr>
        <w:trPr>
          <w:tblHeader w:val="true"/>
        </w:trPr>
        <w:tc>
          <w:tcPr/>
          <w:p>
            <w:pPr>
              <w:pStyle w:val="Compact"/>
              <w:jc w:val="left"/>
            </w:pPr>
            <w:r>
              <w:t xml:space="preserve">方法</w:t>
            </w:r>
          </w:p>
        </w:tc>
        <w:tc>
          <w:tcPr/>
          <w:p>
            <w:pPr>
              <w:pStyle w:val="Compact"/>
              <w:jc w:val="left"/>
            </w:pPr>
            <w:r>
              <w:t xml:space="preserve">压缩比</w:t>
            </w:r>
          </w:p>
        </w:tc>
        <w:tc>
          <w:tcPr/>
          <w:p>
            <w:pPr>
              <w:pStyle w:val="Compact"/>
              <w:jc w:val="left"/>
            </w:pPr>
            <w:r>
              <w:t xml:space="preserve">精度损失</w:t>
            </w:r>
          </w:p>
        </w:tc>
        <w:tc>
          <w:tcPr/>
          <w:p>
            <w:pPr>
              <w:pStyle w:val="Compact"/>
              <w:jc w:val="left"/>
            </w:pPr>
            <w:r>
              <w:t xml:space="preserve">是否需要预训练</w:t>
            </w:r>
          </w:p>
        </w:tc>
        <w:tc>
          <w:tcPr/>
          <w:p>
            <w:pPr>
              <w:pStyle w:val="Compact"/>
              <w:jc w:val="left"/>
            </w:pPr>
            <w:r>
              <w:t xml:space="preserve">适用场景</w:t>
            </w:r>
          </w:p>
        </w:tc>
      </w:tr>
      <w:tr>
        <w:tc>
          <w:tcPr/>
          <w:p>
            <w:pPr>
              <w:pStyle w:val="Compact"/>
              <w:jc w:val="left"/>
            </w:pPr>
            <w:r>
              <w:t xml:space="preserve">MQA</w:t>
            </w:r>
          </w:p>
        </w:tc>
        <w:tc>
          <w:tcPr/>
          <w:p>
            <w:pPr>
              <w:pStyle w:val="Compact"/>
              <w:jc w:val="left"/>
            </w:pPr>
            <w:r>
              <w:t xml:space="preserve">Hx（头数，通常64x）</w:t>
            </w:r>
          </w:p>
        </w:tc>
        <w:tc>
          <w:tcPr/>
          <w:p>
            <w:pPr>
              <w:pStyle w:val="Compact"/>
              <w:jc w:val="left"/>
            </w:pPr>
            <w:r>
              <w:t xml:space="preserve">显著下降（~15%）</w:t>
            </w:r>
            <w:fldSimple w:instr="NOTEREF _Ref_Footnote_118 \h \f">
              <w:r>
                <w:rPr>
                  <w:vertAlign w:val="superscript"/>
                </w:rPr>
                <w:t>118</w:t>
              </w:r>
            </w:fldSimple>
          </w:p>
        </w:tc>
        <w:tc>
          <w:tcPr/>
          <w:p>
            <w:pPr>
              <w:pStyle w:val="Compact"/>
              <w:jc w:val="left"/>
            </w:pPr>
            <w:r>
              <w:t xml:space="preserve">是</w:t>
            </w:r>
          </w:p>
        </w:tc>
        <w:tc>
          <w:tcPr/>
          <w:p>
            <w:pPr>
              <w:pStyle w:val="Compact"/>
              <w:jc w:val="left"/>
            </w:pPr>
            <w:r>
              <w:t xml:space="preserve">早期优化模型</w:t>
            </w:r>
          </w:p>
        </w:tc>
      </w:tr>
      <w:tr>
        <w:tc>
          <w:tcPr/>
          <w:p>
            <w:pPr>
              <w:pStyle w:val="Compact"/>
              <w:jc w:val="left"/>
            </w:pPr>
            <w:r>
              <w:t xml:space="preserve">GQA</w:t>
            </w:r>
          </w:p>
        </w:tc>
        <w:tc>
          <w:tcPr/>
          <w:p>
            <w:pPr>
              <w:pStyle w:val="Compact"/>
              <w:jc w:val="left"/>
            </w:pPr>
            <w:r>
              <w:t xml:space="preserve">H/Gx（Llama 2 70B为8x）</w:t>
            </w:r>
            <w:fldSimple w:instr="NOTEREF _Ref_Footnote_118 \h \f">
              <w:r>
                <w:rPr>
                  <w:vertAlign w:val="superscript"/>
                </w:rPr>
                <w:t>118</w:t>
              </w:r>
            </w:fldSimple>
          </w:p>
        </w:tc>
        <w:tc>
          <w:tcPr/>
          <w:p>
            <w:pPr>
              <w:pStyle w:val="Compact"/>
              <w:jc w:val="left"/>
            </w:pPr>
            <w:r>
              <w:t xml:space="preserve">轻微下降（~2%）</w:t>
            </w:r>
            <w:r>
              <w:rPr>
                <w:vertAlign w:val="superscript"/>
              </w:rPr>
              <w:footnoteReference w:id="122"/>
            </w:r>
          </w:p>
        </w:tc>
        <w:tc>
          <w:tcPr/>
          <w:p>
            <w:pPr>
              <w:pStyle w:val="Compact"/>
              <w:jc w:val="left"/>
            </w:pPr>
            <w:r>
              <w:t xml:space="preserve">是</w:t>
            </w:r>
          </w:p>
        </w:tc>
        <w:tc>
          <w:tcPr/>
          <w:p>
            <w:pPr>
              <w:pStyle w:val="Compact"/>
              <w:jc w:val="left"/>
            </w:pPr>
            <w:r>
              <w:t xml:space="preserve">主流LLM（Llama, Mistral, Qwen）</w:t>
            </w:r>
            <w:r>
              <w:rPr>
                <w:vertAlign w:val="superscript"/>
              </w:rPr>
              <w:footnoteReference w:id="123"/>
            </w:r>
          </w:p>
        </w:tc>
      </w:tr>
      <w:tr>
        <w:tc>
          <w:tcPr/>
          <w:p>
            <w:pPr>
              <w:pStyle w:val="Compact"/>
              <w:jc w:val="left"/>
            </w:pPr>
            <w:r>
              <w:t xml:space="preserve">MLA</w:t>
            </w:r>
          </w:p>
        </w:tc>
        <w:tc>
          <w:tcPr/>
          <w:p>
            <w:pPr>
              <w:pStyle w:val="Compact"/>
              <w:jc w:val="left"/>
            </w:pPr>
            <w:r>
              <w:t xml:space="preserve">4-16x</w:t>
            </w:r>
            <w:r>
              <w:t xml:space="preserve"> </w:t>
            </w:r>
            <w:fldSimple w:instr="NOTEREF _Ref_Footnote_117 \h \f">
              <w:r>
                <w:rPr>
                  <w:vertAlign w:val="superscript"/>
                </w:rPr>
                <w:t>117</w:t>
              </w:r>
            </w:fldSimple>
          </w:p>
        </w:tc>
        <w:tc>
          <w:tcPr/>
          <w:p>
            <w:pPr>
              <w:pStyle w:val="Compact"/>
              <w:jc w:val="left"/>
            </w:pPr>
            <w:r>
              <w:t xml:space="preserve">几乎无损或微升（&lt;1%）</w:t>
            </w:r>
            <w:fldSimple w:instr="NOTEREF _Ref_Footnote_119 \h \f">
              <w:r>
                <w:rPr>
                  <w:vertAlign w:val="superscript"/>
                </w:rPr>
                <w:t>119</w:t>
              </w:r>
            </w:fldSimple>
          </w:p>
        </w:tc>
        <w:tc>
          <w:tcPr/>
          <w:p>
            <w:pPr>
              <w:pStyle w:val="Compact"/>
              <w:jc w:val="left"/>
            </w:pPr>
            <w:r>
              <w:t xml:space="preserve">是</w:t>
            </w:r>
          </w:p>
        </w:tc>
        <w:tc>
          <w:tcPr/>
          <w:p>
            <w:pPr>
              <w:pStyle w:val="Compact"/>
              <w:jc w:val="left"/>
            </w:pPr>
            <w:r>
              <w:t xml:space="preserve">DeepSeek-V2/V3及后续模型</w:t>
            </w:r>
          </w:p>
        </w:tc>
      </w:tr>
      <w:tr>
        <w:tc>
          <w:tcPr/>
          <w:p>
            <w:pPr>
              <w:pStyle w:val="Compact"/>
              <w:jc w:val="left"/>
            </w:pPr>
            <w:r>
              <w:t xml:space="preserve">RLKV</w:t>
            </w:r>
          </w:p>
        </w:tc>
        <w:tc>
          <w:tcPr/>
          <w:p>
            <w:pPr>
              <w:pStyle w:val="Compact"/>
              <w:jc w:val="left"/>
            </w:pPr>
            <w:r>
              <w:t xml:space="preserve">1.25-2x（20-50%缩减）</w:t>
            </w:r>
            <w:fldSimple w:instr="NOTEREF _Ref_Footnote_121 \h \f">
              <w:r>
                <w:rPr>
                  <w:vertAlign w:val="superscript"/>
                </w:rPr>
                <w:t>121</w:t>
              </w:r>
            </w:fldSimple>
          </w:p>
        </w:tc>
        <w:tc>
          <w:tcPr/>
          <w:p>
            <w:pPr>
              <w:pStyle w:val="Compact"/>
              <w:jc w:val="left"/>
            </w:pPr>
            <w:r>
              <w:t xml:space="preserve">几乎无损（部分任务超基线）</w:t>
            </w:r>
          </w:p>
        </w:tc>
        <w:tc>
          <w:tcPr/>
          <w:p>
            <w:pPr>
              <w:pStyle w:val="Compact"/>
              <w:jc w:val="left"/>
            </w:pPr>
            <w:r>
              <w:t xml:space="preserve">否（可插拔）</w:t>
            </w:r>
          </w:p>
        </w:tc>
        <w:tc>
          <w:tcPr/>
          <w:p>
            <w:pPr>
              <w:pStyle w:val="Compact"/>
              <w:jc w:val="left"/>
            </w:pPr>
            <w:r>
              <w:t xml:space="preserve">已有模型推理优化</w:t>
            </w:r>
          </w:p>
        </w:tc>
      </w:tr>
      <w:tr>
        <w:tc>
          <w:tcPr/>
          <w:p>
            <w:pPr>
              <w:pStyle w:val="Compact"/>
              <w:jc w:val="left"/>
            </w:pPr>
            <w:r>
              <w:t xml:space="preserve">FP8量化</w:t>
            </w:r>
          </w:p>
        </w:tc>
        <w:tc>
          <w:tcPr/>
          <w:p>
            <w:pPr>
              <w:pStyle w:val="Compact"/>
              <w:jc w:val="left"/>
            </w:pPr>
            <w:r>
              <w:t xml:space="preserve">2x</w:t>
            </w:r>
            <w:r>
              <w:t xml:space="preserve"> </w:t>
            </w:r>
            <w:r>
              <w:rPr>
                <w:vertAlign w:val="superscript"/>
              </w:rPr>
              <w:footnoteReference w:id="124"/>
            </w:r>
          </w:p>
        </w:tc>
        <w:tc>
          <w:tcPr/>
          <w:p>
            <w:pPr>
              <w:pStyle w:val="Compact"/>
              <w:jc w:val="left"/>
            </w:pPr>
            <w:r>
              <w:t xml:space="preserve">&lt;0.5%</w:t>
            </w:r>
            <w:r>
              <w:t xml:space="preserve"> </w:t>
            </w:r>
            <w:fldSimple w:instr="NOTEREF _Ref_Footnote_124 \h \f">
              <w:r>
                <w:rPr>
                  <w:vertAlign w:val="superscript"/>
                </w:rPr>
                <w:t>124</w:t>
              </w:r>
            </w:fldSimple>
          </w:p>
        </w:tc>
        <w:tc>
          <w:tcPr/>
          <w:p>
            <w:pPr>
              <w:pStyle w:val="Compact"/>
              <w:jc w:val="left"/>
            </w:pPr>
            <w:r>
              <w:t xml:space="preserve">否</w:t>
            </w:r>
          </w:p>
        </w:tc>
        <w:tc>
          <w:tcPr/>
          <w:p>
            <w:pPr>
              <w:pStyle w:val="Compact"/>
              <w:jc w:val="left"/>
            </w:pPr>
            <w:r>
              <w:t xml:space="preserve">vLLM支持的推理加速</w:t>
            </w:r>
          </w:p>
        </w:tc>
      </w:tr>
      <w:tr>
        <w:tc>
          <w:tcPr/>
          <w:p>
            <w:pPr>
              <w:pStyle w:val="Compact"/>
              <w:jc w:val="left"/>
            </w:pPr>
            <w:r>
              <w:t xml:space="preserve">INT8量化</w:t>
            </w:r>
          </w:p>
        </w:tc>
        <w:tc>
          <w:tcPr/>
          <w:p>
            <w:pPr>
              <w:pStyle w:val="Compact"/>
              <w:jc w:val="left"/>
            </w:pPr>
            <w:r>
              <w:t xml:space="preserve">4x</w:t>
            </w:r>
            <w:r>
              <w:t xml:space="preserve"> </w:t>
            </w:r>
            <w:r>
              <w:rPr>
                <w:vertAlign w:val="superscript"/>
              </w:rPr>
              <w:footnoteReference w:id="125"/>
            </w:r>
          </w:p>
        </w:tc>
        <w:tc>
          <w:tcPr/>
          <w:p>
            <w:pPr>
              <w:pStyle w:val="Compact"/>
              <w:jc w:val="left"/>
            </w:pPr>
            <w:r>
              <w:t xml:space="preserve">&lt;1%（重建误差&lt;0.004）</w:t>
            </w:r>
            <w:fldSimple w:instr="NOTEREF _Ref_Footnote_125 \h \f">
              <w:r>
                <w:rPr>
                  <w:vertAlign w:val="superscript"/>
                </w:rPr>
                <w:t>125</w:t>
              </w:r>
            </w:fldSimple>
          </w:p>
        </w:tc>
        <w:tc>
          <w:tcPr/>
          <w:p>
            <w:pPr>
              <w:pStyle w:val="Compact"/>
              <w:jc w:val="left"/>
            </w:pPr>
            <w:r>
              <w:t xml:space="preserve">否</w:t>
            </w:r>
          </w:p>
        </w:tc>
        <w:tc>
          <w:tcPr/>
          <w:p>
            <w:pPr>
              <w:pStyle w:val="Compact"/>
              <w:jc w:val="left"/>
            </w:pPr>
            <w:r>
              <w:t xml:space="preserve">GPU加速KV压缩</w:t>
            </w:r>
          </w:p>
        </w:tc>
      </w:tr>
    </w:tbl>
    <w:p>
      <w:pPr>
        <w:pStyle w:val="BodyText"/>
      </w:pPr>
      <w:r>
        <w:t xml:space="preserve">上表展示了KV Cache优化的三条技术路径。</w:t>
      </w:r>
      <w:r>
        <w:rPr>
          <w:bCs/>
          <w:b/>
        </w:rPr>
        <w:t xml:space="preserve">架构层面</w:t>
      </w:r>
      <w:r>
        <w:t xml:space="preserve">的MLA和GQA通过模型设计减少缓存需求，其中MLA以近乎无损的质量实现了最大压缩比，但实现复杂度高且需要从头训练。</w:t>
      </w:r>
      <w:r>
        <w:rPr>
          <w:bCs/>
          <w:b/>
        </w:rPr>
        <w:t xml:space="preserve">系统层面</w:t>
      </w:r>
      <w:r>
        <w:t xml:space="preserve">的量化方法（FP8/INT8）无需修改模型架构即可部署，适合已有模型的快速优化。</w:t>
      </w:r>
      <w:r>
        <w:rPr>
          <w:bCs/>
          <w:b/>
        </w:rPr>
        <w:t xml:space="preserve">算法层面</w:t>
      </w:r>
      <w:r>
        <w:t xml:space="preserve">的RLKV最为灵活——作为可插拔模块，无需预训练即可应用于任何已有模型，且在某些任务上压缩后性能反而提升，揭示了注意力头之间存在显著冗余。值得注意的是，这些方法并非互斥：MLA+FP8量化可实现8-32倍的组合压缩，为超长上下文推理提供了可行的内存方案。</w:t>
      </w:r>
    </w:p>
    <w:p>
      <w:pPr>
        <w:pStyle w:val="CaptionedFigure"/>
      </w:pPr>
      <w:r>
        <w:drawing>
          <wp:inline>
            <wp:extent cx="5334000" cy="2921214"/>
            <wp:effectExtent b="0" l="0" r="0" t="0"/>
            <wp:docPr descr="KV Cache压缩与质量权衡" title="" id="125" name="Picture"/>
            <a:graphic>
              <a:graphicData uri="http://schemas.openxmlformats.org/drawingml/2006/picture">
                <pic:pic>
                  <pic:nvPicPr>
                    <pic:cNvPr descr="fig_kv_cache_tradeoff.png" id="126" name="Picture"/>
                    <pic:cNvPicPr>
                      <a:picLocks noChangeArrowheads="1" noChangeAspect="1"/>
                    </pic:cNvPicPr>
                  </pic:nvPicPr>
                  <pic:blipFill>
                    <a:blip r:embed="rId124"/>
                    <a:stretch>
                      <a:fillRect/>
                    </a:stretch>
                  </pic:blipFill>
                  <pic:spPr bwMode="auto">
                    <a:xfrm>
                      <a:off x="0" y="0"/>
                      <a:ext cx="5334000" cy="2921214"/>
                    </a:xfrm>
                    <a:prstGeom prst="rect">
                      <a:avLst/>
                    </a:prstGeom>
                    <a:noFill/>
                    <a:ln w="9525">
                      <a:noFill/>
                      <a:headEnd/>
                      <a:tailEnd/>
                    </a:ln>
                  </pic:spPr>
                </pic:pic>
              </a:graphicData>
            </a:graphic>
          </wp:inline>
        </w:drawing>
      </w:r>
    </w:p>
    <w:p>
      <w:pPr>
        <w:pStyle w:val="ImageCaption"/>
      </w:pPr>
      <w:r>
        <w:t xml:space="preserve">KV Cache压缩与质量权衡</w:t>
      </w:r>
    </w:p>
    <w:bookmarkEnd w:id="127"/>
    <w:bookmarkEnd w:id="128"/>
    <w:bookmarkStart w:id="135" w:name="高效训练与小模型rl"/>
    <w:p>
      <w:pPr>
        <w:pStyle w:val="Heading3"/>
      </w:pPr>
      <w:r>
        <w:t xml:space="preserve">6.3 高效训练与小模型RL</w:t>
      </w:r>
    </w:p>
    <w:bookmarkStart w:id="129" w:name="低成本训练方案从数千美元到数十美元"/>
    <w:p>
      <w:pPr>
        <w:pStyle w:val="Heading4"/>
      </w:pPr>
      <w:r>
        <w:t xml:space="preserve">6.3.1 低成本训练方案：从数千美元到数十美元</w:t>
      </w:r>
    </w:p>
    <w:p>
      <w:pPr>
        <w:pStyle w:val="FirstParagraph"/>
      </w:pPr>
      <w:r>
        <w:t xml:space="preserve">2025年小模型RL训练的门槛被大幅压低。TinyZero在单GPU上仅用不到$30成本，以纯PPO训练Qwen-2.5-1.5B模型200-400步，在Countdown算术任务上成功复现了DeepSeek R1-Zero的涌现推理行为（自我验证、回溯纠正、</w:t>
      </w:r>
      <w:r>
        <w:t xml:space="preserve">“</w:t>
      </w:r>
      <w:r>
        <w:t xml:space="preserve">aha moment</w:t>
      </w:r>
      <w:r>
        <w:t xml:space="preserve">”</w:t>
      </w:r>
      <w:r>
        <w:t xml:space="preserve">等）。Open-RS则将成本控制在$42（4x A40 GPU，24小时），使用GRPO算法与余弦奖励函数，在7{,}000个样本上使1.5B模型的AIME24分数达到46.7%，超越o1-preview（44.6%）</w:t>
      </w:r>
      <w:fldSimple w:instr="NOTEREF _Ref_Footnote_121 \h \f">
        <w:r>
          <w:rPr>
            <w:vertAlign w:val="superscript"/>
          </w:rPr>
          <w:t>121</w:t>
        </w:r>
      </w:fldSimple>
      <w:r>
        <w:t xml:space="preserve">。这两个方案的共性在于：均采用蒸馏后的小模型作为起点，使用极简单的奖励函数（答案正确性），并通过LoRA等参数高效方法控制计算成本。</w:t>
      </w:r>
    </w:p>
    <w:bookmarkEnd w:id="129"/>
    <w:bookmarkStart w:id="130" w:name="量化训练qerl的nvfp4lora突破"/>
    <w:p>
      <w:pPr>
        <w:pStyle w:val="Heading4"/>
      </w:pPr>
      <w:r>
        <w:t xml:space="preserve">6.3.2 量化训练：QeRL的NVFP4+LoRA突破</w:t>
      </w:r>
    </w:p>
    <w:p>
      <w:pPr>
        <w:pStyle w:val="FirstParagraph"/>
      </w:pPr>
      <w:r>
        <w:t xml:space="preserve">QeRL框架代表了量化RL训练的最前沿。该系统由NVIDIA、MIT、HKU和清华大学合作开发，首次将NVFP4（4-bit浮点）量化与LoRA结合用于RL训练</w:t>
      </w:r>
      <w:r>
        <w:t xml:space="preserve"> </w:t>
      </w:r>
      <w:r>
        <w:rPr>
          <w:vertAlign w:val="superscript"/>
        </w:rPr>
        <w:footnoteReference w:id="126"/>
      </w:r>
      <w:r>
        <w:t xml:space="preserve">。NVFP4采用微缩放（microscaling，16元素块）与E2M1元素格式，在Blackwell GPU上实现3倍于FP8的峰值吞吐量。QeRL通过基于Marlin的FP4 kernel加速rollout阶段（占训练时间约70%），并引入自适应量化噪声（Adaptive Quantization Noise, AQN）机制动态调整噪声水平——一个反直觉的发现是，确定性FP4量化增加了策略熵、平坦了训练早期的token分布，从而增强了探索能力</w:t>
      </w:r>
      <w:r>
        <w:t xml:space="preserve"> </w:t>
      </w:r>
      <w:fldSimple w:instr="NOTEREF _Ref_Footnote_126 \h \f">
        <w:r>
          <w:rPr>
            <w:vertAlign w:val="superscript"/>
          </w:rPr>
          <w:t>126</w:t>
        </w:r>
      </w:fldSimple>
      <w:r>
        <w:t xml:space="preserve">。性能方面，QeRL在7B模型上达到GSM8K 90.8%、MATH-500 77.4%，精度超越16-bit LoRA，同时内存占用仅为全参数训练的25-30%。更为关键的是，QeRL首次在单张H100 80GB GPU上实现了32B模型的GRPO训练</w:t>
      </w:r>
      <w:r>
        <w:t xml:space="preserve"> </w:t>
      </w:r>
      <w:fldSimple w:instr="NOTEREF _Ref_Footnote_126 \h \f">
        <w:r>
          <w:rPr>
            <w:vertAlign w:val="superscript"/>
          </w:rPr>
          <w:t>126</w:t>
        </w:r>
      </w:fldSimple>
      <w:r>
        <w:t xml:space="preserve">，将RL训练的硬件门槛推向新低。</w:t>
      </w:r>
    </w:p>
    <w:bookmarkEnd w:id="130"/>
    <w:bookmarkStart w:id="134" w:name="loraqlora在rl中的应用与限制"/>
    <w:p>
      <w:pPr>
        <w:pStyle w:val="Heading4"/>
      </w:pPr>
      <w:r>
        <w:t xml:space="preserve">6.3.3 LoRA/QLoRA在RL中的应用与限制</w:t>
      </w:r>
    </w:p>
    <w:p>
      <w:pPr>
        <w:pStyle w:val="FirstParagraph"/>
      </w:pPr>
      <w:r>
        <w:t xml:space="preserve">LoRA（Low-Rank Adaptation）通过冻结预训练权重并注入可训练的低秩矩阵（秩r通常为16-128），将可训练参数减少至约0.1%-1%，QLoRA进一步将基模型量化为4-bit（NF4格式），使7B模型可在消费级GPU上微调</w:t>
      </w:r>
      <w:r>
        <w:t xml:space="preserve"> </w:t>
      </w:r>
      <w:fldSimple w:instr="NOTEREF _Ref_Footnote_121 \h \f">
        <w:r>
          <w:rPr>
            <w:vertAlign w:val="superscript"/>
          </w:rPr>
          <w:t>121</w:t>
        </w:r>
      </w:fldSimple>
      <w:r>
        <w:t xml:space="preserve">。在RL场景中，LoRA适配器通常应用于注意力层（q_proj, v_proj），配合FSDP（Fully Sharded Data Parallel）可在8xGPU配置下将每GPU内存需求降至约1.89GB。然而，QLoRA在RL中存在rollout生成速度的瓶颈——NF4格式解码速度约为BF16的0.7-0.8倍，这一限制被QeRL的NVFP4方案解决。此外，LoRA在RL中的表达能力存在理论上限：当RL训练需要大幅偏离预训练分布时，低秩更新的约束可能导致次优策略收敛。实践中，FastCuRL等方案使用rank=32、alpha=64的LoRA配置，在1.5B模型上取得了超越全参数微调的效果，表明对于小模型推理RL任务，LoRA的表达能力通常足够。</w:t>
      </w:r>
    </w:p>
    <w:p>
      <w:pPr>
        <w:pStyle w:val="BodyText"/>
      </w:pPr>
      <w:r>
        <w:rPr>
          <w:bCs/>
          <w:b/>
        </w:rPr>
        <w:t xml:space="preserve">表3：高效训练方案综合对比</w:t>
      </w:r>
    </w:p>
    <w:tbl>
      <w:tblPr>
        <w:tblStyle w:val="Table"/>
        <w:tblW w:type="pct" w:w="5000"/>
        <w:tblLook w:firstRow="1" w:lastRow="0" w:firstColumn="0" w:lastColumn="0" w:noHBand="0" w:noVBand="0" w:val="0020"/>
      </w:tblPr>
      <w:tblGrid>
        <w:gridCol w:w="833"/>
        <w:gridCol w:w="1389"/>
        <w:gridCol w:w="1389"/>
        <w:gridCol w:w="1389"/>
        <w:gridCol w:w="1389"/>
        <w:gridCol w:w="1528"/>
      </w:tblGrid>
      <w:tr>
        <w:trPr>
          <w:tblHeader w:val="true"/>
        </w:trPr>
        <w:tc>
          <w:tcPr/>
          <w:p>
            <w:pPr>
              <w:pStyle w:val="Compact"/>
              <w:jc w:val="left"/>
            </w:pPr>
            <w:r>
              <w:t xml:space="preserve">方案</w:t>
            </w:r>
          </w:p>
        </w:tc>
        <w:tc>
          <w:tcPr/>
          <w:p>
            <w:pPr>
              <w:pStyle w:val="Compact"/>
              <w:jc w:val="left"/>
            </w:pPr>
            <w:r>
              <w:t xml:space="preserve">模型大小</w:t>
            </w:r>
          </w:p>
        </w:tc>
        <w:tc>
          <w:tcPr/>
          <w:p>
            <w:pPr>
              <w:pStyle w:val="Compact"/>
              <w:jc w:val="left"/>
            </w:pPr>
            <w:r>
              <w:t xml:space="preserve">训练成本</w:t>
            </w:r>
          </w:p>
        </w:tc>
        <w:tc>
          <w:tcPr/>
          <w:p>
            <w:pPr>
              <w:pStyle w:val="Compact"/>
              <w:jc w:val="left"/>
            </w:pPr>
            <w:r>
              <w:t xml:space="preserve">训练时间</w:t>
            </w:r>
          </w:p>
        </w:tc>
        <w:tc>
          <w:tcPr/>
          <w:p>
            <w:pPr>
              <w:pStyle w:val="Compact"/>
              <w:jc w:val="left"/>
            </w:pPr>
            <w:r>
              <w:t xml:space="preserve">硬件配置</w:t>
            </w:r>
          </w:p>
        </w:tc>
        <w:tc>
          <w:tcPr/>
          <w:p>
            <w:pPr>
              <w:pStyle w:val="Compact"/>
              <w:jc w:val="left"/>
            </w:pPr>
            <w:r>
              <w:t xml:space="preserve">AIME24结果</w:t>
            </w:r>
          </w:p>
        </w:tc>
      </w:tr>
      <w:tr>
        <w:tc>
          <w:tcPr/>
          <w:p>
            <w:pPr>
              <w:pStyle w:val="Compact"/>
              <w:jc w:val="left"/>
            </w:pPr>
            <w:r>
              <w:t xml:space="preserve">TinyZero</w:t>
            </w:r>
          </w:p>
        </w:tc>
        <w:tc>
          <w:tcPr/>
          <w:p>
            <w:pPr>
              <w:pStyle w:val="Compact"/>
              <w:jc w:val="left"/>
            </w:pPr>
            <w:r>
              <w:t xml:space="preserve">1.5B</w:t>
            </w:r>
          </w:p>
        </w:tc>
        <w:tc>
          <w:tcPr/>
          <w:p>
            <w:pPr>
              <w:pStyle w:val="Compact"/>
              <w:jc w:val="left"/>
            </w:pPr>
            <w:r>
              <w:t xml:space="preserve">&lt;$30</w:t>
            </w:r>
            <w:r>
              <w:t xml:space="preserve"> </w:t>
            </w:r>
            <w:fldSimple w:instr="NOTEREF _Ref_Footnote_121 \h \f">
              <w:r>
                <w:rPr>
                  <w:vertAlign w:val="superscript"/>
                </w:rPr>
                <w:t>121</w:t>
              </w:r>
            </w:fldSimple>
          </w:p>
        </w:tc>
        <w:tc>
          <w:tcPr/>
          <w:p>
            <w:pPr>
              <w:pStyle w:val="Compact"/>
              <w:jc w:val="left"/>
            </w:pPr>
            <w:r>
              <w:t xml:space="preserve">~2-4小时</w:t>
            </w:r>
          </w:p>
        </w:tc>
        <w:tc>
          <w:tcPr/>
          <w:p>
            <w:pPr>
              <w:pStyle w:val="Compact"/>
              <w:jc w:val="left"/>
            </w:pPr>
            <w:r>
              <w:t xml:space="preserve">单GPU（A100/RTX 4090）</w:t>
            </w:r>
          </w:p>
        </w:tc>
        <w:tc>
          <w:tcPr/>
          <w:p>
            <w:pPr>
              <w:pStyle w:val="Compact"/>
              <w:jc w:val="left"/>
            </w:pPr>
            <w:r>
              <w:t xml:space="preserve">N/A（Countdown任务）</w:t>
            </w:r>
          </w:p>
        </w:tc>
      </w:tr>
      <w:tr>
        <w:tc>
          <w:tcPr/>
          <w:p>
            <w:pPr>
              <w:pStyle w:val="Compact"/>
              <w:jc w:val="left"/>
            </w:pPr>
            <w:r>
              <w:t xml:space="preserve">Open-RS</w:t>
            </w:r>
          </w:p>
        </w:tc>
        <w:tc>
          <w:tcPr/>
          <w:p>
            <w:pPr>
              <w:pStyle w:val="Compact"/>
              <w:jc w:val="left"/>
            </w:pPr>
            <w:r>
              <w:t xml:space="preserve">1.5B</w:t>
            </w:r>
          </w:p>
        </w:tc>
        <w:tc>
          <w:tcPr/>
          <w:p>
            <w:pPr>
              <w:pStyle w:val="Compact"/>
              <w:jc w:val="left"/>
            </w:pPr>
            <w:r>
              <w:t xml:space="preserve">$42</w:t>
            </w:r>
            <w:r>
              <w:t xml:space="preserve"> </w:t>
            </w:r>
            <w:fldSimple w:instr="NOTEREF _Ref_Footnote_121 \h \f">
              <w:r>
                <w:rPr>
                  <w:vertAlign w:val="superscript"/>
                </w:rPr>
                <w:t>121</w:t>
              </w:r>
            </w:fldSimple>
          </w:p>
        </w:tc>
        <w:tc>
          <w:tcPr/>
          <w:p>
            <w:pPr>
              <w:pStyle w:val="Compact"/>
              <w:jc w:val="left"/>
            </w:pPr>
            <w:r>
              <w:t xml:space="preserve">24小时</w:t>
            </w:r>
          </w:p>
        </w:tc>
        <w:tc>
          <w:tcPr/>
          <w:p>
            <w:pPr>
              <w:pStyle w:val="Compact"/>
              <w:jc w:val="left"/>
            </w:pPr>
            <w:r>
              <w:t xml:space="preserve">4x A40（48GB）</w:t>
            </w:r>
          </w:p>
        </w:tc>
        <w:tc>
          <w:tcPr/>
          <w:p>
            <w:pPr>
              <w:pStyle w:val="Compact"/>
              <w:jc w:val="left"/>
            </w:pPr>
            <w:r>
              <w:t xml:space="preserve">46.7%</w:t>
            </w:r>
            <w:r>
              <w:t xml:space="preserve"> </w:t>
            </w:r>
            <w:fldSimple w:instr="NOTEREF _Ref_Footnote_121 \h \f">
              <w:r>
                <w:rPr>
                  <w:vertAlign w:val="superscript"/>
                </w:rPr>
                <w:t>121</w:t>
              </w:r>
            </w:fldSimple>
          </w:p>
        </w:tc>
      </w:tr>
      <w:tr>
        <w:tc>
          <w:tcPr/>
          <w:p>
            <w:pPr>
              <w:pStyle w:val="Compact"/>
              <w:jc w:val="left"/>
            </w:pPr>
            <w:r>
              <w:t xml:space="preserve">FastCuRL</w:t>
            </w:r>
          </w:p>
        </w:tc>
        <w:tc>
          <w:tcPr/>
          <w:p>
            <w:pPr>
              <w:pStyle w:val="Compact"/>
              <w:jc w:val="left"/>
            </w:pPr>
            <w:r>
              <w:t xml:space="preserve">1.5B</w:t>
            </w:r>
          </w:p>
        </w:tc>
        <w:tc>
          <w:tcPr/>
          <w:p>
            <w:pPr>
              <w:pStyle w:val="Compact"/>
              <w:jc w:val="left"/>
            </w:pPr>
            <w:r>
              <w:t xml:space="preserve">~$1{,}800</w:t>
            </w:r>
          </w:p>
        </w:tc>
        <w:tc>
          <w:tcPr/>
          <w:p>
            <w:pPr>
              <w:pStyle w:val="Compact"/>
              <w:jc w:val="left"/>
            </w:pPr>
            <w:r>
              <w:t xml:space="preserve">~120小时</w:t>
            </w:r>
          </w:p>
        </w:tc>
        <w:tc>
          <w:tcPr/>
          <w:p>
            <w:pPr>
              <w:pStyle w:val="Compact"/>
              <w:jc w:val="left"/>
            </w:pPr>
            <w:r>
              <w:t xml:space="preserve">单节点8 GPU</w:t>
            </w:r>
          </w:p>
        </w:tc>
        <w:tc>
          <w:tcPr/>
          <w:p>
            <w:pPr>
              <w:pStyle w:val="Compact"/>
              <w:jc w:val="left"/>
            </w:pPr>
            <w:r>
              <w:t xml:space="preserve">49.6%</w:t>
            </w:r>
          </w:p>
        </w:tc>
      </w:tr>
      <w:tr>
        <w:tc>
          <w:tcPr/>
          <w:p>
            <w:pPr>
              <w:pStyle w:val="Compact"/>
              <w:jc w:val="left"/>
            </w:pPr>
            <w:r>
              <w:t xml:space="preserve">DeepScaleR</w:t>
            </w:r>
          </w:p>
        </w:tc>
        <w:tc>
          <w:tcPr/>
          <w:p>
            <w:pPr>
              <w:pStyle w:val="Compact"/>
              <w:jc w:val="left"/>
            </w:pPr>
            <w:r>
              <w:t xml:space="preserve">1.5B</w:t>
            </w:r>
          </w:p>
        </w:tc>
        <w:tc>
          <w:tcPr/>
          <w:p>
            <w:pPr>
              <w:pStyle w:val="Compact"/>
              <w:jc w:val="left"/>
            </w:pPr>
            <w:r>
              <w:t xml:space="preserve">~$3{,}629</w:t>
            </w:r>
          </w:p>
        </w:tc>
        <w:tc>
          <w:tcPr/>
          <w:p>
            <w:pPr>
              <w:pStyle w:val="Compact"/>
              <w:jc w:val="left"/>
            </w:pPr>
            <w:r>
              <w:t xml:space="preserve">240小时</w:t>
            </w:r>
          </w:p>
        </w:tc>
        <w:tc>
          <w:tcPr/>
          <w:p>
            <w:pPr>
              <w:pStyle w:val="Compact"/>
              <w:jc w:val="left"/>
            </w:pPr>
            <w:r>
              <w:t xml:space="preserve">8→32x A100 80GB</w:t>
            </w:r>
          </w:p>
        </w:tc>
        <w:tc>
          <w:tcPr/>
          <w:p>
            <w:pPr>
              <w:pStyle w:val="Compact"/>
              <w:jc w:val="left"/>
            </w:pPr>
            <w:r>
              <w:t xml:space="preserve">43.1%</w:t>
            </w:r>
            <w:r>
              <w:t xml:space="preserve"> </w:t>
            </w:r>
            <w:fldSimple w:instr="NOTEREF _Ref_Footnote_121 \h \f">
              <w:r>
                <w:rPr>
                  <w:vertAlign w:val="superscript"/>
                </w:rPr>
                <w:t>121</w:t>
              </w:r>
            </w:fldSimple>
          </w:p>
        </w:tc>
      </w:tr>
      <w:tr>
        <w:tc>
          <w:tcPr/>
          <w:p>
            <w:pPr>
              <w:pStyle w:val="Compact"/>
              <w:jc w:val="left"/>
            </w:pPr>
            <w:r>
              <w:t xml:space="preserve">QeRL（7B）</w:t>
            </w:r>
          </w:p>
        </w:tc>
        <w:tc>
          <w:tcPr/>
          <w:p>
            <w:pPr>
              <w:pStyle w:val="Compact"/>
              <w:jc w:val="left"/>
            </w:pPr>
            <w:r>
              <w:t xml:space="preserve">7B</w:t>
            </w:r>
          </w:p>
        </w:tc>
        <w:tc>
          <w:tcPr/>
          <w:p>
            <w:pPr>
              <w:pStyle w:val="Compact"/>
              <w:jc w:val="left"/>
            </w:pPr>
            <w:r>
              <w:t xml:space="preserve">低</w:t>
            </w:r>
          </w:p>
        </w:tc>
        <w:tc>
          <w:tcPr/>
          <w:p>
            <w:pPr>
              <w:pStyle w:val="Compact"/>
              <w:jc w:val="left"/>
            </w:pPr>
            <w:r>
              <w:t xml:space="preserve">—</w:t>
            </w:r>
          </w:p>
        </w:tc>
        <w:tc>
          <w:tcPr/>
          <w:p>
            <w:pPr>
              <w:pStyle w:val="Compact"/>
              <w:jc w:val="left"/>
            </w:pPr>
            <w:r>
              <w:t xml:space="preserve">单H100（速度测试）</w:t>
            </w:r>
          </w:p>
        </w:tc>
        <w:tc>
          <w:tcPr/>
          <w:p>
            <w:pPr>
              <w:pStyle w:val="Compact"/>
              <w:jc w:val="left"/>
            </w:pPr>
            <w:r>
              <w:t xml:space="preserve">MATH 77.4%</w:t>
            </w:r>
            <w:r>
              <w:t xml:space="preserve"> </w:t>
            </w:r>
            <w:fldSimple w:instr="NOTEREF _Ref_Footnote_126 \h \f">
              <w:r>
                <w:rPr>
                  <w:vertAlign w:val="superscript"/>
                </w:rPr>
                <w:t>126</w:t>
              </w:r>
            </w:fldSimple>
          </w:p>
        </w:tc>
      </w:tr>
      <w:tr>
        <w:tc>
          <w:tcPr/>
          <w:p>
            <w:pPr>
              <w:pStyle w:val="Compact"/>
              <w:jc w:val="left"/>
            </w:pPr>
            <w:r>
              <w:t xml:space="preserve">QeRL（32B）</w:t>
            </w:r>
          </w:p>
        </w:tc>
        <w:tc>
          <w:tcPr/>
          <w:p>
            <w:pPr>
              <w:pStyle w:val="Compact"/>
              <w:jc w:val="left"/>
            </w:pPr>
            <w:r>
              <w:t xml:space="preserve">32B</w:t>
            </w:r>
          </w:p>
        </w:tc>
        <w:tc>
          <w:tcPr/>
          <w:p>
            <w:pPr>
              <w:pStyle w:val="Compact"/>
              <w:jc w:val="left"/>
            </w:pPr>
            <w:r>
              <w:t xml:space="preserve">低</w:t>
            </w:r>
          </w:p>
        </w:tc>
        <w:tc>
          <w:tcPr/>
          <w:p>
            <w:pPr>
              <w:pStyle w:val="Compact"/>
              <w:jc w:val="left"/>
            </w:pPr>
            <w:r>
              <w:t xml:space="preserve">—</w:t>
            </w:r>
          </w:p>
        </w:tc>
        <w:tc>
          <w:tcPr/>
          <w:p>
            <w:pPr>
              <w:pStyle w:val="Compact"/>
              <w:jc w:val="left"/>
            </w:pPr>
            <w:r>
              <w:t xml:space="preserve">单H100 80GB</w:t>
            </w:r>
          </w:p>
        </w:tc>
        <w:tc>
          <w:tcPr/>
          <w:p>
            <w:pPr>
              <w:pStyle w:val="Compact"/>
              <w:jc w:val="left"/>
            </w:pPr>
            <w:r>
              <w:t xml:space="preserve">BigMath ~35%</w:t>
            </w:r>
            <w:r>
              <w:t xml:space="preserve"> </w:t>
            </w:r>
            <w:fldSimple w:instr="NOTEREF _Ref_Footnote_126 \h \f">
              <w:r>
                <w:rPr>
                  <w:vertAlign w:val="superscript"/>
                </w:rPr>
                <w:t>126</w:t>
              </w:r>
            </w:fldSimple>
          </w:p>
        </w:tc>
      </w:tr>
      <w:tr>
        <w:tc>
          <w:tcPr/>
          <w:p>
            <w:pPr>
              <w:pStyle w:val="Compact"/>
              <w:jc w:val="left"/>
            </w:pPr>
            <w:r>
              <w:t xml:space="preserve">R1-Distill（基线）</w:t>
            </w:r>
          </w:p>
        </w:tc>
        <w:tc>
          <w:tcPr/>
          <w:p>
            <w:pPr>
              <w:pStyle w:val="Compact"/>
              <w:jc w:val="left"/>
            </w:pPr>
            <w:r>
              <w:t xml:space="preserve">1.5B</w:t>
            </w:r>
          </w:p>
        </w:tc>
        <w:tc>
          <w:tcPr/>
          <w:p>
            <w:pPr>
              <w:pStyle w:val="Compact"/>
              <w:jc w:val="left"/>
            </w:pPr>
            <w:r>
              <w:t xml:space="preserve">高</w:t>
            </w:r>
          </w:p>
        </w:tc>
        <w:tc>
          <w:tcPr/>
          <w:p>
            <w:pPr>
              <w:pStyle w:val="Compact"/>
              <w:jc w:val="left"/>
            </w:pPr>
            <w:r>
              <w:t xml:space="preserve">—</w:t>
            </w:r>
          </w:p>
        </w:tc>
        <w:tc>
          <w:tcPr/>
          <w:p>
            <w:pPr>
              <w:pStyle w:val="Compact"/>
              <w:jc w:val="left"/>
            </w:pPr>
            <w:r>
              <w:t xml:space="preserve">集群</w:t>
            </w:r>
          </w:p>
        </w:tc>
        <w:tc>
          <w:tcPr/>
          <w:p>
            <w:pPr>
              <w:pStyle w:val="Compact"/>
              <w:jc w:val="left"/>
            </w:pPr>
            <w:r>
              <w:t xml:space="preserve">~28%</w:t>
            </w:r>
          </w:p>
        </w:tc>
      </w:tr>
    </w:tbl>
    <w:p>
      <w:pPr>
        <w:pStyle w:val="BodyText"/>
      </w:pPr>
      <w:r>
        <w:t xml:space="preserve">上表清晰展示了小模型RL训练的”效率前沿”。Open-RS以$42成本达到46.7%的AIME24分数，性价比显著优于成本约87倍的DeepScaleR（43.1%），其关键差异在于Open-RS采用了更精细的余弦奖励函数与课程式训练策略。FastCuRL进一步优化至49.6%且训练步骤减少50%以上，表明课程学习是提升数据效率的关键杠杆。QeRL则在量化训练维度开辟了新空间——32B模型单卡训练此前被认为不可行，NVFP4+LoRA的组合将这一门槛彻底消除。</w:t>
      </w:r>
    </w:p>
    <w:p>
      <w:pPr>
        <w:pStyle w:val="CaptionedFigure"/>
      </w:pPr>
      <w:r>
        <w:drawing>
          <wp:inline>
            <wp:extent cx="5334000" cy="2804325"/>
            <wp:effectExtent b="0" l="0" r="0" t="0"/>
            <wp:docPr descr="小模型RL训练成本与性能对比" title="" id="132" name="Picture"/>
            <a:graphic>
              <a:graphicData uri="http://schemas.openxmlformats.org/drawingml/2006/picture">
                <pic:pic>
                  <pic:nvPicPr>
                    <pic:cNvPr descr="fig_cost_performance.png" id="133" name="Picture"/>
                    <pic:cNvPicPr>
                      <a:picLocks noChangeArrowheads="1" noChangeAspect="1"/>
                    </pic:cNvPicPr>
                  </pic:nvPicPr>
                  <pic:blipFill>
                    <a:blip r:embed="rId131"/>
                    <a:stretch>
                      <a:fillRect/>
                    </a:stretch>
                  </pic:blipFill>
                  <pic:spPr bwMode="auto">
                    <a:xfrm>
                      <a:off x="0" y="0"/>
                      <a:ext cx="5334000" cy="2804325"/>
                    </a:xfrm>
                    <a:prstGeom prst="rect">
                      <a:avLst/>
                    </a:prstGeom>
                    <a:noFill/>
                    <a:ln w="9525">
                      <a:noFill/>
                      <a:headEnd/>
                      <a:tailEnd/>
                    </a:ln>
                  </pic:spPr>
                </pic:pic>
              </a:graphicData>
            </a:graphic>
          </wp:inline>
        </w:drawing>
      </w:r>
    </w:p>
    <w:p>
      <w:pPr>
        <w:pStyle w:val="ImageCaption"/>
      </w:pPr>
      <w:r>
        <w:t xml:space="preserve">小模型RL训练成本与性能对比</w:t>
      </w:r>
    </w:p>
    <w:bookmarkEnd w:id="134"/>
    <w:bookmarkEnd w:id="135"/>
    <w:bookmarkStart w:id="139" w:name="课程学习与数据筛选"/>
    <w:p>
      <w:pPr>
        <w:pStyle w:val="Heading3"/>
      </w:pPr>
      <w:r>
        <w:t xml:space="preserve">6.4 课程学习与数据筛选</w:t>
      </w:r>
    </w:p>
    <w:bookmarkStart w:id="136" w:name="fastcurl阶段式上下文缩放的高效训练"/>
    <w:p>
      <w:pPr>
        <w:pStyle w:val="Heading4"/>
      </w:pPr>
      <w:r>
        <w:t xml:space="preserve">6.4.1 FastCuRL：阶段式上下文缩放的高效训练</w:t>
      </w:r>
    </w:p>
    <w:p>
      <w:pPr>
        <w:pStyle w:val="FirstParagraph"/>
      </w:pPr>
      <w:r>
        <w:t xml:space="preserve">FastCuRL的动机来自对DeepScaleR训练日志的深入观察：在8K上下文阶段约42%的模型输出被截断，降低训练效率；而在24K阶段模型出现熵崩溃（entropy collapse），探索能力下降并导致过早收敛。FastCuRL提出交替压缩-扩展循环，配合阶段式上下文缩放（8K→16K→24K），同时控制上下文长度和数据复杂度</w:t>
      </w:r>
      <w:r>
        <w:t xml:space="preserve"> </w:t>
      </w:r>
      <w:fldSimple w:instr="NOTEREF _Ref_Footnote_121 \h \f">
        <w:r>
          <w:rPr>
            <w:vertAlign w:val="superscript"/>
          </w:rPr>
          <w:t>121</w:t>
        </w:r>
      </w:fldSimple>
      <w:r>
        <w:t xml:space="preserve">。该方案使用单节点8 GPU和GRPO+LoRA（rank=32, alpha=64），训练步骤仅为DeepScaleR的50%左右，却在AIME 2024（49.6%）、AMC 2023、MATH-500、Minerva Math、OlympiadBench等5个竞赛级基准上全面超越DeepScaleR</w:t>
      </w:r>
      <w:r>
        <w:t xml:space="preserve"> </w:t>
      </w:r>
      <w:fldSimple w:instr="NOTEREF _Ref_Footnote_121 \h \f">
        <w:r>
          <w:rPr>
            <w:vertAlign w:val="superscript"/>
          </w:rPr>
          <w:t>121</w:t>
        </w:r>
      </w:fldSimple>
      <w:r>
        <w:t xml:space="preserve">。FastCuRL的关键洞见在于：长度感知分割与渐进窗口扩展缺一不可，移除任一组件都会使增益减半。</w:t>
      </w:r>
    </w:p>
    <w:bookmarkEnd w:id="136"/>
    <w:bookmarkStart w:id="137" w:name="limr数据规模并非决定性因素"/>
    <w:p>
      <w:pPr>
        <w:pStyle w:val="Heading4"/>
      </w:pPr>
      <w:r>
        <w:t xml:space="preserve">6.4.2 LIMR：数据规模并非决定性因素</w:t>
      </w:r>
    </w:p>
    <w:p>
      <w:pPr>
        <w:pStyle w:val="FirstParagraph"/>
      </w:pPr>
      <w:r>
        <w:t xml:space="preserve">LIMR（Less is More for RL Scaling）挑战了RL训练中”数据越多越好”的直觉假设。该方法提出学习影响度量（Learning Impact Measurement, LIM），通过衡量每个样本的奖励轨迹与平均学习曲线的对齐程度评估训练数据的有效性</w:t>
      </w:r>
      <w:r>
        <w:t xml:space="preserve"> </w:t>
      </w:r>
      <w:fldSimple w:instr="NOTEREF _Ref_Footnote_121 \h \f">
        <w:r>
          <w:rPr>
            <w:vertAlign w:val="superscript"/>
          </w:rPr>
          <w:t>121</w:t>
        </w:r>
      </w:fldSimple>
      <w:r>
        <w:t xml:space="preserve">。在7B模型上，LIMR仅用1{,}389个精选样本（完整数据集的16%）就超过了8{,}523个样本的全量数据集，在AIME24上提升16.7%，在MATH500上超越LIMO 13.0%、超越s1方法22.2%</w:t>
      </w:r>
      <w:r>
        <w:t xml:space="preserve"> </w:t>
      </w:r>
      <w:fldSimple w:instr="NOTEREF _Ref_Footnote_121 \h \f">
        <w:r>
          <w:rPr>
            <w:vertAlign w:val="superscript"/>
          </w:rPr>
          <w:t>121</w:t>
        </w:r>
      </w:fldSimple>
      <w:r>
        <w:t xml:space="preserve">。这一发现与后续SPEED-RL、CurES等工作中”中等难度样本最优”的结论形成了有力的互证。</w:t>
      </w:r>
    </w:p>
    <w:bookmarkEnd w:id="137"/>
    <w:bookmarkStart w:id="138" w:name="speed-rl与在线难度过滤实时筛选最高学习信号样本"/>
    <w:p>
      <w:pPr>
        <w:pStyle w:val="Heading4"/>
      </w:pPr>
      <w:r>
        <w:t xml:space="preserve">6.4.3 SPEED-RL与在线难度过滤：实时筛选最高学习信号样本</w:t>
      </w:r>
    </w:p>
    <w:p>
      <w:pPr>
        <w:pStyle w:val="FirstParagraph"/>
      </w:pPr>
      <w:r>
        <w:t xml:space="preserve">SPEED（Selective Prompting with Efficient Estimation of Difficulty）通过两阶段推理机制实现在线课程学习：筛选阶段每个prompt生成少量rollout（N_init≈4-8），识别pass rate远离极端值（0%或100%）的”合格”prompt；继续阶段对合格prompt生成剩余rollout，确保计算资源分配给高信噪比（SNR）的梯度估计样本</w:t>
      </w:r>
      <w:r>
        <w:t xml:space="preserve"> </w:t>
      </w:r>
      <w:fldSimple w:instr="NOTEREF _Ref_Footnote_121 \h \f">
        <w:r>
          <w:rPr>
            <w:vertAlign w:val="superscript"/>
          </w:rPr>
          <w:t>121</w:t>
        </w:r>
      </w:fldSimple>
      <w:r>
        <w:t xml:space="preserve">。理论分析表明，pass rate接近0.5的prompt提供最高SNR的梯度估计——太容易的样本无梯度信号，太难的样本无法学习。实验验证SPEED在Qwen2.5-Math-7B上使用RLOO算法，在DAPO-1k数据集上达到validation accuracy 0.45仅需7.6小时，而vanilla RLOO需要约3.4倍时间</w:t>
      </w:r>
      <w:r>
        <w:t xml:space="preserve"> </w:t>
      </w:r>
      <w:fldSimple w:instr="NOTEREF _Ref_Footnote_121 \h \f">
        <w:r>
          <w:rPr>
            <w:vertAlign w:val="superscript"/>
          </w:rPr>
          <w:t>121</w:t>
        </w:r>
      </w:fldSimple>
      <w:r>
        <w:t xml:space="preserve">。HIVE框架进一步将此思路推向分层选择：通过历史奖励轨迹与在线prompt熵验证相结合，实现最多3.8倍rollout加速与2.2倍总训练加速，同时减少多达920万次rollout</w:t>
      </w:r>
      <w:r>
        <w:t xml:space="preserve"> </w:t>
      </w:r>
      <w:fldSimple w:instr="NOTEREF _Ref_Footnote_121 \h \f">
        <w:r>
          <w:rPr>
            <w:vertAlign w:val="superscript"/>
          </w:rPr>
          <w:t>121</w:t>
        </w:r>
      </w:fldSimple>
      <w:r>
        <w:t xml:space="preserve">。这些在线难度过滤方法的共性在于：将训练计算资源从”均匀分配”转向”自适应聚焦”，使模型始终处于”学习边缘”（learning edge）——即难度略高于当前能力的区域。</w:t>
      </w:r>
    </w:p>
    <w:p>
      <w:r>
        <w:pict>
          <v:rect style="width:0;height:1.5pt" o:hralign="center" o:hrstd="t" o:hr="t"/>
        </w:pict>
      </w:r>
    </w:p>
    <w:p>
      <w:pPr>
        <w:pStyle w:val="FirstParagraph"/>
      </w:pPr>
      <w:r>
        <w:t xml:space="preserve">LLM+RL基础设施的演进正在重塑研究范式：训练框架的异步化与分布式设计使千亿级模型的RL训练成为可能；KV Cache优化从架构（MLA）、系统（PagedAttention）到算法（RLKV）的多层协同，将推理内存效率推向极致；小模型高效训练方案将入门门槛从数千美元降至数十美元，配合课程学习与智能数据筛选技术，数据效率提升50%以上已成为常态。展望未来，训练框架将进一步向统一异步架构收敛，Agentic RL的多轮交互训练将成为框架竞争的下一个焦点；量化训练（NVFP4及以下精度）与自适应数据筛选的深度融合，有望在单卡上实现百亿级模型的全周期RL训练，最终使LLM+RL能力彻底民主化。</w:t>
      </w:r>
    </w:p>
    <w:bookmarkEnd w:id="138"/>
    <w:bookmarkEnd w:id="139"/>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https://arxiv.org/html/2604.17312v1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https://www.arxiv.org/pdf/2506.09096v1</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https://arxiv.org/html/2506.09096v2</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https://arxiv.org/html/2512.06547v2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https://arxiv.org/html/2602.02495v1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https://arxiv.org/html/2604.09704v1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https://arxiv.org/abs/2310.12036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https://arxiv.org/html/2509.25050v1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https://arxiv.org/html/2509.25176v1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https://arxiv.org/pdf/2511.05589</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https://arxiv.org/pdf/2603.19335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https://arxiv.org/html/2603.07475v3</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https://www.arxiv.org/pdf/2506.09096v2</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https://arxiv.org/html/2502.09053v2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https://arxiv.org/html/2507.01551v2</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https://arxiv.org/html/2405.11143v2</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https://arxiv.org/html/2508.08221v3</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https://arxiv.org/pdf/2508.20373</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arXiv.org. https://arxiv.org/html/2503.08796v1</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OpenReview. https://openreview.net/attachment?id=ZqcS7jEWZz&amp;name=pdf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ACM Digital Library. https://dl.acm.org/doi/full/10.1145/3773279</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https://arxiv.org/html/2511.01016v6</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https://arxiv.org/pdf/2604.09459</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deepinfra.com. https://deepinfra.com/Qwen/QwQ-32B</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https://arxiv.org/html/2602.12014v1</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https://arxiv.org/html/2602.10953v2</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https://arxiv.org/html/2511.06494v2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https://arxiv.org/html/2604.01025v1</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arXiv.org. https://arxiv.org/html/2601.14599v1</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arXiv.org. https://arxiv.org/html/2604.09459v1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arXiv.org. https://arxiv.org/html/2511.06411v2</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https://arxiv.org/html/2508.02959v2</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https://arxiv.org/html/2506.22200v1</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arXiv.org. https://arxiv.org/html/2603.13134</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arXiv.org. https://arxiv.org/html/2509.01944v3</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https://arxiv.org/html/2508.10355</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arXiv.org. https://arxiv.org/html/2602.16179v3</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https://arxiv.org/html/2509.01055v1</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https://arxiv.org/html/2601.12995v1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OpenReview. https://openreview.net/pdf?id=BxrhsH3uzB</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arXiv.org. https://arxiv.org/html/2502.09053v1?ref=aquietlittlerebellion.com</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https://arxiv.org/html/2604.07931v1</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https://arxiv.org/html/2605.11006v1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arXiv.org. https://arxiv.org/html/2510.07740v1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arXiv.org. https://arxiv.org/pdf/2604.20051</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https://arxiv.org/html/2605.07725v1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https://arxiv.org/html/2603.06222v1</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arXiv.org. https://arxiv.org/html/2604.08299v2</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arXiv.org. https://arxiv.org/html/2605.06650</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arXiv.org. https://arxiv.org/html/2605.09346v1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arXiv.org. https://arxiv.org/html/2605.08346v1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https://arxiv.org/html/2605.09329v1</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arXiv.org. https://arxiv.org/html/2603.17449v1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https://arxiv.org/html/2604.11056v1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https://arxiv.org/html/2604.17928v1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https://arxiv.org/html/2604.23994v1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arXiv.org. https://arxiv.org/html/2512.13607v1</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https://arxiv.org/html/2602.12036v2</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https://arxiv.org/html/2603.13605v1</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arXiv.org. https://arxiv.org/html/2604.24927v1</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arXiv.org. https://arxiv.org/html/2601.11327v2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arXiv.org. https://arxiv.org/html/2510.21285v4</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https://arxiv.org/html/2602.06291v1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arXiv.org. https://arxiv.org/html/2603.09884v1</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https://arxiv.org/html/2512.01925v2</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Aunimeda Digital Agency. https://aunimeda.com/blog/vllm-paged-attention-optimization-2024</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博客园. https://www.cnblogs.com/SCCQ/p/19837994</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arXiv.org. https://arxiv.org/pdf/2602.04496</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arXiv.org. https://arxiv.org/html/2603.19220</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arXiv.org. https://arxiv.org/abs/2511.09907</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arXiv.org. https://arxiv.org/pdf/2603.15255</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arXiv.org. https://arxiv.org/html/2605.00831v1</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arXiv.org. https://arxiv.org/html/2511.16108v1</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arXiv.org. https://arxiv.org/html/2603.09117v2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arXiv.org. https://arxiv.org/pdf/2603.00520</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arXiv.org. https://arxiv.org/html/2510.13999v3</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arXiv.org. https://arxiv.org/html/2605.07024v1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arXiv.org. https://arxiv.org/html/2601.15593v2</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arXiv.org. https://arxiv.org/html/2603.12872v1</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arXiv.org. https://arxiv.org/html/2503.05473v1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arXiv.org. https://arxiv.org/html/2602.22303v1</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arXiv.org. https://arxiv.org/html/2506.07900v1</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https://arxiv.org/html/2505.20315v2</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arXiv.org. https://arxiv.org/html/2603.22576v1</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https://www.arxiv.org/pdf/2602.01539</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https://arxiv.org/pdf/2508.04632</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arXiv.org. https://arxiv.org/pdf/2601.18533</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https://arxiv.org/html/2604.11554v1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https://arxiv.org/html/2512.14754v1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arXiv.org. https://arxiv.org/html/2507.15512v1</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arXiv.org. https://arxiv.org/html/2511.09907v5</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https://arxiv.org/html/2602.13964v3</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arXiv.org. https://arxiv.org/html/2605.02189v1</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https://arxiv.org/html/2604.02794v1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arXiv.org. https://arxiv.org/pdf/2602.03279</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arXiv.org. https://arxiv.org/pdf/2507.15844?</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https://arxiv.org/html/2509.00072v3</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arXiv.org. https://arxiv.org/html/2502.17521v2</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arXiv.org. https://arxiv.org/html/2509.16679v1</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ModelScope 魔搭社区. https://www.modelscope.cn/datasets/bert123/SimpleRL-verl-modeleval</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arXiv.org. https://arxiv.org/abs/2510.12633v1?utm_source=richardgouvernet&amp;utm_medium=email&amp;utm_campaign=genai-daily-for-practitioners-15-oct-2025-12-items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Github. https://github.com/volcengine/verl</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dasroot.net. https://dasroot.net/posts/2026/02/async-vs-sync-llm-systems-real-benchmarks/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arXiv.org. https://arxiv.org/html/2510.12633v1</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Github. https://github.com/inclusionAI/AReaL?ref=openi.cn</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Github. https://github.com/inclusionai/areal</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Gitee. https://gitee.com/mirrors/AReaL</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Github. https://github.com/openrlhf/openrlhf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https://arxiv.org/html/2505.24034v1</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arXiv.org. https://arxiv.org/pdf/2505.24034</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arXiv.org. https://arxiv.org/html/2511.18871v5</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arXiv.org. https://arxiv.org/html/2507.13833v1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arXiv.org. https://arxiv.org/html/2604.16395v2</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arXiv.org. https://arxiv.org/html/2603.23049v1</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arXiv.org. https://arxiv.org/html/2510.26913v1</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arXiv.org. https://arxiv.org/html/2603.08743v1</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arXiv.org. https://arxiv.org/html/2601.14053v2</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TildAlice. https://tildalice.io/gqa-grouped-query-attention-review/</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Sebastian Raschka. https://sebastianraschka.com/llm-architecture-gallery/mla/</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PyImageSearch. https://pyimagesearch.com/2026/03/16/build-deepseek-v3-multi-head-latent-attention-mla-architecture/</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arXiv.org. https://arxiv.org/html/2510.08525v2</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ACL Anthology. https://aclanthology.org/2023.emnlp-main.298/</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Into AI. https://www.intoai.pub/p/grouped-query-attention</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vllm.ai. https://docs.vllm.ai/en/stable/features/quantization/quantized_kvcache/</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arXiv.org. https://arxiv.org/html/2601.04719v1</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arXiv.org. https://arxiv.org/html/2602.13953v1</w:t>
      </w:r>
      <w:bookmarkEnd w:id="1012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8" Target="media/rId68.png"/><Relationship Type="http://schemas.openxmlformats.org/officeDocument/2006/relationships/image" Id="rId103" Target="media/rId103.png"/><Relationship Type="http://schemas.openxmlformats.org/officeDocument/2006/relationships/image" Id="rId131" Target="media/rId131.png"/><Relationship Type="http://schemas.openxmlformats.org/officeDocument/2006/relationships/image" Id="rId117" Target="media/rId117.png"/><Relationship Type="http://schemas.openxmlformats.org/officeDocument/2006/relationships/image" Id="rId124" Target="media/rId124.png"/><Relationship Type="http://schemas.openxmlformats.org/officeDocument/2006/relationships/image" Id="rId96" Target="media/rId96.png"/><Relationship Type="http://schemas.openxmlformats.org/officeDocument/2006/relationships/image" Id="rId33" Target="media/rId33.png"/><Relationship Type="http://schemas.openxmlformats.org/officeDocument/2006/relationships/image" Id="rId49" Target="media/rId49.png"/><Relationship Type="http://schemas.openxmlformats.org/officeDocument/2006/relationships/image" Id="rId76" Target="media/rId76.png"/><Relationship Type="http://schemas.openxmlformats.org/officeDocument/2006/relationships/image" Id="rId21" Target="media/rId21.png"/><Relationship Id="rId132"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2026-05-15T04:10:46Z</dcterms:created>
  <dcterms:modified xsi:type="dcterms:W3CDTF">2026-05-15T04:10:46Z</dcterms:modified>
</cp:coreProperties>
</file>

<file path=docProps/custom.xml><?xml version="1.0" encoding="utf-8"?>
<Properties xmlns="http://schemas.openxmlformats.org/officeDocument/2006/custom-properties" xmlns:vt="http://schemas.openxmlformats.org/officeDocument/2006/docPropsVTypes"/>
</file>