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Network Resilience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resilience analysis evaluates the impact of losing each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optimized plant individually.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each optimized plant: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The plant is removed from the candidate network.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The remaining 15 candidate plants remain available.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Plant-opening decisions are re-optimized.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Demand zones are reassigned where necessary.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The full optimization model is solved again.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The resulting cost is compared with the optimized baseline.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Failure Formulation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failed plant k: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y_k =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remaining candidate plants retain their normal binary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opening decisions.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original demand assignment and capacity constraints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remain active.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Resilience Results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Failed Plant | Cost Increase | Increase % | Reassigned Zones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|---|---:|---:|---:|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PLANT07 | ₹19.083B | 6.53% | 13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PLANT04 | ₹13.750B | 4.71% | 10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PLANT13 | ₹2.312B | 0.79% | 5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PLANT05 | ₹1.026B | 0.35% | 1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PLANT03 | ₹0.511B | 0.17% | 12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PLANT02 | ₹0.148B | 0.05% | 2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six failure scenarios were feasible and served all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18 demand zones.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Critical Plants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PLANT07 is the most critical optimized plant based 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annual cost impact.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Failure of PLANT07 increases annual network cost by: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₹19.083B (6.53%)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PLANT04 is the second most critical plant: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₹13.750B (4.71%)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These plants should therefore receive higher resilience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priority in contingency planning.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