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Assumptions and Final KPIs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## Key Assumptions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| Parameter | Value |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|---|---:|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| Candidate plants | 16 |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| Demand zones | 18 |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| Planning period | 5 days |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| Annualization | 50 waves/year |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| Last-mile rate | ₹5/tonne-km |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| USD/INR | ₹95/USD |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| Service constraint | 2 days for Model B |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 Final Project KPIs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## Network Optimization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Baseline plants: 7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Optimized plants: 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Demand zones served: 18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Annual savings: ₹21.38B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Cost reduction: 6.82%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Maximum plant utilization: 95.81%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Service Constraint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Model A optimized cost: ₹292.050B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Model B optimized cost: ₹292.057B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- 2-day premium: ₹6.42M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Premium: 0.0022%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## Resilience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Most critical plant: PLANT07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PLANT07 failure impact: +6.53%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Second critical plant: PLANT04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PLANT04 failure impact: +4.71%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# Frozen Results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These values represent the validated final analytical output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of the project and should be used consistently in the dashboard,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report, presentation and resume.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