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790" w:tblpY="269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8"/>
        <w:gridCol w:w="1697"/>
        <w:gridCol w:w="1803"/>
        <w:gridCol w:w="3381"/>
      </w:tblGrid>
      <w:tr w14:paraId="6252E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08" w:type="dxa"/>
            <w:tcBorders>
              <w:top w:val="single" w:color="000000" w:sz="4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2F12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ETF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A03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5bp是什么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AC9D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实际年费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818A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差异</w:t>
            </w:r>
          </w:p>
        </w:tc>
      </w:tr>
      <w:tr w14:paraId="0DEF2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A000D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510300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A0B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单次调仓成本假设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6BD8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EC208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5bp是调仓时扣，年费是每天都扣</w:t>
            </w:r>
          </w:p>
        </w:tc>
      </w:tr>
      <w:tr w14:paraId="4711B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CDE9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510500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92B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29CC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5DE8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3849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BCAE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588000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461B1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606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889AE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</w:tr>
      <w:tr w14:paraId="66A7C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CE9B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159928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6F2A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35CFF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E274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行业ETF年费是5bp的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12倍</w:t>
            </w:r>
          </w:p>
        </w:tc>
      </w:tr>
      <w:tr w14:paraId="64DB3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9E53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159995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2508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B27B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6A233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行业ETF年费是5bp的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12倍</w:t>
            </w:r>
          </w:p>
        </w:tc>
      </w:tr>
      <w:tr w14:paraId="39CFA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F46F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518880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EA9A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D2E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02712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行业ETF年费是5bp的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12倍</w:t>
            </w:r>
          </w:p>
        </w:tc>
      </w:tr>
      <w:tr w14:paraId="5F5DA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08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62D8B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511260</w:t>
            </w:r>
          </w:p>
        </w:tc>
        <w:tc>
          <w:tcPr>
            <w:tcW w:w="1697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2B0C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  <w:tc>
          <w:tcPr>
            <w:tcW w:w="1803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85D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0.20%/年</w:t>
            </w:r>
          </w:p>
        </w:tc>
        <w:tc>
          <w:tcPr>
            <w:tcW w:w="3381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07F5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同上</w:t>
            </w:r>
          </w:p>
        </w:tc>
      </w:tr>
    </w:tbl>
    <w:p w14:paraId="0345F213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5bp（0.05%）是单次调仓的滑点/佣金</w:t>
      </w:r>
      <w:r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（只在调仓时扣），而 管理费+托管费是每年固定从净值里扣的（不管调不调仓都扣）。两者是不同性质的费用，之前5bp估算并没有覆盖年费。以下对比分开呈现。</w:t>
      </w:r>
    </w:p>
    <w:p w14:paraId="4392D544">
      <w:pPr>
        <w:pStyle w:val="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关键区分：</w:t>
      </w:r>
    </w:p>
    <w:p w14:paraId="5E1D33F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5bp滑点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：只在调仓时产生，换手率100%时年化约0.05%（已计入回测）</w:t>
      </w:r>
    </w:p>
    <w:p w14:paraId="122150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实际年费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：每年固定扣除0.20%~0.60%，与调仓频率无关（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回测中需补入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B38EC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1263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年总成本对比：</w:t>
      </w:r>
    </w:p>
    <w:p w14:paraId="74534C6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假设换手率为100%</w:t>
      </w:r>
    </w:p>
    <w:p w14:paraId="6BF643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3"/>
        <w:gridCol w:w="1092"/>
        <w:gridCol w:w="3000"/>
        <w:gridCol w:w="2526"/>
      </w:tblGrid>
      <w:tr w14:paraId="49CC1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73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10A4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策略类型</w:t>
            </w:r>
          </w:p>
        </w:tc>
        <w:tc>
          <w:tcPr>
            <w:tcW w:w="1092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0BD75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年费</w:t>
            </w:r>
          </w:p>
        </w:tc>
        <w:tc>
          <w:tcPr>
            <w:tcW w:w="300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CFE2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滑点（100%换手×5bp）</w:t>
            </w:r>
          </w:p>
        </w:tc>
        <w:tc>
          <w:tcPr>
            <w:tcW w:w="2526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476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年总成本</w:t>
            </w:r>
          </w:p>
        </w:tc>
      </w:tr>
      <w:tr w14:paraId="67B49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5D58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配置宽基为主</w:t>
            </w:r>
          </w:p>
        </w:tc>
        <w:tc>
          <w:tcPr>
            <w:tcW w:w="10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E66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0.20%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2EB4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2526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4EF0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0.25%</w:t>
            </w:r>
          </w:p>
        </w:tc>
      </w:tr>
      <w:tr w14:paraId="107E0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7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9E0CD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配置行业ETF为主</w:t>
            </w:r>
          </w:p>
        </w:tc>
        <w:tc>
          <w:tcPr>
            <w:tcW w:w="109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E1BC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0.60%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257E9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0.05%</w:t>
            </w:r>
          </w:p>
        </w:tc>
        <w:tc>
          <w:tcPr>
            <w:tcW w:w="2526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390A7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0.65%</w:t>
            </w:r>
          </w:p>
        </w:tc>
      </w:tr>
    </w:tbl>
    <w:p w14:paraId="7BF5F70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EastAsia" w:hAnsi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82A1F5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对于动态评分策略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：该策略在股灾时卖出行业ETF、买入宽基/国债，行业ETF的平均持有权重不高，因此实际年化成本更接近0.25%~0.35%，而非0.65%。</w:t>
      </w:r>
    </w:p>
    <w:p w14:paraId="0289E50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908"/>
        <w:gridCol w:w="2066"/>
        <w:gridCol w:w="3131"/>
      </w:tblGrid>
      <w:tr w14:paraId="5AA3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1186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3367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策略</w:t>
            </w:r>
          </w:p>
        </w:tc>
        <w:tc>
          <w:tcPr>
            <w:tcW w:w="1908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92AF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行业ETF平均权重</w:t>
            </w:r>
          </w:p>
        </w:tc>
        <w:tc>
          <w:tcPr>
            <w:tcW w:w="2066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1A7A5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估算年成本</w:t>
            </w:r>
          </w:p>
        </w:tc>
        <w:tc>
          <w:tcPr>
            <w:tcW w:w="3131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D0E05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夏普修正</w:t>
            </w:r>
          </w:p>
        </w:tc>
      </w:tr>
      <w:tr w14:paraId="0F227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45D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动态评分</w:t>
            </w:r>
          </w:p>
        </w:tc>
        <w:tc>
          <w:tcPr>
            <w:tcW w:w="19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321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~30%</w:t>
            </w:r>
          </w:p>
        </w:tc>
        <w:tc>
          <w:tcPr>
            <w:tcW w:w="206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4C7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0.32%</w:t>
            </w:r>
          </w:p>
        </w:tc>
        <w:tc>
          <w:tcPr>
            <w:tcW w:w="313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E68D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0.50→约0.49</w:t>
            </w:r>
          </w:p>
        </w:tc>
      </w:tr>
      <w:tr w14:paraId="0B185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F18FB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LGB融合</w:t>
            </w:r>
          </w:p>
        </w:tc>
        <w:tc>
          <w:tcPr>
            <w:tcW w:w="19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66FD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~45%</w:t>
            </w:r>
          </w:p>
        </w:tc>
        <w:tc>
          <w:tcPr>
            <w:tcW w:w="206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CD7A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0.40%</w:t>
            </w:r>
          </w:p>
        </w:tc>
        <w:tc>
          <w:tcPr>
            <w:tcW w:w="313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0E0BC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0.65→约0.63</w:t>
            </w:r>
          </w:p>
        </w:tc>
      </w:tr>
      <w:tr w14:paraId="329D7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4BCF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等权基准</w:t>
            </w:r>
          </w:p>
        </w:tc>
        <w:tc>
          <w:tcPr>
            <w:tcW w:w="19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D4531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57%</w:t>
            </w:r>
          </w:p>
        </w:tc>
        <w:tc>
          <w:tcPr>
            <w:tcW w:w="2066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5F66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0.48%</w:t>
            </w:r>
          </w:p>
        </w:tc>
        <w:tc>
          <w:tcPr>
            <w:tcW w:w="3131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DC12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0.45→约0.43</w:t>
            </w:r>
          </w:p>
        </w:tc>
      </w:tr>
    </w:tbl>
    <w:p w14:paraId="66BB840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结论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：年费计入后，三条策略的夏普均有小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幅下降，但相对排序不变。LGB融合依然是最稳健选择。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C2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2026-07-26T12:22:17Z</dcterms:created>
  <dc:creator>lenovo</dc:creator>
  <cp:lastModifiedBy>Aury.</cp:lastModifiedBy>
  <dcterms:modified xsi:type="dcterms:W3CDTF">2026-07-26T12:31:28Z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eyJoZGlkIjoiYjk5ODM0YmMxOWJiYWQyNDU4MGIzYWRmYTA0ZmI5NDciLCJ1c2VySWQiOiI2ODI3NTg3MjYifQ==</vt:lpwstr>
  </property>
  <property fmtid="{D5CDD505-2E9C-101B-9397-08002B2CF9AE}" pid="4" name="ICV">
    <vt:lpwstr>37CA217B3C1E412DA8F92595823D305C_12</vt:lpwstr>
  </property>
</Properties>
</file>