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13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一、填入数据要求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234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D324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维度</w:t>
            </w:r>
          </w:p>
        </w:tc>
        <w:tc>
          <w:tcPr>
            <w:tcW w:w="4261" w:type="dxa"/>
          </w:tcPr>
          <w:p w14:paraId="71FD74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所需数据列</w:t>
            </w:r>
          </w:p>
        </w:tc>
      </w:tr>
      <w:tr w14:paraId="455C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55C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估值</w:t>
            </w:r>
          </w:p>
        </w:tc>
        <w:tc>
          <w:tcPr>
            <w:tcW w:w="4261" w:type="dxa"/>
          </w:tcPr>
          <w:p w14:paraId="08E628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沪深300PE_TTM、沪深300PE_5年分位、中证500PE_TTM、中证500PE_5年分位</w:t>
            </w:r>
          </w:p>
        </w:tc>
      </w:tr>
      <w:tr w14:paraId="75E7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37E4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宏观</w:t>
            </w:r>
          </w:p>
        </w:tc>
        <w:tc>
          <w:tcPr>
            <w:tcW w:w="4261" w:type="dxa"/>
          </w:tcPr>
          <w:p w14:paraId="56ADDC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PMI（月度）、10Y-2Y国债利差（日度）</w:t>
            </w:r>
          </w:p>
        </w:tc>
      </w:tr>
      <w:tr w14:paraId="4447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E96A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情绪</w:t>
            </w:r>
          </w:p>
        </w:tc>
        <w:tc>
          <w:tcPr>
            <w:tcW w:w="4261" w:type="dxa"/>
          </w:tcPr>
          <w:p w14:paraId="49CAB1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两融余额（日度）、北向资金净流入（日度）</w:t>
            </w:r>
          </w:p>
        </w:tc>
      </w:tr>
      <w:tr w14:paraId="5D6D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5451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</w:t>
            </w:r>
          </w:p>
        </w:tc>
        <w:tc>
          <w:tcPr>
            <w:tcW w:w="4261" w:type="dxa"/>
          </w:tcPr>
          <w:p w14:paraId="02C8C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沪深300收盘价、MA20</w:t>
            </w:r>
          </w:p>
        </w:tc>
      </w:tr>
    </w:tbl>
    <w:p w14:paraId="2D494969">
      <w:pPr>
        <w:rPr>
          <w:rFonts w:hint="default"/>
          <w:lang w:val="en-US" w:eastAsia="zh-CN"/>
        </w:rPr>
      </w:pPr>
    </w:p>
    <w:p w14:paraId="18580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二、维度打分函数</w:t>
      </w:r>
    </w:p>
    <w:p w14:paraId="198DC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维度一：估值（目前定为25%）</w:t>
      </w:r>
    </w:p>
    <w:p w14:paraId="199EF6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数据支撑：当沪深300PE百分位低于30%时，基本都对于应指数的历史低点（2008年底、2011-2014年、2016年底、2018年底）</w:t>
      </w:r>
      <w:r>
        <w:rPr>
          <w:rFonts w:hint="default"/>
          <w:lang w:val="en-US" w:eastAsia="zh-CN"/>
        </w:rPr>
        <w:t>。PE百分位高于70%则进入高估区间。</w:t>
      </w:r>
    </w:p>
    <w:p w14:paraId="104CF2CC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calc_val_score(pe_pct):</w:t>
      </w:r>
    </w:p>
    <w:p w14:paraId="08AA819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27E96CBB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pe_pct: 当前PE在5年滚动窗口的历史分位数（0-1之间）</w:t>
      </w:r>
    </w:p>
    <w:p w14:paraId="3EE88740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输出: 0-25分</w:t>
      </w:r>
    </w:p>
    <w:p w14:paraId="69BB0094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679ADDA5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pe_pct &lt;= 0.30:</w:t>
      </w:r>
    </w:p>
    <w:p w14:paraId="3E7D9EA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25.0                    # 极度低估，满分</w:t>
      </w:r>
    </w:p>
    <w:p w14:paraId="4171796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pe_pct &gt;= 0.70:</w:t>
      </w:r>
    </w:p>
    <w:p w14:paraId="1F414887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0.0                     # 高估，零分</w:t>
      </w:r>
    </w:p>
    <w:p w14:paraId="4AD5F96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72EDC61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30%-70%之间线性插值：从25分线性降到0分</w:t>
      </w:r>
    </w:p>
    <w:p w14:paraId="332E417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25.0 * (1 - (pe_pct - 0.30) / 0.40)</w:t>
      </w:r>
    </w:p>
    <w:p w14:paraId="467AB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</w:t>
      </w:r>
    </w:p>
    <w:p w14:paraId="1C68C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1.阈值30%/70%：来自市场通行的估值分位数规则（参考理杏仁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"https://blog.realduang.com/blogs/financial-analysis/2026-02-22.html#%E7%BB%93%E8%AF%AD"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https://blog.realduang.com/blogs/financial-analysis/2026-02-22.html#%E7%BB%93%E8%AF%AD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7D9086A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9515" cy="2750185"/>
            <wp:effectExtent l="0" t="0" r="698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2522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2.满分25分：对应25%的权重</w:t>
      </w:r>
    </w:p>
    <w:p w14:paraId="323642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3.线性插值：最简单的映射方法</w:t>
      </w:r>
    </w:p>
    <w:p w14:paraId="1C6B5A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479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维度二：宏观（25%）</w:t>
      </w:r>
    </w:p>
    <w:p w14:paraId="4A2ACD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数据支撑：美林时钟将经济周期划分为衰退、复苏、过热、滞胀四个阶段，对应不同资产配置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。在中国实践中，PMI是判断经济强弱的核心指标。期限利差（10Y-2Y）反映经济预期，利差收窄甚至倒挂通常预示经济衰退风险。</w:t>
      </w:r>
    </w:p>
    <w:p w14:paraId="2A8513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函数：</w:t>
      </w:r>
    </w:p>
    <w:p w14:paraId="48984873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def calc_macro_score(pmi, spread_10y2y):</w:t>
      </w:r>
    </w:p>
    <w:p w14:paraId="1E76C287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79D66A1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pmi: 制造业PMI（通常45-55之间）</w:t>
      </w:r>
    </w:p>
    <w:p w14:paraId="3B99CACB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spread_10y2y: 10年期国债收益率 - 2年期国债收益率（单位：%）</w:t>
      </w:r>
    </w:p>
    <w:p w14:paraId="5477C8B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输出: 0-25分</w:t>
      </w:r>
    </w:p>
    <w:p w14:paraId="38E0AB0C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460C3283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# PMI部分（满分15分）：50为荣枯线</w:t>
      </w:r>
    </w:p>
    <w:p w14:paraId="6A81B005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pmi &gt;= 52:</w:t>
      </w:r>
    </w:p>
    <w:p w14:paraId="786A7233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pmi_score = 15.0</w:t>
      </w:r>
    </w:p>
    <w:p w14:paraId="6A77679C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elif pmi &lt;= 48:</w:t>
      </w:r>
    </w:p>
    <w:p w14:paraId="2352B2D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pmi_score = 0.0</w:t>
      </w:r>
    </w:p>
    <w:p w14:paraId="14763DEA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66BC4BC4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pmi_score = 15.0 * (pmi - 48) / 4.0   # 48→0分, 52→15分</w:t>
      </w:r>
    </w:p>
    <w:p w14:paraId="109F851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EE1FE1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# 期限利差部分（满分10分）：利差越大越好</w:t>
      </w:r>
    </w:p>
    <w:p w14:paraId="2247AB1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spread_10y2y &gt;= 1.0:</w:t>
      </w:r>
    </w:p>
    <w:p w14:paraId="5DBCCC66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spread_score = 10.0</w:t>
      </w:r>
    </w:p>
    <w:p w14:paraId="6CD6E9D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elif spread_10y2y &lt;= -0.5:</w:t>
      </w:r>
    </w:p>
    <w:p w14:paraId="3289D87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spread_score = 0.0</w:t>
      </w:r>
    </w:p>
    <w:p w14:paraId="27E93DB7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19F220B6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spread_score = 10.0 * (spread_10y2y + 0.5) / 1.5</w:t>
      </w:r>
    </w:p>
    <w:p w14:paraId="4175C10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4DACC65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return pmi_score + spread_score</w:t>
      </w:r>
    </w:p>
    <w:p w14:paraId="7C86177F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依据：</w:t>
      </w:r>
    </w:p>
    <w:p w14:paraId="2F76180A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1.PMI阈值是48/52:50是荣枯线，±2作为缓冲区间</w:t>
      </w:r>
    </w:p>
    <w:p w14:paraId="6949C5CE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2.利差阈值-0.5%/1.0%：利差倒挂（负值）是衰退信号，利差&gt;1%表示经济预期良好</w:t>
      </w:r>
    </w:p>
    <w:p w14:paraId="29D61008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0B92FE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维度三：情绪（20%）</w:t>
      </w:r>
    </w:p>
    <w:p w14:paraId="493C4EE7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数据支撑：两融余额反映杠杆资金情绪，北向资金是外资风向标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。情绪指标在资产配置模型中通常占15-25%权重。</w:t>
      </w:r>
    </w:p>
    <w:p w14:paraId="78C99B24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函数：</w:t>
      </w:r>
    </w:p>
    <w:p w14:paraId="4E41AF1A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def calc_sent_score(margin_change, north_flow):</w:t>
      </w:r>
    </w:p>
    <w:p w14:paraId="42A8C265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49E894BF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margin_change: 两融余额月度变化率（%）</w:t>
      </w:r>
    </w:p>
    <w:p w14:paraId="1C56B53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north_flow: 北向资金当月累计净流入（亿元）</w:t>
      </w:r>
    </w:p>
    <w:p w14:paraId="595A1D94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输出: 0-20分</w:t>
      </w:r>
    </w:p>
    <w:p w14:paraId="1576EE4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2957247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# 两融部分（满分10分）：变化率越大越乐观</w:t>
      </w:r>
    </w:p>
    <w:p w14:paraId="52B4BC2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margin_change &gt;= 5.0:</w:t>
      </w:r>
    </w:p>
    <w:p w14:paraId="1893FDC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margin_score = 10.0</w:t>
      </w:r>
    </w:p>
    <w:p w14:paraId="1CAB959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elif margin_change &lt;= -5.0:</w:t>
      </w:r>
    </w:p>
    <w:p w14:paraId="44027A4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margin_score = 0.0</w:t>
      </w:r>
    </w:p>
    <w:p w14:paraId="1AC35C5C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6F2E7A9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margin_score = 10.0 * (margin_change + 5.0) / 10.0</w:t>
      </w:r>
    </w:p>
    <w:p w14:paraId="7ECB5A1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4E69C245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# 北向部分（满分10分）：净流入越多越好</w:t>
      </w:r>
    </w:p>
    <w:p w14:paraId="7939527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north_flow &gt;= 500:</w:t>
      </w:r>
    </w:p>
    <w:p w14:paraId="426F40E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north_score = 10.0</w:t>
      </w:r>
    </w:p>
    <w:p w14:paraId="061ABCC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elif north_flow &lt;= -500:</w:t>
      </w:r>
    </w:p>
    <w:p w14:paraId="74259203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north_score = 0.0</w:t>
      </w:r>
    </w:p>
    <w:p w14:paraId="0A41F71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2CA8BF2D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north_score = 10.0 * (north_flow + 500) / 1000.0</w:t>
      </w:r>
    </w:p>
    <w:p w14:paraId="3D820B7F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9140205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return margin_score + north_score</w:t>
      </w:r>
    </w:p>
    <w:p w14:paraId="44BC386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F116C8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依据：</w:t>
      </w:r>
    </w:p>
    <w:p w14:paraId="44D54737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1.两融阈值±5%：参考两融余额月度波动的历史分位数</w:t>
      </w:r>
    </w:p>
    <w:p w14:paraId="60F627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北向阈值±500亿：参考北向资金月度净流入的历史均值波动范围</w:t>
      </w:r>
    </w:p>
    <w:p w14:paraId="2B726EE3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维度四：趋势（30%，权重最高）</w:t>
      </w:r>
    </w:p>
    <w:p w14:paraId="55A35023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数据支撑：趋势跟踪是量化里最朴素但长期有效的策略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。趋势维度在择时策略中通常赋予最高权重，因为“趋势一旦形成，短期不易逆转”。</w:t>
      </w:r>
    </w:p>
    <w:p w14:paraId="6E43517B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函数：</w:t>
      </w:r>
    </w:p>
    <w:p w14:paraId="102F6DA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def calc_trend_score(price, ma20):</w:t>
      </w:r>
    </w:p>
    <w:p w14:paraId="49B99BC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385904F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price: 当日收盘价</w:t>
      </w:r>
    </w:p>
    <w:p w14:paraId="35B6E67A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ma20: 20日均线</w:t>
      </w:r>
    </w:p>
    <w:p w14:paraId="21C9E466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输出: 0-30分</w:t>
      </w:r>
    </w:p>
    <w:p w14:paraId="06E379AC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2A362A9B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# 价格相对于MA20的偏离度</w:t>
      </w:r>
    </w:p>
    <w:p w14:paraId="30AB20A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deviation = (price / ma20 - 1) * 100  # 百分比</w:t>
      </w:r>
    </w:p>
    <w:p w14:paraId="7DCDC891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E17B47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deviation &gt;= 5.0:</w:t>
      </w:r>
    </w:p>
    <w:p w14:paraId="652BB13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return 30.0</w:t>
      </w:r>
    </w:p>
    <w:p w14:paraId="4B713B58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elif deviation &lt;= -5.0:</w:t>
      </w:r>
    </w:p>
    <w:p w14:paraId="369F625E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return 0.0</w:t>
      </w:r>
    </w:p>
    <w:p w14:paraId="65CC1A3B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024656E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return 30.0 * (deviation + 5.0) / 10.0</w:t>
      </w:r>
    </w:p>
    <w:p w14:paraId="5D851E4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3465FD75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依据：</w:t>
      </w:r>
    </w:p>
    <w:p w14:paraId="7808CC43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1.阈值±5%：价格偏离MA20超过5%通常被视为趋势确立的信号</w:t>
      </w:r>
    </w:p>
    <w:p w14:paraId="725FCE42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2.满分30分：对应30%的最高权重——趋势是四维中最具预测力的维度</w:t>
      </w:r>
    </w:p>
    <w:p w14:paraId="27E7B4C3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4D6D6C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三、综合分与状态映射</w:t>
      </w:r>
    </w:p>
    <w:p w14:paraId="15752170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总分 = val_score + macro_score + sent_score + trend_score</w:t>
      </w:r>
    </w:p>
    <w:p w14:paraId="5437EBF0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注：四个维度得分之和自动等于100分（25+25+20+30=100）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5D73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77AD08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总分区间</w:t>
            </w:r>
          </w:p>
        </w:tc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8F8BB5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状态标签</w:t>
            </w:r>
          </w:p>
        </w:tc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C5BBB3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</w:tr>
      <w:tr w14:paraId="213F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207BA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≥75</w:t>
            </w:r>
          </w:p>
        </w:tc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2F8CC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上行</w:t>
            </w:r>
          </w:p>
        </w:tc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BD8A7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牛市/强势上涨</w:t>
            </w:r>
          </w:p>
        </w:tc>
      </w:tr>
      <w:tr w14:paraId="54C0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2B4B8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60-74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A5BEE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震荡偏强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8A24C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结构性行情，偏多</w:t>
            </w:r>
          </w:p>
        </w:tc>
      </w:tr>
      <w:tr w14:paraId="27F6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68C09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45-59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ED5939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震荡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7D0CD2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横盘整理，方向不明</w:t>
            </w:r>
          </w:p>
        </w:tc>
      </w:tr>
      <w:tr w14:paraId="2AE9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DD6E6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30-44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75B19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下行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D03E9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熊市/弱势下跌</w:t>
            </w:r>
          </w:p>
        </w:tc>
      </w:tr>
      <w:tr w14:paraId="765C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91C5E0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＜30</w:t>
            </w:r>
          </w:p>
        </w:tc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E7EAC7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极寒</w:t>
            </w:r>
          </w:p>
        </w:tc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D935BF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恐慌/流动性危机</w:t>
            </w:r>
          </w:p>
        </w:tc>
      </w:tr>
    </w:tbl>
    <w:p w14:paraId="0AA35491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CA2BB9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四、数据对齐规则</w:t>
      </w:r>
    </w:p>
    <w:p w14:paraId="11DB4E97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06B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42367E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数据项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47218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发布规则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DAD67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回测中可用时间</w:t>
            </w:r>
          </w:p>
        </w:tc>
      </w:tr>
      <w:tr w14:paraId="77FF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BB9F4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PE/PB分位数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C680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每日收盘后更新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2D83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当日可用（用收盘价计算）</w:t>
            </w:r>
          </w:p>
        </w:tc>
      </w:tr>
      <w:tr w14:paraId="6327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448C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PMI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1052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当月最后一天发布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4F24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当月最后一天可用</w:t>
            </w:r>
          </w:p>
        </w:tc>
      </w:tr>
      <w:tr w14:paraId="6729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CC4E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10Y-2Y利差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C1A5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每日17:30发布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12DA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次日可用</w:t>
            </w:r>
          </w:p>
        </w:tc>
      </w:tr>
      <w:tr w14:paraId="5635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906B0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两融余额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6F9CAB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次日清晨发布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EA630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次日可用</w:t>
            </w:r>
          </w:p>
        </w:tc>
      </w:tr>
      <w:tr w14:paraId="0B11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90A9D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北向资金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41F1DE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当日收盘后发布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D19373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次日可用</w:t>
            </w:r>
          </w:p>
        </w:tc>
      </w:tr>
    </w:tbl>
    <w:p w14:paraId="082BC0F7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AAD43B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五、输出规则</w:t>
      </w:r>
    </w:p>
    <w:p w14:paraId="52F33EA0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market_score_daily.csv</w:t>
      </w:r>
    </w:p>
    <w:p w14:paraId="303BA069">
      <w:p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字段：date, total_score, state, val_score, macro_score, sent_score, trend_score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80531"/>
    <w:multiLevelType w:val="multilevel"/>
    <w:tmpl w:val="27280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0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2026-07-20T07:10:38Z</dcterms:created>
  <dc:creator>lenovo</dc:creator>
  <cp:lastModifiedBy>Aury.</cp:lastModifiedBy>
  <dcterms:modified xsi:type="dcterms:W3CDTF">2026-07-20T13:06:49Z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eyJoZGlkIjoiYjc1ZWFkOGU2NGU2ZmJjNTE2YWUxMTU1MTAyMzUxNjQiLCJ1c2VySWQiOiI2ODI3NTg3MjYifQ==</vt:lpwstr>
  </property>
  <property fmtid="{D5CDD505-2E9C-101B-9397-08002B2CF9AE}" pid="4" name="ICV">
    <vt:lpwstr>3B1133E66C374122B2CB04FD662F5E24_12</vt:lpwstr>
  </property>
</Properties>
</file>