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D093E">
      <w:pPr>
        <w:pStyle w:val="17"/>
        <w:jc w:val="both"/>
        <w:outlineLvl w:val="0"/>
        <w:rPr>
          <w:rFonts w:ascii="Times New Roman" w:hAnsi="Times New Roman" w:eastAsia="宋体"/>
          <w:bCs/>
          <w:color w:val="000000"/>
          <w:sz w:val="36"/>
          <w:szCs w:val="36"/>
        </w:rPr>
      </w:pPr>
      <w:bookmarkStart w:id="0" w:name="_Toc14961"/>
      <w:r>
        <w:rPr>
          <w:rFonts w:hint="eastAsia" w:ascii="Times New Roman" w:hAnsi="Times New Roman" w:eastAsia="方正小标宋简体" w:cs="方正小标宋简体"/>
          <w:bCs/>
          <w:color w:val="000000"/>
          <w:sz w:val="44"/>
          <w:szCs w:val="44"/>
          <w:lang w:val="en-US" w:eastAsia="zh-CN"/>
        </w:rPr>
        <w:t>农行杯”第三届厦门大学金融科技创新大赛暨第三届中国研究生金融科技创新大赛校级选拔赛</w:t>
      </w:r>
      <w:bookmarkEnd w:id="0"/>
    </w:p>
    <w:p w14:paraId="761C7C12">
      <w:pPr>
        <w:pStyle w:val="17"/>
        <w:jc w:val="both"/>
        <w:rPr>
          <w:rFonts w:hint="eastAsia" w:ascii="Times New Roman" w:hAnsi="Times New Roman" w:eastAsia="宋体"/>
          <w:b w:val="0"/>
          <w:color w:val="000000"/>
          <w:lang w:eastAsia="zh-CN"/>
        </w:rPr>
      </w:pPr>
    </w:p>
    <w:p w14:paraId="7388FD5E">
      <w:pPr>
        <w:pStyle w:val="17"/>
        <w:jc w:val="both"/>
        <w:rPr>
          <w:rFonts w:hint="eastAsia" w:ascii="Times New Roman" w:hAnsi="Times New Roman" w:eastAsia="宋体"/>
          <w:b w:val="0"/>
          <w:color w:val="000000"/>
          <w:lang w:eastAsia="zh-CN"/>
        </w:rPr>
      </w:pPr>
    </w:p>
    <w:p w14:paraId="57E150F8">
      <w:pPr>
        <w:pStyle w:val="17"/>
        <w:jc w:val="center"/>
        <w:rPr>
          <w:rFonts w:ascii="Times New Roman" w:hAnsi="Times New Roman" w:eastAsia="宋体"/>
          <w:b w:val="0"/>
          <w:color w:val="000000"/>
        </w:rPr>
      </w:pPr>
    </w:p>
    <w:p w14:paraId="459C18F8">
      <w:pPr>
        <w:pStyle w:val="17"/>
        <w:jc w:val="center"/>
        <w:rPr>
          <w:rFonts w:hint="eastAsia" w:ascii="Times New Roman" w:hAnsi="Times New Roman" w:eastAsia="黑体" w:cs="黑体"/>
          <w:color w:val="000000"/>
          <w:sz w:val="36"/>
          <w:szCs w:val="36"/>
        </w:rPr>
      </w:pPr>
      <w:r>
        <w:rPr>
          <w:rFonts w:hint="eastAsia" w:ascii="Times New Roman" w:hAnsi="Times New Roman" w:eastAsia="黑体" w:cs="黑体"/>
          <w:color w:val="000000"/>
          <w:sz w:val="36"/>
          <w:szCs w:val="36"/>
        </w:rPr>
        <w:t>[</w:t>
      </w:r>
      <w:r>
        <w:rPr>
          <w:rFonts w:hint="eastAsia" w:ascii="Times New Roman" w:hAnsi="Times New Roman" w:cs="黑体"/>
          <w:color w:val="000000"/>
          <w:sz w:val="36"/>
          <w:szCs w:val="36"/>
          <w:lang w:val="en-US" w:eastAsia="zh-CN"/>
        </w:rPr>
        <w:t>本科生赛道</w:t>
      </w:r>
      <w:r>
        <w:rPr>
          <w:rFonts w:hint="eastAsia" w:ascii="Times New Roman" w:hAnsi="Times New Roman" w:eastAsia="黑体" w:cs="黑体"/>
          <w:color w:val="000000"/>
          <w:sz w:val="36"/>
          <w:szCs w:val="36"/>
        </w:rPr>
        <w:t>]</w:t>
      </w:r>
    </w:p>
    <w:p w14:paraId="6102CBA4">
      <w:pPr>
        <w:pStyle w:val="17"/>
        <w:jc w:val="center"/>
        <w:rPr>
          <w:rFonts w:hint="eastAsia" w:ascii="Times New Roman" w:hAnsi="Times New Roman" w:eastAsia="黑体" w:cs="黑体"/>
          <w:color w:val="000000"/>
          <w:sz w:val="36"/>
          <w:szCs w:val="36"/>
        </w:rPr>
      </w:pPr>
      <w:r>
        <w:rPr>
          <w:rFonts w:hint="eastAsia" w:ascii="Times New Roman" w:hAnsi="Times New Roman" w:eastAsia="黑体" w:cs="黑体"/>
          <w:color w:val="000000"/>
          <w:sz w:val="36"/>
          <w:szCs w:val="36"/>
        </w:rPr>
        <w:t>[</w:t>
      </w:r>
      <w:r>
        <w:rPr>
          <w:rFonts w:hint="eastAsia" w:ascii="Times New Roman" w:hAnsi="Times New Roman" w:cs="黑体"/>
          <w:color w:val="000000"/>
          <w:sz w:val="36"/>
          <w:szCs w:val="36"/>
          <w:lang w:val="en-US" w:eastAsia="zh-CN"/>
        </w:rPr>
        <w:t>赛题编号</w:t>
      </w:r>
      <w:r>
        <w:rPr>
          <w:rFonts w:hint="eastAsia" w:ascii="Times New Roman" w:hAnsi="Times New Roman" w:eastAsia="黑体" w:cs="黑体"/>
          <w:color w:val="000000"/>
          <w:sz w:val="36"/>
          <w:szCs w:val="36"/>
          <w:lang w:val="en-US" w:eastAsia="zh-CN"/>
        </w:rPr>
        <w:t>：</w:t>
      </w:r>
      <w:r>
        <w:rPr>
          <w:rFonts w:hint="eastAsia" w:ascii="Times New Roman" w:hAnsi="Times New Roman" w:eastAsia="黑体" w:cs="黑体"/>
          <w:color w:val="000000"/>
          <w:sz w:val="36"/>
          <w:szCs w:val="36"/>
        </w:rPr>
        <w:t>不同市场环境下的指数型基金动态配置策略设计]</w:t>
      </w:r>
    </w:p>
    <w:p w14:paraId="30781876">
      <w:pPr>
        <w:pStyle w:val="17"/>
        <w:jc w:val="center"/>
        <w:rPr>
          <w:rFonts w:hint="eastAsia" w:ascii="Times New Roman" w:hAnsi="Times New Roman" w:eastAsia="黑体" w:cs="黑体"/>
          <w:color w:val="000000"/>
          <w:sz w:val="36"/>
          <w:szCs w:val="36"/>
        </w:rPr>
      </w:pPr>
    </w:p>
    <w:p w14:paraId="429757DD">
      <w:pPr>
        <w:pStyle w:val="17"/>
        <w:jc w:val="center"/>
        <w:rPr>
          <w:rFonts w:ascii="Times New Roman" w:hAnsi="Times New Roman" w:eastAsia="宋体"/>
          <w:b w:val="0"/>
          <w:color w:val="000000"/>
        </w:rPr>
      </w:pPr>
    </w:p>
    <w:p w14:paraId="5E99C61C">
      <w:pPr>
        <w:pStyle w:val="17"/>
        <w:jc w:val="center"/>
        <w:rPr>
          <w:rFonts w:ascii="Times New Roman" w:hAnsi="Times New Roman" w:eastAsia="宋体"/>
          <w:b w:val="0"/>
          <w:color w:val="000000"/>
        </w:rPr>
      </w:pPr>
    </w:p>
    <w:p w14:paraId="1CAB6D4E">
      <w:pPr>
        <w:pStyle w:val="17"/>
        <w:jc w:val="center"/>
        <w:rPr>
          <w:rFonts w:ascii="Times New Roman" w:hAnsi="Times New Roman" w:eastAsia="宋体"/>
          <w:b w:val="0"/>
          <w:color w:val="000000"/>
        </w:rPr>
      </w:pPr>
    </w:p>
    <w:p w14:paraId="27C0870D">
      <w:pPr>
        <w:pStyle w:val="17"/>
        <w:jc w:val="center"/>
        <w:rPr>
          <w:rFonts w:ascii="Times New Roman" w:hAnsi="Times New Roman" w:eastAsia="宋体"/>
          <w:b w:val="0"/>
          <w:color w:val="000000"/>
        </w:rPr>
      </w:pPr>
    </w:p>
    <w:p w14:paraId="70AE3E94">
      <w:pPr>
        <w:pStyle w:val="17"/>
        <w:jc w:val="center"/>
        <w:rPr>
          <w:rFonts w:hint="eastAsia" w:ascii="Times New Roman" w:hAnsi="Times New Roman" w:eastAsia="黑体" w:cs="黑体"/>
          <w:b w:val="0"/>
          <w:color w:val="000000"/>
          <w:sz w:val="36"/>
          <w:szCs w:val="36"/>
        </w:rPr>
      </w:pPr>
      <w:r>
        <w:rPr>
          <w:rFonts w:hint="eastAsia" w:ascii="Times New Roman" w:hAnsi="Times New Roman" w:eastAsia="黑体" w:cs="黑体"/>
          <w:color w:val="000000"/>
          <w:sz w:val="36"/>
          <w:szCs w:val="36"/>
        </w:rPr>
        <w:t>[</w:t>
      </w:r>
      <w:r>
        <w:rPr>
          <w:rFonts w:hint="eastAsia" w:ascii="Times New Roman" w:hAnsi="Times New Roman" w:cs="黑体"/>
          <w:color w:val="000000"/>
          <w:sz w:val="36"/>
          <w:szCs w:val="36"/>
          <w:lang w:val="en-US" w:eastAsia="zh-CN"/>
        </w:rPr>
        <w:t>异质市场环境下指数基金动态配置优化策略研究</w:t>
      </w:r>
      <w:r>
        <w:rPr>
          <w:rFonts w:hint="eastAsia" w:ascii="Times New Roman" w:hAnsi="Times New Roman" w:eastAsia="黑体" w:cs="黑体"/>
          <w:color w:val="000000"/>
          <w:sz w:val="36"/>
          <w:szCs w:val="36"/>
        </w:rPr>
        <w:t>]</w:t>
      </w:r>
    </w:p>
    <w:p w14:paraId="710056F0">
      <w:pPr>
        <w:wordWrap w:val="0"/>
        <w:spacing w:line="300" w:lineRule="auto"/>
        <w:jc w:val="center"/>
        <w:rPr>
          <w:rFonts w:ascii="Times New Roman" w:hAnsi="Times New Roman"/>
          <w:b/>
          <w:szCs w:val="21"/>
        </w:rPr>
      </w:pPr>
    </w:p>
    <w:p w14:paraId="7DC2BC72">
      <w:pPr>
        <w:spacing w:line="300" w:lineRule="auto"/>
        <w:jc w:val="center"/>
        <w:rPr>
          <w:rFonts w:ascii="Times New Roman" w:hAnsi="Times New Roman"/>
          <w:b/>
          <w:sz w:val="24"/>
        </w:rPr>
      </w:pPr>
    </w:p>
    <w:p w14:paraId="1A534184">
      <w:pPr>
        <w:pStyle w:val="17"/>
        <w:jc w:val="center"/>
        <w:rPr>
          <w:rFonts w:ascii="Times New Roman" w:hAnsi="Times New Roman" w:eastAsia="宋体"/>
          <w:color w:val="000000"/>
        </w:rPr>
      </w:pPr>
    </w:p>
    <w:p w14:paraId="074E5249">
      <w:pPr>
        <w:pStyle w:val="17"/>
        <w:jc w:val="both"/>
        <w:rPr>
          <w:rFonts w:ascii="Times New Roman" w:hAnsi="Times New Roman" w:eastAsia="宋体"/>
          <w:color w:val="000000"/>
        </w:rPr>
      </w:pPr>
    </w:p>
    <w:p w14:paraId="1F184FBE">
      <w:pPr>
        <w:pStyle w:val="17"/>
        <w:jc w:val="center"/>
        <w:rPr>
          <w:rFonts w:ascii="Times New Roman" w:hAnsi="Times New Roman" w:eastAsia="宋体"/>
          <w:color w:val="000000"/>
        </w:rPr>
      </w:pPr>
    </w:p>
    <w:p w14:paraId="5D733D2D">
      <w:pPr>
        <w:pStyle w:val="17"/>
        <w:jc w:val="center"/>
        <w:rPr>
          <w:rFonts w:ascii="Times New Roman" w:hAnsi="Times New Roman" w:eastAsia="宋体"/>
          <w:color w:val="000000"/>
        </w:rPr>
      </w:pPr>
    </w:p>
    <w:p w14:paraId="3A457892">
      <w:pPr>
        <w:pStyle w:val="17"/>
        <w:jc w:val="center"/>
        <w:rPr>
          <w:rFonts w:ascii="Times New Roman" w:hAnsi="Times New Roman" w:eastAsia="宋体"/>
          <w:color w:val="000000"/>
        </w:rPr>
        <w:sectPr>
          <w:headerReference r:id="rId4" w:type="first"/>
          <w:footerReference r:id="rId6" w:type="first"/>
          <w:headerReference r:id="rId3" w:type="default"/>
          <w:footerReference r:id="rId5" w:type="default"/>
          <w:pgSz w:w="11906" w:h="16838"/>
          <w:pgMar w:top="1440" w:right="1797" w:bottom="1440" w:left="1797" w:header="851" w:footer="992" w:gutter="0"/>
          <w:pgNumType w:fmt="decimal" w:start="1"/>
          <w:cols w:space="425" w:num="1"/>
          <w:docGrid w:type="lines" w:linePitch="312" w:charSpace="0"/>
        </w:sectPr>
      </w:pPr>
      <w:r>
        <w:rPr>
          <w:rFonts w:ascii="Times New Roman" w:hAnsi="Times New Roman" w:eastAsia="宋体"/>
          <w:color w:val="000000"/>
          <w:sz w:val="28"/>
          <w:szCs w:val="28"/>
        </w:rPr>
        <w:t>[</w:t>
      </w:r>
      <w:r>
        <w:rPr>
          <w:rFonts w:hint="eastAsia" w:ascii="Times New Roman" w:hAnsi="Times New Roman" w:eastAsia="宋体"/>
          <w:color w:val="000000"/>
          <w:sz w:val="28"/>
          <w:szCs w:val="28"/>
          <w:lang w:val="en-US" w:eastAsia="zh-CN"/>
        </w:rPr>
        <w:t>三元智投队</w:t>
      </w:r>
      <w:r>
        <w:rPr>
          <w:rFonts w:ascii="Times New Roman" w:hAnsi="Times New Roman" w:eastAsia="宋体"/>
          <w:color w:val="000000"/>
          <w:sz w:val="28"/>
          <w:szCs w:val="28"/>
        </w:rPr>
        <w:t>]</w:t>
      </w:r>
    </w:p>
    <w:sdt>
      <w:sdtPr>
        <w:rPr>
          <w:rFonts w:ascii="Times New Roman" w:hAnsi="Times New Roman" w:eastAsia="宋体" w:cstheme="minorBidi"/>
          <w:kern w:val="2"/>
          <w:sz w:val="21"/>
          <w:szCs w:val="24"/>
          <w:lang w:val="en-US" w:eastAsia="zh-CN" w:bidi="ar-SA"/>
        </w:rPr>
        <w:id w:val="147462665"/>
        <w15:color w:val="DBDBDB"/>
        <w:docPartObj>
          <w:docPartGallery w:val="Table of Contents"/>
          <w:docPartUnique/>
        </w:docPartObj>
      </w:sdtPr>
      <w:sdtEndPr>
        <w:rPr>
          <w:rFonts w:ascii="Times New Roman" w:hAnsi="Times New Roman" w:eastAsia="宋体" w:cstheme="minorBidi"/>
          <w:kern w:val="2"/>
          <w:sz w:val="21"/>
          <w:szCs w:val="24"/>
          <w:lang w:val="en-US" w:eastAsia="zh-CN" w:bidi="ar-SA"/>
        </w:rPr>
      </w:sdtEndPr>
      <w:sdtContent>
        <w:p w14:paraId="7946A724">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eastAsia="宋体"/>
              <w:sz w:val="21"/>
            </w:rPr>
            <w:t>目录</w:t>
          </w:r>
        </w:p>
        <w:p w14:paraId="653162CD">
          <w:pPr>
            <w:pStyle w:val="10"/>
            <w:tabs>
              <w:tab w:val="right" w:leader="dot" w:pos="8306"/>
            </w:tabs>
          </w:pP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668035AC">
          <w:pPr>
            <w:pStyle w:val="7"/>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_Toc22219 </w:instrText>
          </w:r>
          <w:r>
            <w:rPr>
              <w:rFonts w:ascii="Times New Roman" w:hAnsi="Times New Roman"/>
            </w:rPr>
            <w:fldChar w:fldCharType="separate"/>
          </w:r>
          <w:r>
            <w:rPr>
              <w:rFonts w:hint="eastAsia" w:ascii="黑体" w:hAnsi="黑体" w:eastAsia="黑体" w:cs="黑体"/>
              <w:szCs w:val="32"/>
              <w:lang w:val="en-US" w:eastAsia="zh-CN"/>
            </w:rPr>
            <w:t>一、 项目背景与目标</w:t>
          </w:r>
          <w:r>
            <w:tab/>
          </w:r>
          <w:r>
            <w:fldChar w:fldCharType="begin"/>
          </w:r>
          <w:r>
            <w:instrText xml:space="preserve"> PAGEREF _Toc22219 \h </w:instrText>
          </w:r>
          <w:r>
            <w:fldChar w:fldCharType="separate"/>
          </w:r>
          <w:r>
            <w:t>4</w:t>
          </w:r>
          <w:r>
            <w:fldChar w:fldCharType="end"/>
          </w:r>
          <w:r>
            <w:rPr>
              <w:rFonts w:ascii="Times New Roman" w:hAnsi="Times New Roman"/>
            </w:rPr>
            <w:fldChar w:fldCharType="end"/>
          </w:r>
        </w:p>
        <w:p w14:paraId="649BA91B">
          <w:pPr>
            <w:pStyle w:val="10"/>
            <w:tabs>
              <w:tab w:val="right" w:leader="dot" w:pos="8306"/>
            </w:tabs>
          </w:pPr>
          <w:r>
            <w:rPr>
              <w:rFonts w:ascii="Times New Roman" w:hAnsi="Times New Roman"/>
            </w:rPr>
            <w:fldChar w:fldCharType="begin"/>
          </w:r>
          <w:r>
            <w:rPr>
              <w:rFonts w:ascii="Times New Roman" w:hAnsi="Times New Roman"/>
            </w:rPr>
            <w:instrText xml:space="preserve"> HYPERLINK \l _Toc28076 </w:instrText>
          </w:r>
          <w:r>
            <w:rPr>
              <w:rFonts w:ascii="Times New Roman" w:hAnsi="Times New Roman"/>
            </w:rPr>
            <w:fldChar w:fldCharType="separate"/>
          </w:r>
          <w:r>
            <w:rPr>
              <w:rFonts w:hint="eastAsia" w:ascii="黑体" w:hAnsi="黑体" w:eastAsia="黑体" w:cs="黑体"/>
              <w:szCs w:val="30"/>
            </w:rPr>
            <w:t xml:space="preserve">（一） </w:t>
          </w:r>
          <w:r>
            <w:rPr>
              <w:rFonts w:hint="eastAsia" w:ascii="黑体" w:hAnsi="黑体" w:eastAsia="黑体" w:cs="黑体"/>
              <w:szCs w:val="30"/>
              <w:lang w:val="en-US" w:eastAsia="zh-CN"/>
            </w:rPr>
            <w:t>项目背景</w:t>
          </w:r>
          <w:r>
            <w:tab/>
          </w:r>
          <w:r>
            <w:fldChar w:fldCharType="begin"/>
          </w:r>
          <w:r>
            <w:instrText xml:space="preserve"> PAGEREF _Toc28076 \h </w:instrText>
          </w:r>
          <w:r>
            <w:fldChar w:fldCharType="separate"/>
          </w:r>
          <w:r>
            <w:t>4</w:t>
          </w:r>
          <w:r>
            <w:fldChar w:fldCharType="end"/>
          </w:r>
          <w:r>
            <w:rPr>
              <w:rFonts w:ascii="Times New Roman" w:hAnsi="Times New Roman"/>
            </w:rPr>
            <w:fldChar w:fldCharType="end"/>
          </w:r>
        </w:p>
        <w:p w14:paraId="78EC6DD8">
          <w:pPr>
            <w:pStyle w:val="10"/>
            <w:tabs>
              <w:tab w:val="right" w:leader="dot" w:pos="8306"/>
            </w:tabs>
          </w:pPr>
          <w:r>
            <w:rPr>
              <w:rFonts w:ascii="Times New Roman" w:hAnsi="Times New Roman"/>
            </w:rPr>
            <w:fldChar w:fldCharType="begin"/>
          </w:r>
          <w:r>
            <w:rPr>
              <w:rFonts w:ascii="Times New Roman" w:hAnsi="Times New Roman"/>
            </w:rPr>
            <w:instrText xml:space="preserve"> HYPERLINK \l _Toc13757 </w:instrText>
          </w:r>
          <w:r>
            <w:rPr>
              <w:rFonts w:ascii="Times New Roman" w:hAnsi="Times New Roman"/>
            </w:rPr>
            <w:fldChar w:fldCharType="separate"/>
          </w:r>
          <w:r>
            <w:rPr>
              <w:rFonts w:hint="eastAsia" w:ascii="黑体" w:hAnsi="黑体" w:eastAsia="黑体" w:cs="黑体"/>
              <w:szCs w:val="30"/>
              <w:lang w:val="en-US" w:eastAsia="zh-CN"/>
            </w:rPr>
            <w:t>（二） 项目目标</w:t>
          </w:r>
          <w:r>
            <w:tab/>
          </w:r>
          <w:r>
            <w:fldChar w:fldCharType="begin"/>
          </w:r>
          <w:r>
            <w:instrText xml:space="preserve"> PAGEREF _Toc13757 \h </w:instrText>
          </w:r>
          <w:r>
            <w:fldChar w:fldCharType="separate"/>
          </w:r>
          <w:r>
            <w:t>6</w:t>
          </w:r>
          <w:r>
            <w:fldChar w:fldCharType="end"/>
          </w:r>
          <w:r>
            <w:rPr>
              <w:rFonts w:ascii="Times New Roman" w:hAnsi="Times New Roman"/>
            </w:rPr>
            <w:fldChar w:fldCharType="end"/>
          </w:r>
        </w:p>
        <w:p w14:paraId="42875EDA">
          <w:pPr>
            <w:pStyle w:val="7"/>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_Toc16076 </w:instrText>
          </w:r>
          <w:r>
            <w:rPr>
              <w:rFonts w:ascii="Times New Roman" w:hAnsi="Times New Roman"/>
            </w:rPr>
            <w:fldChar w:fldCharType="separate"/>
          </w:r>
          <w:r>
            <w:rPr>
              <w:rFonts w:hint="eastAsia" w:ascii="黑体" w:hAnsi="黑体" w:eastAsia="黑体" w:cs="黑体"/>
              <w:szCs w:val="32"/>
              <w:lang w:val="en-US" w:eastAsia="zh-CN"/>
            </w:rPr>
            <w:t>二、 数据体系与处理</w:t>
          </w:r>
          <w:r>
            <w:tab/>
          </w:r>
          <w:r>
            <w:fldChar w:fldCharType="begin"/>
          </w:r>
          <w:r>
            <w:instrText xml:space="preserve"> PAGEREF _Toc16076 \h </w:instrText>
          </w:r>
          <w:r>
            <w:fldChar w:fldCharType="separate"/>
          </w:r>
          <w:r>
            <w:t>8</w:t>
          </w:r>
          <w:r>
            <w:fldChar w:fldCharType="end"/>
          </w:r>
          <w:r>
            <w:rPr>
              <w:rFonts w:ascii="Times New Roman" w:hAnsi="Times New Roman"/>
            </w:rPr>
            <w:fldChar w:fldCharType="end"/>
          </w:r>
        </w:p>
        <w:p w14:paraId="157219E8">
          <w:pPr>
            <w:pStyle w:val="10"/>
            <w:tabs>
              <w:tab w:val="right" w:leader="dot" w:pos="8306"/>
            </w:tabs>
          </w:pPr>
          <w:r>
            <w:rPr>
              <w:rFonts w:ascii="Times New Roman" w:hAnsi="Times New Roman"/>
            </w:rPr>
            <w:fldChar w:fldCharType="begin"/>
          </w:r>
          <w:r>
            <w:rPr>
              <w:rFonts w:ascii="Times New Roman" w:hAnsi="Times New Roman"/>
            </w:rPr>
            <w:instrText xml:space="preserve"> HYPERLINK \l _Toc8217 </w:instrText>
          </w:r>
          <w:r>
            <w:rPr>
              <w:rFonts w:ascii="Times New Roman" w:hAnsi="Times New Roman"/>
            </w:rPr>
            <w:fldChar w:fldCharType="separate"/>
          </w:r>
          <w:r>
            <w:rPr>
              <w:rFonts w:hint="eastAsia" w:ascii="黑体" w:hAnsi="黑体" w:eastAsia="黑体" w:cs="黑体"/>
              <w:szCs w:val="30"/>
              <w:lang w:val="en-US" w:eastAsia="zh-CN"/>
            </w:rPr>
            <w:t>（一） 资产池设计</w:t>
          </w:r>
          <w:r>
            <w:tab/>
          </w:r>
          <w:r>
            <w:fldChar w:fldCharType="begin"/>
          </w:r>
          <w:r>
            <w:instrText xml:space="preserve"> PAGEREF _Toc8217 \h </w:instrText>
          </w:r>
          <w:r>
            <w:fldChar w:fldCharType="separate"/>
          </w:r>
          <w:r>
            <w:t>8</w:t>
          </w:r>
          <w:r>
            <w:fldChar w:fldCharType="end"/>
          </w:r>
          <w:r>
            <w:rPr>
              <w:rFonts w:ascii="Times New Roman" w:hAnsi="Times New Roman"/>
            </w:rPr>
            <w:fldChar w:fldCharType="end"/>
          </w:r>
        </w:p>
        <w:p w14:paraId="051374FF">
          <w:pPr>
            <w:pStyle w:val="10"/>
            <w:tabs>
              <w:tab w:val="right" w:leader="dot" w:pos="8306"/>
            </w:tabs>
          </w:pPr>
          <w:r>
            <w:rPr>
              <w:rFonts w:ascii="Times New Roman" w:hAnsi="Times New Roman"/>
            </w:rPr>
            <w:fldChar w:fldCharType="begin"/>
          </w:r>
          <w:r>
            <w:rPr>
              <w:rFonts w:ascii="Times New Roman" w:hAnsi="Times New Roman"/>
            </w:rPr>
            <w:instrText xml:space="preserve"> HYPERLINK \l _Toc5679 </w:instrText>
          </w:r>
          <w:r>
            <w:rPr>
              <w:rFonts w:ascii="Times New Roman" w:hAnsi="Times New Roman"/>
            </w:rPr>
            <w:fldChar w:fldCharType="separate"/>
          </w:r>
          <w:r>
            <w:rPr>
              <w:rFonts w:hint="eastAsia" w:ascii="黑体" w:hAnsi="黑体" w:eastAsia="黑体" w:cs="黑体"/>
              <w:szCs w:val="30"/>
              <w:lang w:val="en-US" w:eastAsia="zh-CN"/>
            </w:rPr>
            <w:t>（二） 数据来源与采集</w:t>
          </w:r>
          <w:r>
            <w:tab/>
          </w:r>
          <w:r>
            <w:fldChar w:fldCharType="begin"/>
          </w:r>
          <w:r>
            <w:instrText xml:space="preserve"> PAGEREF _Toc5679 \h </w:instrText>
          </w:r>
          <w:r>
            <w:fldChar w:fldCharType="separate"/>
          </w:r>
          <w:r>
            <w:t>12</w:t>
          </w:r>
          <w:r>
            <w:fldChar w:fldCharType="end"/>
          </w:r>
          <w:r>
            <w:rPr>
              <w:rFonts w:ascii="Times New Roman" w:hAnsi="Times New Roman"/>
            </w:rPr>
            <w:fldChar w:fldCharType="end"/>
          </w:r>
        </w:p>
        <w:p w14:paraId="15A41370">
          <w:pPr>
            <w:pStyle w:val="10"/>
            <w:tabs>
              <w:tab w:val="right" w:leader="dot" w:pos="8306"/>
            </w:tabs>
          </w:pPr>
          <w:r>
            <w:rPr>
              <w:rFonts w:ascii="Times New Roman" w:hAnsi="Times New Roman"/>
            </w:rPr>
            <w:fldChar w:fldCharType="begin"/>
          </w:r>
          <w:r>
            <w:rPr>
              <w:rFonts w:ascii="Times New Roman" w:hAnsi="Times New Roman"/>
            </w:rPr>
            <w:instrText xml:space="preserve"> HYPERLINK \l _Toc30386 </w:instrText>
          </w:r>
          <w:r>
            <w:rPr>
              <w:rFonts w:ascii="Times New Roman" w:hAnsi="Times New Roman"/>
            </w:rPr>
            <w:fldChar w:fldCharType="separate"/>
          </w:r>
          <w:r>
            <w:rPr>
              <w:rFonts w:hint="eastAsia" w:ascii="黑体" w:hAnsi="黑体" w:eastAsia="黑体" w:cs="黑体"/>
              <w:szCs w:val="30"/>
              <w:lang w:val="en-US" w:eastAsia="zh-CN"/>
            </w:rPr>
            <w:t>（三） 数据清洗与特征工程</w:t>
          </w:r>
          <w:r>
            <w:tab/>
          </w:r>
          <w:r>
            <w:fldChar w:fldCharType="begin"/>
          </w:r>
          <w:r>
            <w:instrText xml:space="preserve"> PAGEREF _Toc30386 \h </w:instrText>
          </w:r>
          <w:r>
            <w:fldChar w:fldCharType="separate"/>
          </w:r>
          <w:r>
            <w:t>13</w:t>
          </w:r>
          <w:r>
            <w:fldChar w:fldCharType="end"/>
          </w:r>
          <w:r>
            <w:rPr>
              <w:rFonts w:ascii="Times New Roman" w:hAnsi="Times New Roman"/>
            </w:rPr>
            <w:fldChar w:fldCharType="end"/>
          </w:r>
        </w:p>
        <w:p w14:paraId="0D50C118">
          <w:pPr>
            <w:pStyle w:val="10"/>
            <w:tabs>
              <w:tab w:val="right" w:leader="dot" w:pos="8306"/>
            </w:tabs>
          </w:pPr>
          <w:r>
            <w:rPr>
              <w:rFonts w:ascii="Times New Roman" w:hAnsi="Times New Roman"/>
            </w:rPr>
            <w:fldChar w:fldCharType="begin"/>
          </w:r>
          <w:r>
            <w:rPr>
              <w:rFonts w:ascii="Times New Roman" w:hAnsi="Times New Roman"/>
            </w:rPr>
            <w:instrText xml:space="preserve"> HYPERLINK \l _Toc13992 </w:instrText>
          </w:r>
          <w:r>
            <w:rPr>
              <w:rFonts w:ascii="Times New Roman" w:hAnsi="Times New Roman"/>
            </w:rPr>
            <w:fldChar w:fldCharType="separate"/>
          </w:r>
          <w:r>
            <w:rPr>
              <w:rFonts w:hint="eastAsia" w:ascii="黑体" w:hAnsi="黑体" w:eastAsia="黑体" w:cs="黑体"/>
              <w:szCs w:val="30"/>
              <w:lang w:val="en-US" w:eastAsia="zh-CN"/>
            </w:rPr>
            <w:t>（四） 数据体系总结</w:t>
          </w:r>
          <w:r>
            <w:tab/>
          </w:r>
          <w:r>
            <w:fldChar w:fldCharType="begin"/>
          </w:r>
          <w:r>
            <w:instrText xml:space="preserve"> PAGEREF _Toc13992 \h </w:instrText>
          </w:r>
          <w:r>
            <w:fldChar w:fldCharType="separate"/>
          </w:r>
          <w:r>
            <w:t>16</w:t>
          </w:r>
          <w:r>
            <w:fldChar w:fldCharType="end"/>
          </w:r>
          <w:r>
            <w:rPr>
              <w:rFonts w:ascii="Times New Roman" w:hAnsi="Times New Roman"/>
            </w:rPr>
            <w:fldChar w:fldCharType="end"/>
          </w:r>
        </w:p>
        <w:p w14:paraId="578A9493">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_Toc32427 </w:instrText>
          </w:r>
          <w:r>
            <w:rPr>
              <w:rFonts w:ascii="Times New Roman" w:hAnsi="Times New Roman"/>
            </w:rPr>
            <w:fldChar w:fldCharType="separate"/>
          </w:r>
          <w:r>
            <w:rPr>
              <w:rFonts w:hint="eastAsia" w:ascii="黑体" w:hAnsi="黑体" w:eastAsia="黑体" w:cs="黑体"/>
              <w:szCs w:val="32"/>
              <w:lang w:val="en-US" w:eastAsia="zh-CN"/>
            </w:rPr>
            <w:t>三、 市场环境评分系统</w:t>
          </w:r>
          <w:r>
            <w:tab/>
          </w:r>
          <w:r>
            <w:fldChar w:fldCharType="begin"/>
          </w:r>
          <w:r>
            <w:instrText xml:space="preserve"> PAGEREF _Toc32427 \h </w:instrText>
          </w:r>
          <w:r>
            <w:fldChar w:fldCharType="separate"/>
          </w:r>
          <w:r>
            <w:t>16</w:t>
          </w:r>
          <w:r>
            <w:fldChar w:fldCharType="end"/>
          </w:r>
          <w:r>
            <w:rPr>
              <w:rFonts w:ascii="Times New Roman" w:hAnsi="Times New Roman"/>
            </w:rPr>
            <w:fldChar w:fldCharType="end"/>
          </w:r>
        </w:p>
        <w:p w14:paraId="4CC6C3ED">
          <w:pPr>
            <w:pStyle w:val="10"/>
            <w:tabs>
              <w:tab w:val="right" w:leader="dot" w:pos="8306"/>
            </w:tabs>
          </w:pPr>
          <w:r>
            <w:rPr>
              <w:rFonts w:ascii="Times New Roman" w:hAnsi="Times New Roman"/>
            </w:rPr>
            <w:fldChar w:fldCharType="begin"/>
          </w:r>
          <w:r>
            <w:rPr>
              <w:rFonts w:ascii="Times New Roman" w:hAnsi="Times New Roman"/>
            </w:rPr>
            <w:instrText xml:space="preserve"> HYPERLINK \l _Toc25792 </w:instrText>
          </w:r>
          <w:r>
            <w:rPr>
              <w:rFonts w:ascii="Times New Roman" w:hAnsi="Times New Roman"/>
            </w:rPr>
            <w:fldChar w:fldCharType="separate"/>
          </w:r>
          <w:r>
            <w:rPr>
              <w:rFonts w:hint="eastAsia" w:ascii="黑体" w:hAnsi="黑体" w:eastAsia="黑体" w:cs="黑体"/>
              <w:szCs w:val="30"/>
              <w:lang w:val="en-US" w:eastAsia="zh-CN"/>
            </w:rPr>
            <w:t>（一） 四维评分框架</w:t>
          </w:r>
          <w:r>
            <w:tab/>
          </w:r>
          <w:r>
            <w:fldChar w:fldCharType="begin"/>
          </w:r>
          <w:r>
            <w:instrText xml:space="preserve"> PAGEREF _Toc25792 \h </w:instrText>
          </w:r>
          <w:r>
            <w:fldChar w:fldCharType="separate"/>
          </w:r>
          <w:r>
            <w:t>16</w:t>
          </w:r>
          <w:r>
            <w:fldChar w:fldCharType="end"/>
          </w:r>
          <w:r>
            <w:rPr>
              <w:rFonts w:ascii="Times New Roman" w:hAnsi="Times New Roman"/>
            </w:rPr>
            <w:fldChar w:fldCharType="end"/>
          </w:r>
        </w:p>
        <w:p w14:paraId="340FE80C">
          <w:pPr>
            <w:pStyle w:val="10"/>
            <w:tabs>
              <w:tab w:val="right" w:leader="dot" w:pos="8306"/>
            </w:tabs>
          </w:pPr>
          <w:r>
            <w:rPr>
              <w:rFonts w:ascii="Times New Roman" w:hAnsi="Times New Roman"/>
            </w:rPr>
            <w:fldChar w:fldCharType="begin"/>
          </w:r>
          <w:r>
            <w:rPr>
              <w:rFonts w:ascii="Times New Roman" w:hAnsi="Times New Roman"/>
            </w:rPr>
            <w:instrText xml:space="preserve"> HYPERLINK \l _Toc27422 </w:instrText>
          </w:r>
          <w:r>
            <w:rPr>
              <w:rFonts w:ascii="Times New Roman" w:hAnsi="Times New Roman"/>
            </w:rPr>
            <w:fldChar w:fldCharType="separate"/>
          </w:r>
          <w:r>
            <w:rPr>
              <w:rFonts w:hint="eastAsia" w:ascii="黑体" w:hAnsi="黑体" w:eastAsia="黑体" w:cs="黑体"/>
              <w:szCs w:val="30"/>
              <w:lang w:val="en-US" w:eastAsia="zh-CN"/>
            </w:rPr>
            <w:t>（二） 各维度打分函数</w:t>
          </w:r>
          <w:r>
            <w:tab/>
          </w:r>
          <w:r>
            <w:fldChar w:fldCharType="begin"/>
          </w:r>
          <w:r>
            <w:instrText xml:space="preserve"> PAGEREF _Toc27422 \h </w:instrText>
          </w:r>
          <w:r>
            <w:fldChar w:fldCharType="separate"/>
          </w:r>
          <w:r>
            <w:t>17</w:t>
          </w:r>
          <w:r>
            <w:fldChar w:fldCharType="end"/>
          </w:r>
          <w:r>
            <w:rPr>
              <w:rFonts w:ascii="Times New Roman" w:hAnsi="Times New Roman"/>
            </w:rPr>
            <w:fldChar w:fldCharType="end"/>
          </w:r>
        </w:p>
        <w:p w14:paraId="490A2F65">
          <w:pPr>
            <w:pStyle w:val="10"/>
            <w:tabs>
              <w:tab w:val="right" w:leader="dot" w:pos="8306"/>
            </w:tabs>
          </w:pPr>
          <w:r>
            <w:rPr>
              <w:rFonts w:ascii="Times New Roman" w:hAnsi="Times New Roman"/>
            </w:rPr>
            <w:fldChar w:fldCharType="begin"/>
          </w:r>
          <w:r>
            <w:rPr>
              <w:rFonts w:ascii="Times New Roman" w:hAnsi="Times New Roman"/>
            </w:rPr>
            <w:instrText xml:space="preserve"> HYPERLINK \l _Toc27408 </w:instrText>
          </w:r>
          <w:r>
            <w:rPr>
              <w:rFonts w:ascii="Times New Roman" w:hAnsi="Times New Roman"/>
            </w:rPr>
            <w:fldChar w:fldCharType="separate"/>
          </w:r>
          <w:r>
            <w:rPr>
              <w:rFonts w:hint="eastAsia" w:ascii="黑体" w:hAnsi="黑体" w:eastAsia="黑体" w:cs="黑体"/>
              <w:szCs w:val="30"/>
              <w:lang w:val="en-US" w:eastAsia="zh-CN"/>
            </w:rPr>
            <w:t>（三） 综合得分与映射</w:t>
          </w:r>
          <w:r>
            <w:tab/>
          </w:r>
          <w:r>
            <w:fldChar w:fldCharType="begin"/>
          </w:r>
          <w:r>
            <w:instrText xml:space="preserve"> PAGEREF _Toc27408 \h </w:instrText>
          </w:r>
          <w:r>
            <w:fldChar w:fldCharType="separate"/>
          </w:r>
          <w:r>
            <w:t>20</w:t>
          </w:r>
          <w:r>
            <w:fldChar w:fldCharType="end"/>
          </w:r>
          <w:r>
            <w:rPr>
              <w:rFonts w:ascii="Times New Roman" w:hAnsi="Times New Roman"/>
            </w:rPr>
            <w:fldChar w:fldCharType="end"/>
          </w:r>
        </w:p>
        <w:p w14:paraId="1F872256">
          <w:pPr>
            <w:pStyle w:val="10"/>
            <w:tabs>
              <w:tab w:val="right" w:leader="dot" w:pos="8306"/>
            </w:tabs>
          </w:pPr>
          <w:r>
            <w:rPr>
              <w:rFonts w:ascii="Times New Roman" w:hAnsi="Times New Roman"/>
            </w:rPr>
            <w:fldChar w:fldCharType="begin"/>
          </w:r>
          <w:r>
            <w:rPr>
              <w:rFonts w:ascii="Times New Roman" w:hAnsi="Times New Roman"/>
            </w:rPr>
            <w:instrText xml:space="preserve"> HYPERLINK \l _Toc23052 </w:instrText>
          </w:r>
          <w:r>
            <w:rPr>
              <w:rFonts w:ascii="Times New Roman" w:hAnsi="Times New Roman"/>
            </w:rPr>
            <w:fldChar w:fldCharType="separate"/>
          </w:r>
          <w:r>
            <w:rPr>
              <w:rFonts w:hint="eastAsia" w:ascii="黑体" w:hAnsi="黑体" w:eastAsia="黑体" w:cs="黑体"/>
              <w:szCs w:val="30"/>
              <w:lang w:val="en-US" w:eastAsia="zh-CN"/>
            </w:rPr>
            <w:t>（四） 调仓决策规则</w:t>
          </w:r>
          <w:r>
            <w:tab/>
          </w:r>
          <w:r>
            <w:fldChar w:fldCharType="begin"/>
          </w:r>
          <w:r>
            <w:instrText xml:space="preserve"> PAGEREF _Toc23052 \h </w:instrText>
          </w:r>
          <w:r>
            <w:fldChar w:fldCharType="separate"/>
          </w:r>
          <w:r>
            <w:t>21</w:t>
          </w:r>
          <w:r>
            <w:fldChar w:fldCharType="end"/>
          </w:r>
          <w:r>
            <w:rPr>
              <w:rFonts w:ascii="Times New Roman" w:hAnsi="Times New Roman"/>
            </w:rPr>
            <w:fldChar w:fldCharType="end"/>
          </w:r>
        </w:p>
        <w:p w14:paraId="3C9849CD">
          <w:pPr>
            <w:pStyle w:val="10"/>
            <w:tabs>
              <w:tab w:val="right" w:leader="dot" w:pos="8306"/>
            </w:tabs>
          </w:pPr>
          <w:r>
            <w:rPr>
              <w:rFonts w:ascii="Times New Roman" w:hAnsi="Times New Roman"/>
            </w:rPr>
            <w:fldChar w:fldCharType="begin"/>
          </w:r>
          <w:r>
            <w:rPr>
              <w:rFonts w:ascii="Times New Roman" w:hAnsi="Times New Roman"/>
            </w:rPr>
            <w:instrText xml:space="preserve"> HYPERLINK \l _Toc3706 </w:instrText>
          </w:r>
          <w:r>
            <w:rPr>
              <w:rFonts w:ascii="Times New Roman" w:hAnsi="Times New Roman"/>
            </w:rPr>
            <w:fldChar w:fldCharType="separate"/>
          </w:r>
          <w:r>
            <w:rPr>
              <w:rFonts w:hint="eastAsia" w:ascii="黑体" w:hAnsi="黑体" w:eastAsia="黑体" w:cs="黑体"/>
              <w:szCs w:val="30"/>
              <w:lang w:val="en-US" w:eastAsia="zh-CN"/>
            </w:rPr>
            <w:t xml:space="preserve">（五） </w:t>
          </w:r>
          <w:r>
            <w:rPr>
              <w:rFonts w:hint="default" w:ascii="黑体" w:hAnsi="黑体" w:eastAsia="黑体" w:cs="黑体"/>
              <w:szCs w:val="30"/>
              <w:lang w:val="en-US" w:eastAsia="zh-CN"/>
            </w:rPr>
            <w:t>评分系统实证效果</w:t>
          </w:r>
          <w:r>
            <w:tab/>
          </w:r>
          <w:r>
            <w:fldChar w:fldCharType="begin"/>
          </w:r>
          <w:r>
            <w:instrText xml:space="preserve"> PAGEREF _Toc3706 \h </w:instrText>
          </w:r>
          <w:r>
            <w:fldChar w:fldCharType="separate"/>
          </w:r>
          <w:r>
            <w:t>22</w:t>
          </w:r>
          <w:r>
            <w:fldChar w:fldCharType="end"/>
          </w:r>
          <w:r>
            <w:rPr>
              <w:rFonts w:ascii="Times New Roman" w:hAnsi="Times New Roman"/>
            </w:rPr>
            <w:fldChar w:fldCharType="end"/>
          </w:r>
        </w:p>
        <w:p w14:paraId="253582F1">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_Toc7161 </w:instrText>
          </w:r>
          <w:r>
            <w:rPr>
              <w:rFonts w:ascii="Times New Roman" w:hAnsi="Times New Roman"/>
            </w:rPr>
            <w:fldChar w:fldCharType="separate"/>
          </w:r>
          <w:r>
            <w:rPr>
              <w:rFonts w:hint="eastAsia" w:ascii="黑体" w:hAnsi="黑体" w:eastAsia="黑体" w:cs="黑体"/>
              <w:szCs w:val="32"/>
              <w:lang w:val="en-US" w:eastAsia="zh-CN"/>
            </w:rPr>
            <w:t xml:space="preserve">四、 </w:t>
          </w:r>
          <w:r>
            <w:rPr>
              <w:rFonts w:hint="default" w:ascii="黑体" w:hAnsi="黑体" w:eastAsia="黑体" w:cs="黑体"/>
              <w:szCs w:val="32"/>
              <w:lang w:val="en-US" w:eastAsia="zh-CN"/>
            </w:rPr>
            <w:t> LightGBM收益预测与动态融合</w:t>
          </w:r>
          <w:r>
            <w:tab/>
          </w:r>
          <w:r>
            <w:fldChar w:fldCharType="begin"/>
          </w:r>
          <w:r>
            <w:instrText xml:space="preserve"> PAGEREF _Toc7161 \h </w:instrText>
          </w:r>
          <w:r>
            <w:fldChar w:fldCharType="separate"/>
          </w:r>
          <w:r>
            <w:t>23</w:t>
          </w:r>
          <w:r>
            <w:fldChar w:fldCharType="end"/>
          </w:r>
          <w:r>
            <w:rPr>
              <w:rFonts w:ascii="Times New Roman" w:hAnsi="Times New Roman"/>
            </w:rPr>
            <w:fldChar w:fldCharType="end"/>
          </w:r>
        </w:p>
        <w:p w14:paraId="3071163D">
          <w:pPr>
            <w:pStyle w:val="10"/>
            <w:tabs>
              <w:tab w:val="right" w:leader="dot" w:pos="8306"/>
            </w:tabs>
          </w:pPr>
          <w:r>
            <w:rPr>
              <w:rFonts w:ascii="Times New Roman" w:hAnsi="Times New Roman"/>
            </w:rPr>
            <w:fldChar w:fldCharType="begin"/>
          </w:r>
          <w:r>
            <w:rPr>
              <w:rFonts w:ascii="Times New Roman" w:hAnsi="Times New Roman"/>
            </w:rPr>
            <w:instrText xml:space="preserve"> HYPERLINK \l _Toc27989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特征工程与筛选</w:t>
          </w:r>
          <w:r>
            <w:tab/>
          </w:r>
          <w:r>
            <w:fldChar w:fldCharType="begin"/>
          </w:r>
          <w:r>
            <w:instrText xml:space="preserve"> PAGEREF _Toc27989 \h </w:instrText>
          </w:r>
          <w:r>
            <w:fldChar w:fldCharType="separate"/>
          </w:r>
          <w:r>
            <w:t>23</w:t>
          </w:r>
          <w:r>
            <w:fldChar w:fldCharType="end"/>
          </w:r>
          <w:r>
            <w:rPr>
              <w:rFonts w:ascii="Times New Roman" w:hAnsi="Times New Roman"/>
            </w:rPr>
            <w:fldChar w:fldCharType="end"/>
          </w:r>
        </w:p>
        <w:p w14:paraId="4A75BB55">
          <w:pPr>
            <w:pStyle w:val="10"/>
            <w:tabs>
              <w:tab w:val="right" w:leader="dot" w:pos="8306"/>
            </w:tabs>
          </w:pPr>
          <w:r>
            <w:rPr>
              <w:rFonts w:ascii="Times New Roman" w:hAnsi="Times New Roman"/>
            </w:rPr>
            <w:fldChar w:fldCharType="begin"/>
          </w:r>
          <w:r>
            <w:rPr>
              <w:rFonts w:ascii="Times New Roman" w:hAnsi="Times New Roman"/>
            </w:rPr>
            <w:instrText xml:space="preserve"> HYPERLINK \l _Toc21547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Walk-Forward滚动验证框架</w:t>
          </w:r>
          <w:r>
            <w:tab/>
          </w:r>
          <w:r>
            <w:fldChar w:fldCharType="begin"/>
          </w:r>
          <w:r>
            <w:instrText xml:space="preserve"> PAGEREF _Toc21547 \h </w:instrText>
          </w:r>
          <w:r>
            <w:fldChar w:fldCharType="separate"/>
          </w:r>
          <w:r>
            <w:t>25</w:t>
          </w:r>
          <w:r>
            <w:fldChar w:fldCharType="end"/>
          </w:r>
          <w:r>
            <w:rPr>
              <w:rFonts w:ascii="Times New Roman" w:hAnsi="Times New Roman"/>
            </w:rPr>
            <w:fldChar w:fldCharType="end"/>
          </w:r>
        </w:p>
        <w:p w14:paraId="2D31A857">
          <w:pPr>
            <w:pStyle w:val="10"/>
            <w:tabs>
              <w:tab w:val="right" w:leader="dot" w:pos="8306"/>
            </w:tabs>
          </w:pPr>
          <w:r>
            <w:rPr>
              <w:rFonts w:ascii="Times New Roman" w:hAnsi="Times New Roman"/>
            </w:rPr>
            <w:fldChar w:fldCharType="begin"/>
          </w:r>
          <w:r>
            <w:rPr>
              <w:rFonts w:ascii="Times New Roman" w:hAnsi="Times New Roman"/>
            </w:rPr>
            <w:instrText xml:space="preserve"> HYPERLINK \l _Toc30107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LGB + 动态评分融合策略</w:t>
          </w:r>
          <w:r>
            <w:tab/>
          </w:r>
          <w:r>
            <w:fldChar w:fldCharType="begin"/>
          </w:r>
          <w:r>
            <w:instrText xml:space="preserve"> PAGEREF _Toc30107 \h </w:instrText>
          </w:r>
          <w:r>
            <w:fldChar w:fldCharType="separate"/>
          </w:r>
          <w:r>
            <w:t>26</w:t>
          </w:r>
          <w:r>
            <w:fldChar w:fldCharType="end"/>
          </w:r>
          <w:r>
            <w:rPr>
              <w:rFonts w:ascii="Times New Roman" w:hAnsi="Times New Roman"/>
            </w:rPr>
            <w:fldChar w:fldCharType="end"/>
          </w:r>
        </w:p>
        <w:p w14:paraId="7565AC68">
          <w:pPr>
            <w:pStyle w:val="10"/>
            <w:tabs>
              <w:tab w:val="right" w:leader="dot" w:pos="8306"/>
            </w:tabs>
          </w:pPr>
          <w:r>
            <w:rPr>
              <w:rFonts w:ascii="Times New Roman" w:hAnsi="Times New Roman"/>
            </w:rPr>
            <w:fldChar w:fldCharType="begin"/>
          </w:r>
          <w:r>
            <w:rPr>
              <w:rFonts w:ascii="Times New Roman" w:hAnsi="Times New Roman"/>
            </w:rPr>
            <w:instrText xml:space="preserve"> HYPERLINK \l _Toc14346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本章小结</w:t>
          </w:r>
          <w:r>
            <w:tab/>
          </w:r>
          <w:r>
            <w:fldChar w:fldCharType="begin"/>
          </w:r>
          <w:r>
            <w:instrText xml:space="preserve"> PAGEREF _Toc14346 \h </w:instrText>
          </w:r>
          <w:r>
            <w:fldChar w:fldCharType="separate"/>
          </w:r>
          <w:r>
            <w:t>27</w:t>
          </w:r>
          <w:r>
            <w:fldChar w:fldCharType="end"/>
          </w:r>
          <w:r>
            <w:rPr>
              <w:rFonts w:ascii="Times New Roman" w:hAnsi="Times New Roman"/>
            </w:rPr>
            <w:fldChar w:fldCharType="end"/>
          </w:r>
        </w:p>
        <w:p w14:paraId="241E8C97">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_Toc14821 </w:instrText>
          </w:r>
          <w:r>
            <w:rPr>
              <w:rFonts w:ascii="Times New Roman" w:hAnsi="Times New Roman"/>
            </w:rPr>
            <w:fldChar w:fldCharType="separate"/>
          </w:r>
          <w:r>
            <w:rPr>
              <w:rFonts w:hint="eastAsia" w:ascii="黑体" w:hAnsi="黑体" w:eastAsia="黑体" w:cs="黑体"/>
              <w:szCs w:val="32"/>
              <w:lang w:val="en-US" w:eastAsia="zh-CN"/>
            </w:rPr>
            <w:t xml:space="preserve">五、 </w:t>
          </w:r>
          <w:r>
            <w:rPr>
              <w:rFonts w:hint="default" w:ascii="黑体" w:hAnsi="黑体" w:eastAsia="黑体" w:cs="黑体"/>
              <w:szCs w:val="32"/>
              <w:lang w:val="en-US" w:eastAsia="zh-CN"/>
            </w:rPr>
            <w:t>强化学习探索（PPO）</w:t>
          </w:r>
          <w:r>
            <w:tab/>
          </w:r>
          <w:r>
            <w:fldChar w:fldCharType="begin"/>
          </w:r>
          <w:r>
            <w:instrText xml:space="preserve"> PAGEREF _Toc14821 \h </w:instrText>
          </w:r>
          <w:r>
            <w:fldChar w:fldCharType="separate"/>
          </w:r>
          <w:r>
            <w:t>27</w:t>
          </w:r>
          <w:r>
            <w:fldChar w:fldCharType="end"/>
          </w:r>
          <w:r>
            <w:rPr>
              <w:rFonts w:ascii="Times New Roman" w:hAnsi="Times New Roman"/>
            </w:rPr>
            <w:fldChar w:fldCharType="end"/>
          </w:r>
        </w:p>
        <w:p w14:paraId="7B6FFFCE">
          <w:pPr>
            <w:pStyle w:val="10"/>
            <w:tabs>
              <w:tab w:val="right" w:leader="dot" w:pos="8306"/>
            </w:tabs>
          </w:pPr>
          <w:r>
            <w:rPr>
              <w:rFonts w:ascii="Times New Roman" w:hAnsi="Times New Roman"/>
            </w:rPr>
            <w:fldChar w:fldCharType="begin"/>
          </w:r>
          <w:r>
            <w:rPr>
              <w:rFonts w:ascii="Times New Roman" w:hAnsi="Times New Roman"/>
            </w:rPr>
            <w:instrText xml:space="preserve"> HYPERLINK \l _Toc13890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问题定义与动机</w:t>
          </w:r>
          <w:r>
            <w:tab/>
          </w:r>
          <w:r>
            <w:fldChar w:fldCharType="begin"/>
          </w:r>
          <w:r>
            <w:instrText xml:space="preserve"> PAGEREF _Toc13890 \h </w:instrText>
          </w:r>
          <w:r>
            <w:fldChar w:fldCharType="separate"/>
          </w:r>
          <w:r>
            <w:t>27</w:t>
          </w:r>
          <w:r>
            <w:fldChar w:fldCharType="end"/>
          </w:r>
          <w:r>
            <w:rPr>
              <w:rFonts w:ascii="Times New Roman" w:hAnsi="Times New Roman"/>
            </w:rPr>
            <w:fldChar w:fldCharType="end"/>
          </w:r>
        </w:p>
        <w:p w14:paraId="61B00270">
          <w:pPr>
            <w:pStyle w:val="10"/>
            <w:tabs>
              <w:tab w:val="right" w:leader="dot" w:pos="8306"/>
            </w:tabs>
          </w:pPr>
          <w:r>
            <w:rPr>
              <w:rFonts w:ascii="Times New Roman" w:hAnsi="Times New Roman"/>
            </w:rPr>
            <w:fldChar w:fldCharType="begin"/>
          </w:r>
          <w:r>
            <w:rPr>
              <w:rFonts w:ascii="Times New Roman" w:hAnsi="Times New Roman"/>
            </w:rPr>
            <w:instrText xml:space="preserve"> HYPERLINK \l _Toc14803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交易环境设计</w:t>
          </w:r>
          <w:r>
            <w:tab/>
          </w:r>
          <w:r>
            <w:fldChar w:fldCharType="begin"/>
          </w:r>
          <w:r>
            <w:instrText xml:space="preserve"> PAGEREF _Toc14803 \h </w:instrText>
          </w:r>
          <w:r>
            <w:fldChar w:fldCharType="separate"/>
          </w:r>
          <w:r>
            <w:t>28</w:t>
          </w:r>
          <w:r>
            <w:fldChar w:fldCharType="end"/>
          </w:r>
          <w:r>
            <w:rPr>
              <w:rFonts w:ascii="Times New Roman" w:hAnsi="Times New Roman"/>
            </w:rPr>
            <w:fldChar w:fldCharType="end"/>
          </w:r>
        </w:p>
        <w:p w14:paraId="3E605630">
          <w:pPr>
            <w:pStyle w:val="10"/>
            <w:tabs>
              <w:tab w:val="right" w:leader="dot" w:pos="8306"/>
            </w:tabs>
          </w:pPr>
          <w:r>
            <w:rPr>
              <w:rFonts w:ascii="Times New Roman" w:hAnsi="Times New Roman"/>
            </w:rPr>
            <w:fldChar w:fldCharType="begin"/>
          </w:r>
          <w:r>
            <w:rPr>
              <w:rFonts w:ascii="Times New Roman" w:hAnsi="Times New Roman"/>
            </w:rPr>
            <w:instrText xml:space="preserve"> HYPERLINK \l _Toc13256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两阶段实验</w:t>
          </w:r>
          <w:r>
            <w:tab/>
          </w:r>
          <w:r>
            <w:fldChar w:fldCharType="begin"/>
          </w:r>
          <w:r>
            <w:instrText xml:space="preserve"> PAGEREF _Toc13256 \h </w:instrText>
          </w:r>
          <w:r>
            <w:fldChar w:fldCharType="separate"/>
          </w:r>
          <w:r>
            <w:t>29</w:t>
          </w:r>
          <w:r>
            <w:fldChar w:fldCharType="end"/>
          </w:r>
          <w:r>
            <w:rPr>
              <w:rFonts w:ascii="Times New Roman" w:hAnsi="Times New Roman"/>
            </w:rPr>
            <w:fldChar w:fldCharType="end"/>
          </w:r>
        </w:p>
        <w:p w14:paraId="0754ED8B">
          <w:pPr>
            <w:pStyle w:val="10"/>
            <w:tabs>
              <w:tab w:val="right" w:leader="dot" w:pos="8306"/>
            </w:tabs>
          </w:pPr>
          <w:r>
            <w:rPr>
              <w:rFonts w:ascii="Times New Roman" w:hAnsi="Times New Roman"/>
            </w:rPr>
            <w:fldChar w:fldCharType="begin"/>
          </w:r>
          <w:r>
            <w:rPr>
              <w:rFonts w:ascii="Times New Roman" w:hAnsi="Times New Roman"/>
            </w:rPr>
            <w:instrText xml:space="preserve"> HYPERLINK \l _Toc6747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 本章小结</w:t>
          </w:r>
          <w:r>
            <w:tab/>
          </w:r>
          <w:r>
            <w:fldChar w:fldCharType="begin"/>
          </w:r>
          <w:r>
            <w:instrText xml:space="preserve"> PAGEREF _Toc6747 \h </w:instrText>
          </w:r>
          <w:r>
            <w:fldChar w:fldCharType="separate"/>
          </w:r>
          <w:r>
            <w:t>31</w:t>
          </w:r>
          <w:r>
            <w:fldChar w:fldCharType="end"/>
          </w:r>
          <w:r>
            <w:rPr>
              <w:rFonts w:ascii="Times New Roman" w:hAnsi="Times New Roman"/>
            </w:rPr>
            <w:fldChar w:fldCharType="end"/>
          </w:r>
        </w:p>
        <w:p w14:paraId="43C95C22">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_Toc18415 </w:instrText>
          </w:r>
          <w:r>
            <w:rPr>
              <w:rFonts w:ascii="Times New Roman" w:hAnsi="Times New Roman"/>
            </w:rPr>
            <w:fldChar w:fldCharType="separate"/>
          </w:r>
          <w:r>
            <w:rPr>
              <w:rFonts w:hint="eastAsia" w:ascii="黑体" w:hAnsi="黑体" w:eastAsia="黑体" w:cs="黑体"/>
              <w:szCs w:val="32"/>
              <w:lang w:val="en-US" w:eastAsia="zh-CN"/>
            </w:rPr>
            <w:t xml:space="preserve">六、 </w:t>
          </w:r>
          <w:r>
            <w:rPr>
              <w:rFonts w:hint="default" w:ascii="黑体" w:hAnsi="黑体" w:eastAsia="黑体" w:cs="黑体"/>
              <w:szCs w:val="32"/>
              <w:lang w:val="en-US" w:eastAsia="zh-CN"/>
            </w:rPr>
            <w:t>实验结果与对比分析</w:t>
          </w:r>
          <w:r>
            <w:tab/>
          </w:r>
          <w:r>
            <w:fldChar w:fldCharType="begin"/>
          </w:r>
          <w:r>
            <w:instrText xml:space="preserve"> PAGEREF _Toc18415 \h </w:instrText>
          </w:r>
          <w:r>
            <w:fldChar w:fldCharType="separate"/>
          </w:r>
          <w:r>
            <w:t>31</w:t>
          </w:r>
          <w:r>
            <w:fldChar w:fldCharType="end"/>
          </w:r>
          <w:r>
            <w:rPr>
              <w:rFonts w:ascii="Times New Roman" w:hAnsi="Times New Roman"/>
            </w:rPr>
            <w:fldChar w:fldCharType="end"/>
          </w:r>
        </w:p>
        <w:p w14:paraId="181568FF">
          <w:pPr>
            <w:pStyle w:val="10"/>
            <w:tabs>
              <w:tab w:val="right" w:leader="dot" w:pos="8306"/>
            </w:tabs>
          </w:pPr>
          <w:r>
            <w:rPr>
              <w:rFonts w:ascii="Times New Roman" w:hAnsi="Times New Roman"/>
            </w:rPr>
            <w:fldChar w:fldCharType="begin"/>
          </w:r>
          <w:r>
            <w:rPr>
              <w:rFonts w:ascii="Times New Roman" w:hAnsi="Times New Roman"/>
            </w:rPr>
            <w:instrText xml:space="preserve"> HYPERLINK \l _Toc11862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八套策略全对比</w:t>
          </w:r>
          <w:r>
            <w:tab/>
          </w:r>
          <w:r>
            <w:fldChar w:fldCharType="begin"/>
          </w:r>
          <w:r>
            <w:instrText xml:space="preserve"> PAGEREF _Toc11862 \h </w:instrText>
          </w:r>
          <w:r>
            <w:fldChar w:fldCharType="separate"/>
          </w:r>
          <w:r>
            <w:t>32</w:t>
          </w:r>
          <w:r>
            <w:fldChar w:fldCharType="end"/>
          </w:r>
          <w:r>
            <w:rPr>
              <w:rFonts w:ascii="Times New Roman" w:hAnsi="Times New Roman"/>
            </w:rPr>
            <w:fldChar w:fldCharType="end"/>
          </w:r>
        </w:p>
        <w:p w14:paraId="187E161B">
          <w:pPr>
            <w:pStyle w:val="10"/>
            <w:tabs>
              <w:tab w:val="right" w:leader="dot" w:pos="8306"/>
            </w:tabs>
          </w:pPr>
          <w:r>
            <w:rPr>
              <w:rFonts w:ascii="Times New Roman" w:hAnsi="Times New Roman"/>
            </w:rPr>
            <w:fldChar w:fldCharType="begin"/>
          </w:r>
          <w:r>
            <w:rPr>
              <w:rFonts w:ascii="Times New Roman" w:hAnsi="Times New Roman"/>
            </w:rPr>
            <w:instrText xml:space="preserve"> HYPERLINK \l _Toc5900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分段回测——市场环境分类的证据</w:t>
          </w:r>
          <w:r>
            <w:tab/>
          </w:r>
          <w:r>
            <w:fldChar w:fldCharType="begin"/>
          </w:r>
          <w:r>
            <w:instrText xml:space="preserve"> PAGEREF _Toc5900 \h </w:instrText>
          </w:r>
          <w:r>
            <w:fldChar w:fldCharType="separate"/>
          </w:r>
          <w:r>
            <w:t>33</w:t>
          </w:r>
          <w:r>
            <w:fldChar w:fldCharType="end"/>
          </w:r>
          <w:r>
            <w:rPr>
              <w:rFonts w:ascii="Times New Roman" w:hAnsi="Times New Roman"/>
            </w:rPr>
            <w:fldChar w:fldCharType="end"/>
          </w:r>
        </w:p>
        <w:p w14:paraId="4AF921E0">
          <w:pPr>
            <w:pStyle w:val="10"/>
            <w:tabs>
              <w:tab w:val="right" w:leader="dot" w:pos="8306"/>
            </w:tabs>
          </w:pPr>
          <w:r>
            <w:rPr>
              <w:rFonts w:ascii="Times New Roman" w:hAnsi="Times New Roman"/>
            </w:rPr>
            <w:fldChar w:fldCharType="begin"/>
          </w:r>
          <w:r>
            <w:rPr>
              <w:rFonts w:ascii="Times New Roman" w:hAnsi="Times New Roman"/>
            </w:rPr>
            <w:instrText xml:space="preserve"> HYPERLINK \l _Toc24290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回撤修复天数——零售客户视角</w:t>
          </w:r>
          <w:r>
            <w:tab/>
          </w:r>
          <w:r>
            <w:fldChar w:fldCharType="begin"/>
          </w:r>
          <w:r>
            <w:instrText xml:space="preserve"> PAGEREF _Toc24290 \h </w:instrText>
          </w:r>
          <w:r>
            <w:fldChar w:fldCharType="separate"/>
          </w:r>
          <w:r>
            <w:t>34</w:t>
          </w:r>
          <w:r>
            <w:fldChar w:fldCharType="end"/>
          </w:r>
          <w:r>
            <w:rPr>
              <w:rFonts w:ascii="Times New Roman" w:hAnsi="Times New Roman"/>
            </w:rPr>
            <w:fldChar w:fldCharType="end"/>
          </w:r>
        </w:p>
        <w:p w14:paraId="55EC602D">
          <w:pPr>
            <w:pStyle w:val="10"/>
            <w:tabs>
              <w:tab w:val="right" w:leader="dot" w:pos="8306"/>
            </w:tabs>
          </w:pPr>
          <w:r>
            <w:rPr>
              <w:rFonts w:ascii="Times New Roman" w:hAnsi="Times New Roman"/>
            </w:rPr>
            <w:fldChar w:fldCharType="begin"/>
          </w:r>
          <w:r>
            <w:rPr>
              <w:rFonts w:ascii="Times New Roman" w:hAnsi="Times New Roman"/>
            </w:rPr>
            <w:instrText xml:space="preserve"> HYPERLINK \l _Toc17788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 稳健性验证</w:t>
          </w:r>
          <w:r>
            <w:tab/>
          </w:r>
          <w:r>
            <w:fldChar w:fldCharType="begin"/>
          </w:r>
          <w:r>
            <w:instrText xml:space="preserve"> PAGEREF _Toc17788 \h </w:instrText>
          </w:r>
          <w:r>
            <w:fldChar w:fldCharType="separate"/>
          </w:r>
          <w:r>
            <w:t>35</w:t>
          </w:r>
          <w:r>
            <w:fldChar w:fldCharType="end"/>
          </w:r>
          <w:r>
            <w:rPr>
              <w:rFonts w:ascii="Times New Roman" w:hAnsi="Times New Roman"/>
            </w:rPr>
            <w:fldChar w:fldCharType="end"/>
          </w:r>
        </w:p>
        <w:p w14:paraId="0F175D1D">
          <w:pPr>
            <w:pStyle w:val="10"/>
            <w:tabs>
              <w:tab w:val="right" w:leader="dot" w:pos="8306"/>
            </w:tabs>
          </w:pPr>
          <w:r>
            <w:rPr>
              <w:rFonts w:ascii="Times New Roman" w:hAnsi="Times New Roman"/>
            </w:rPr>
            <w:fldChar w:fldCharType="begin"/>
          </w:r>
          <w:r>
            <w:rPr>
              <w:rFonts w:ascii="Times New Roman" w:hAnsi="Times New Roman"/>
            </w:rPr>
            <w:instrText xml:space="preserve"> HYPERLINK \l _Toc8491 </w:instrText>
          </w:r>
          <w:r>
            <w:rPr>
              <w:rFonts w:ascii="Times New Roman" w:hAnsi="Times New Roman"/>
            </w:rPr>
            <w:fldChar w:fldCharType="separate"/>
          </w:r>
          <w:r>
            <w:rPr>
              <w:rFonts w:hint="eastAsia" w:ascii="黑体" w:hAnsi="黑体" w:eastAsia="黑体" w:cs="黑体"/>
              <w:szCs w:val="30"/>
              <w:lang w:val="en-US" w:eastAsia="zh-CN"/>
            </w:rPr>
            <w:t xml:space="preserve">（五） </w:t>
          </w:r>
          <w:r>
            <w:rPr>
              <w:rFonts w:hint="default" w:ascii="黑体" w:hAnsi="黑体" w:eastAsia="黑体" w:cs="黑体"/>
              <w:szCs w:val="30"/>
              <w:lang w:val="en-US" w:eastAsia="zh-CN"/>
            </w:rPr>
            <w:t>三档风险组合</w:t>
          </w:r>
          <w:r>
            <w:tab/>
          </w:r>
          <w:r>
            <w:fldChar w:fldCharType="begin"/>
          </w:r>
          <w:r>
            <w:instrText xml:space="preserve"> PAGEREF _Toc8491 \h </w:instrText>
          </w:r>
          <w:r>
            <w:fldChar w:fldCharType="separate"/>
          </w:r>
          <w:r>
            <w:t>36</w:t>
          </w:r>
          <w:r>
            <w:fldChar w:fldCharType="end"/>
          </w:r>
          <w:r>
            <w:rPr>
              <w:rFonts w:ascii="Times New Roman" w:hAnsi="Times New Roman"/>
            </w:rPr>
            <w:fldChar w:fldCharType="end"/>
          </w:r>
        </w:p>
        <w:p w14:paraId="5FBF50ED">
          <w:pPr>
            <w:pStyle w:val="10"/>
            <w:tabs>
              <w:tab w:val="right" w:leader="dot" w:pos="8306"/>
            </w:tabs>
          </w:pPr>
          <w:r>
            <w:rPr>
              <w:rFonts w:ascii="Times New Roman" w:hAnsi="Times New Roman"/>
            </w:rPr>
            <w:fldChar w:fldCharType="begin"/>
          </w:r>
          <w:r>
            <w:rPr>
              <w:rFonts w:ascii="Times New Roman" w:hAnsi="Times New Roman"/>
            </w:rPr>
            <w:instrText xml:space="preserve"> HYPERLINK \l _Toc20056 </w:instrText>
          </w:r>
          <w:r>
            <w:rPr>
              <w:rFonts w:ascii="Times New Roman" w:hAnsi="Times New Roman"/>
            </w:rPr>
            <w:fldChar w:fldCharType="separate"/>
          </w:r>
          <w:r>
            <w:rPr>
              <w:rFonts w:hint="eastAsia" w:ascii="黑体" w:hAnsi="黑体" w:eastAsia="黑体" w:cs="黑体"/>
              <w:szCs w:val="30"/>
              <w:lang w:val="en-US" w:eastAsia="zh-CN"/>
            </w:rPr>
            <w:t xml:space="preserve">（六） </w:t>
          </w:r>
          <w:r>
            <w:rPr>
              <w:rFonts w:hint="default" w:ascii="黑体" w:hAnsi="黑体" w:eastAsia="黑体" w:cs="黑体"/>
              <w:szCs w:val="30"/>
              <w:lang w:val="en-US" w:eastAsia="zh-CN"/>
            </w:rPr>
            <w:t>本章小结</w:t>
          </w:r>
          <w:r>
            <w:tab/>
          </w:r>
          <w:r>
            <w:fldChar w:fldCharType="begin"/>
          </w:r>
          <w:r>
            <w:instrText xml:space="preserve"> PAGEREF _Toc20056 \h </w:instrText>
          </w:r>
          <w:r>
            <w:fldChar w:fldCharType="separate"/>
          </w:r>
          <w:r>
            <w:t>36</w:t>
          </w:r>
          <w:r>
            <w:fldChar w:fldCharType="end"/>
          </w:r>
          <w:r>
            <w:rPr>
              <w:rFonts w:ascii="Times New Roman" w:hAnsi="Times New Roman"/>
            </w:rPr>
            <w:fldChar w:fldCharType="end"/>
          </w:r>
        </w:p>
        <w:p w14:paraId="59D50A53">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_Toc25591 </w:instrText>
          </w:r>
          <w:r>
            <w:rPr>
              <w:rFonts w:ascii="Times New Roman" w:hAnsi="Times New Roman"/>
            </w:rPr>
            <w:fldChar w:fldCharType="separate"/>
          </w:r>
          <w:r>
            <w:rPr>
              <w:rFonts w:hint="eastAsia" w:ascii="黑体" w:hAnsi="黑体" w:eastAsia="黑体" w:cs="黑体"/>
              <w:szCs w:val="32"/>
              <w:lang w:val="en-US" w:eastAsia="zh-CN"/>
            </w:rPr>
            <w:t xml:space="preserve">七、 </w:t>
          </w:r>
          <w:r>
            <w:rPr>
              <w:rFonts w:hint="default" w:ascii="Segoe UI" w:hAnsi="Segoe UI" w:eastAsia="Segoe UI" w:cs="Segoe UI"/>
              <w:bCs/>
              <w:caps w:val="0"/>
              <w:spacing w:val="0"/>
              <w:szCs w:val="22"/>
              <w:shd w:val="clear" w:fill="FFFFFF"/>
            </w:rPr>
            <w:t> </w:t>
          </w:r>
          <w:r>
            <w:rPr>
              <w:rFonts w:hint="default" w:ascii="黑体" w:hAnsi="黑体" w:eastAsia="黑体" w:cs="黑体"/>
              <w:szCs w:val="32"/>
              <w:lang w:val="en-US" w:eastAsia="zh-CN"/>
            </w:rPr>
            <w:t>服务方案与落地设计</w:t>
          </w:r>
          <w:r>
            <w:tab/>
          </w:r>
          <w:r>
            <w:fldChar w:fldCharType="begin"/>
          </w:r>
          <w:r>
            <w:instrText xml:space="preserve"> PAGEREF _Toc25591 \h </w:instrText>
          </w:r>
          <w:r>
            <w:fldChar w:fldCharType="separate"/>
          </w:r>
          <w:r>
            <w:t>37</w:t>
          </w:r>
          <w:r>
            <w:fldChar w:fldCharType="end"/>
          </w:r>
          <w:r>
            <w:rPr>
              <w:rFonts w:ascii="Times New Roman" w:hAnsi="Times New Roman"/>
            </w:rPr>
            <w:fldChar w:fldCharType="end"/>
          </w:r>
        </w:p>
        <w:p w14:paraId="7F418123">
          <w:pPr>
            <w:pStyle w:val="10"/>
            <w:tabs>
              <w:tab w:val="right" w:leader="dot" w:pos="8306"/>
            </w:tabs>
          </w:pPr>
          <w:r>
            <w:rPr>
              <w:rFonts w:ascii="Times New Roman" w:hAnsi="Times New Roman"/>
            </w:rPr>
            <w:fldChar w:fldCharType="begin"/>
          </w:r>
          <w:r>
            <w:rPr>
              <w:rFonts w:ascii="Times New Roman" w:hAnsi="Times New Roman"/>
            </w:rPr>
            <w:instrText xml:space="preserve"> HYPERLINK \l _Toc8150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客户画像与风险匹配</w:t>
          </w:r>
          <w:r>
            <w:tab/>
          </w:r>
          <w:r>
            <w:fldChar w:fldCharType="begin"/>
          </w:r>
          <w:r>
            <w:instrText xml:space="preserve"> PAGEREF _Toc8150 \h </w:instrText>
          </w:r>
          <w:r>
            <w:fldChar w:fldCharType="separate"/>
          </w:r>
          <w:r>
            <w:t>37</w:t>
          </w:r>
          <w:r>
            <w:fldChar w:fldCharType="end"/>
          </w:r>
          <w:r>
            <w:rPr>
              <w:rFonts w:ascii="Times New Roman" w:hAnsi="Times New Roman"/>
            </w:rPr>
            <w:fldChar w:fldCharType="end"/>
          </w:r>
        </w:p>
        <w:p w14:paraId="291E8D7B">
          <w:pPr>
            <w:pStyle w:val="10"/>
            <w:tabs>
              <w:tab w:val="right" w:leader="dot" w:pos="8306"/>
            </w:tabs>
          </w:pPr>
          <w:r>
            <w:rPr>
              <w:rFonts w:ascii="Times New Roman" w:hAnsi="Times New Roman"/>
            </w:rPr>
            <w:fldChar w:fldCharType="begin"/>
          </w:r>
          <w:r>
            <w:rPr>
              <w:rFonts w:ascii="Times New Roman" w:hAnsi="Times New Roman"/>
            </w:rPr>
            <w:instrText xml:space="preserve"> HYPERLINK \l _Toc27378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三档风险配置方案</w:t>
          </w:r>
          <w:r>
            <w:tab/>
          </w:r>
          <w:r>
            <w:fldChar w:fldCharType="begin"/>
          </w:r>
          <w:r>
            <w:instrText xml:space="preserve"> PAGEREF _Toc27378 \h </w:instrText>
          </w:r>
          <w:r>
            <w:fldChar w:fldCharType="separate"/>
          </w:r>
          <w:r>
            <w:t>40</w:t>
          </w:r>
          <w:r>
            <w:fldChar w:fldCharType="end"/>
          </w:r>
          <w:r>
            <w:rPr>
              <w:rFonts w:ascii="Times New Roman" w:hAnsi="Times New Roman"/>
            </w:rPr>
            <w:fldChar w:fldCharType="end"/>
          </w:r>
        </w:p>
        <w:p w14:paraId="4467D2CD">
          <w:pPr>
            <w:pStyle w:val="10"/>
            <w:tabs>
              <w:tab w:val="right" w:leader="dot" w:pos="8306"/>
            </w:tabs>
          </w:pPr>
          <w:r>
            <w:rPr>
              <w:rFonts w:ascii="Times New Roman" w:hAnsi="Times New Roman"/>
            </w:rPr>
            <w:fldChar w:fldCharType="begin"/>
          </w:r>
          <w:r>
            <w:rPr>
              <w:rFonts w:ascii="Times New Roman" w:hAnsi="Times New Roman"/>
            </w:rPr>
            <w:instrText xml:space="preserve"> HYPERLINK \l _Toc16421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调仓推送服务设计</w:t>
          </w:r>
          <w:r>
            <w:tab/>
          </w:r>
          <w:r>
            <w:fldChar w:fldCharType="begin"/>
          </w:r>
          <w:r>
            <w:instrText xml:space="preserve"> PAGEREF _Toc16421 \h </w:instrText>
          </w:r>
          <w:r>
            <w:fldChar w:fldCharType="separate"/>
          </w:r>
          <w:r>
            <w:t>41</w:t>
          </w:r>
          <w:r>
            <w:fldChar w:fldCharType="end"/>
          </w:r>
          <w:r>
            <w:rPr>
              <w:rFonts w:ascii="Times New Roman" w:hAnsi="Times New Roman"/>
            </w:rPr>
            <w:fldChar w:fldCharType="end"/>
          </w:r>
        </w:p>
        <w:p w14:paraId="4FCF4ECA">
          <w:pPr>
            <w:pStyle w:val="10"/>
            <w:tabs>
              <w:tab w:val="right" w:leader="dot" w:pos="8306"/>
            </w:tabs>
          </w:pPr>
          <w:r>
            <w:rPr>
              <w:rFonts w:ascii="Times New Roman" w:hAnsi="Times New Roman"/>
            </w:rPr>
            <w:fldChar w:fldCharType="begin"/>
          </w:r>
          <w:r>
            <w:rPr>
              <w:rFonts w:ascii="Times New Roman" w:hAnsi="Times New Roman"/>
            </w:rPr>
            <w:instrText xml:space="preserve"> HYPERLINK \l _Toc8378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理财经理工作手册</w:t>
          </w:r>
          <w:r>
            <w:tab/>
          </w:r>
          <w:r>
            <w:fldChar w:fldCharType="begin"/>
          </w:r>
          <w:r>
            <w:instrText xml:space="preserve"> PAGEREF _Toc8378 \h </w:instrText>
          </w:r>
          <w:r>
            <w:fldChar w:fldCharType="separate"/>
          </w:r>
          <w:r>
            <w:t>43</w:t>
          </w:r>
          <w:r>
            <w:fldChar w:fldCharType="end"/>
          </w:r>
          <w:r>
            <w:rPr>
              <w:rFonts w:ascii="Times New Roman" w:hAnsi="Times New Roman"/>
            </w:rPr>
            <w:fldChar w:fldCharType="end"/>
          </w:r>
        </w:p>
        <w:p w14:paraId="4F7423C8">
          <w:pPr>
            <w:pStyle w:val="10"/>
            <w:tabs>
              <w:tab w:val="right" w:leader="dot" w:pos="8306"/>
            </w:tabs>
          </w:pPr>
          <w:r>
            <w:rPr>
              <w:rFonts w:ascii="Times New Roman" w:hAnsi="Times New Roman"/>
            </w:rPr>
            <w:fldChar w:fldCharType="begin"/>
          </w:r>
          <w:r>
            <w:rPr>
              <w:rFonts w:ascii="Times New Roman" w:hAnsi="Times New Roman"/>
            </w:rPr>
            <w:instrText xml:space="preserve"> HYPERLINK \l _Toc27084 </w:instrText>
          </w:r>
          <w:r>
            <w:rPr>
              <w:rFonts w:ascii="Times New Roman" w:hAnsi="Times New Roman"/>
            </w:rPr>
            <w:fldChar w:fldCharType="separate"/>
          </w:r>
          <w:r>
            <w:rPr>
              <w:rFonts w:hint="eastAsia" w:ascii="黑体" w:hAnsi="黑体" w:eastAsia="黑体" w:cs="黑体"/>
              <w:szCs w:val="30"/>
              <w:lang w:val="en-US" w:eastAsia="zh-CN"/>
            </w:rPr>
            <w:t xml:space="preserve">（五） </w:t>
          </w:r>
          <w:r>
            <w:rPr>
              <w:rFonts w:hint="default" w:ascii="黑体" w:hAnsi="黑体" w:eastAsia="黑体" w:cs="黑体"/>
              <w:szCs w:val="30"/>
              <w:lang w:val="en-US" w:eastAsia="zh-CN"/>
            </w:rPr>
            <w:t>银行系统对接预留方案</w:t>
          </w:r>
          <w:r>
            <w:tab/>
          </w:r>
          <w:r>
            <w:fldChar w:fldCharType="begin"/>
          </w:r>
          <w:r>
            <w:instrText xml:space="preserve"> PAGEREF _Toc27084 \h </w:instrText>
          </w:r>
          <w:r>
            <w:fldChar w:fldCharType="separate"/>
          </w:r>
          <w:r>
            <w:t>44</w:t>
          </w:r>
          <w:r>
            <w:fldChar w:fldCharType="end"/>
          </w:r>
          <w:r>
            <w:rPr>
              <w:rFonts w:ascii="Times New Roman" w:hAnsi="Times New Roman"/>
            </w:rPr>
            <w:fldChar w:fldCharType="end"/>
          </w:r>
        </w:p>
        <w:p w14:paraId="465A8433">
          <w:pPr>
            <w:pStyle w:val="7"/>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_Toc27615 </w:instrText>
          </w:r>
          <w:r>
            <w:rPr>
              <w:rFonts w:ascii="Times New Roman" w:hAnsi="Times New Roman"/>
            </w:rPr>
            <w:fldChar w:fldCharType="separate"/>
          </w:r>
          <w:r>
            <w:rPr>
              <w:rFonts w:hint="eastAsia" w:ascii="黑体" w:hAnsi="黑体" w:eastAsia="黑体" w:cs="黑体"/>
              <w:szCs w:val="32"/>
              <w:lang w:val="en-US" w:eastAsia="zh-CN"/>
            </w:rPr>
            <w:t xml:space="preserve">八、 </w:t>
          </w:r>
          <w:r>
            <w:rPr>
              <w:rFonts w:hint="default" w:ascii="黑体" w:hAnsi="黑体" w:eastAsia="黑体" w:cs="黑体"/>
              <w:szCs w:val="32"/>
              <w:lang w:val="en-US" w:eastAsia="zh-CN"/>
            </w:rPr>
            <w:t>总结与展望</w:t>
          </w:r>
          <w:r>
            <w:tab/>
          </w:r>
          <w:r>
            <w:fldChar w:fldCharType="begin"/>
          </w:r>
          <w:r>
            <w:instrText xml:space="preserve"> PAGEREF _Toc27615 \h </w:instrText>
          </w:r>
          <w:r>
            <w:fldChar w:fldCharType="separate"/>
          </w:r>
          <w:r>
            <w:t>46</w:t>
          </w:r>
          <w:r>
            <w:fldChar w:fldCharType="end"/>
          </w:r>
          <w:r>
            <w:rPr>
              <w:rFonts w:ascii="Times New Roman" w:hAnsi="Times New Roman"/>
            </w:rPr>
            <w:fldChar w:fldCharType="end"/>
          </w:r>
        </w:p>
        <w:p w14:paraId="4DF096D4">
          <w:pPr>
            <w:pStyle w:val="10"/>
            <w:tabs>
              <w:tab w:val="right" w:leader="dot" w:pos="8306"/>
            </w:tabs>
          </w:pPr>
          <w:r>
            <w:rPr>
              <w:rFonts w:ascii="Times New Roman" w:hAnsi="Times New Roman"/>
            </w:rPr>
            <w:fldChar w:fldCharType="begin"/>
          </w:r>
          <w:r>
            <w:rPr>
              <w:rFonts w:ascii="Times New Roman" w:hAnsi="Times New Roman"/>
            </w:rPr>
            <w:instrText xml:space="preserve"> HYPERLINK \l _Toc16024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核心贡献</w:t>
          </w:r>
          <w:r>
            <w:tab/>
          </w:r>
          <w:r>
            <w:fldChar w:fldCharType="begin"/>
          </w:r>
          <w:r>
            <w:instrText xml:space="preserve"> PAGEREF _Toc16024 \h </w:instrText>
          </w:r>
          <w:r>
            <w:fldChar w:fldCharType="separate"/>
          </w:r>
          <w:r>
            <w:t>46</w:t>
          </w:r>
          <w:r>
            <w:fldChar w:fldCharType="end"/>
          </w:r>
          <w:r>
            <w:rPr>
              <w:rFonts w:ascii="Times New Roman" w:hAnsi="Times New Roman"/>
            </w:rPr>
            <w:fldChar w:fldCharType="end"/>
          </w:r>
        </w:p>
        <w:p w14:paraId="6A6E4EF8">
          <w:pPr>
            <w:pStyle w:val="10"/>
            <w:tabs>
              <w:tab w:val="right" w:leader="dot" w:pos="8306"/>
            </w:tabs>
          </w:pPr>
          <w:r>
            <w:rPr>
              <w:rFonts w:ascii="Times New Roman" w:hAnsi="Times New Roman"/>
            </w:rPr>
            <w:fldChar w:fldCharType="begin"/>
          </w:r>
          <w:r>
            <w:rPr>
              <w:rFonts w:ascii="Times New Roman" w:hAnsi="Times New Roman"/>
            </w:rPr>
            <w:instrText xml:space="preserve"> HYPERLINK \l _Toc28261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局限与展望</w:t>
          </w:r>
          <w:r>
            <w:tab/>
          </w:r>
          <w:r>
            <w:fldChar w:fldCharType="begin"/>
          </w:r>
          <w:r>
            <w:instrText xml:space="preserve"> PAGEREF _Toc28261 \h </w:instrText>
          </w:r>
          <w:r>
            <w:fldChar w:fldCharType="separate"/>
          </w:r>
          <w:r>
            <w:t>48</w:t>
          </w:r>
          <w:r>
            <w:fldChar w:fldCharType="end"/>
          </w:r>
          <w:r>
            <w:rPr>
              <w:rFonts w:ascii="Times New Roman" w:hAnsi="Times New Roman"/>
            </w:rPr>
            <w:fldChar w:fldCharType="end"/>
          </w:r>
        </w:p>
        <w:p w14:paraId="42BD3E6F">
          <w:pPr>
            <w:pStyle w:val="10"/>
            <w:tabs>
              <w:tab w:val="right" w:leader="dot" w:pos="8306"/>
            </w:tabs>
          </w:pPr>
          <w:r>
            <w:rPr>
              <w:rFonts w:ascii="Times New Roman" w:hAnsi="Times New Roman"/>
            </w:rPr>
            <w:fldChar w:fldCharType="begin"/>
          </w:r>
          <w:r>
            <w:rPr>
              <w:rFonts w:ascii="Times New Roman" w:hAnsi="Times New Roman"/>
            </w:rPr>
            <w:instrText xml:space="preserve"> HYPERLINK \l _Toc13611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 未来方向</w:t>
          </w:r>
          <w:r>
            <w:tab/>
          </w:r>
          <w:r>
            <w:fldChar w:fldCharType="begin"/>
          </w:r>
          <w:r>
            <w:instrText xml:space="preserve"> PAGEREF _Toc13611 \h </w:instrText>
          </w:r>
          <w:r>
            <w:fldChar w:fldCharType="separate"/>
          </w:r>
          <w:r>
            <w:t>49</w:t>
          </w:r>
          <w:r>
            <w:fldChar w:fldCharType="end"/>
          </w:r>
          <w:r>
            <w:rPr>
              <w:rFonts w:ascii="Times New Roman" w:hAnsi="Times New Roman"/>
            </w:rPr>
            <w:fldChar w:fldCharType="end"/>
          </w:r>
        </w:p>
        <w:p w14:paraId="4359865F">
          <w:pPr>
            <w:pStyle w:val="10"/>
            <w:tabs>
              <w:tab w:val="right" w:leader="dot" w:pos="8306"/>
            </w:tabs>
          </w:pPr>
          <w:r>
            <w:rPr>
              <w:rFonts w:ascii="Times New Roman" w:hAnsi="Times New Roman"/>
            </w:rPr>
            <w:fldChar w:fldCharType="begin"/>
          </w:r>
          <w:r>
            <w:rPr>
              <w:rFonts w:ascii="Times New Roman" w:hAnsi="Times New Roman"/>
            </w:rPr>
            <w:instrText xml:space="preserve"> HYPERLINK \l _Toc31446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结语</w:t>
          </w:r>
          <w:r>
            <w:tab/>
          </w:r>
          <w:r>
            <w:fldChar w:fldCharType="begin"/>
          </w:r>
          <w:r>
            <w:instrText xml:space="preserve"> PAGEREF _Toc31446 \h </w:instrText>
          </w:r>
          <w:r>
            <w:fldChar w:fldCharType="separate"/>
          </w:r>
          <w:r>
            <w:t>50</w:t>
          </w:r>
          <w:r>
            <w:fldChar w:fldCharType="end"/>
          </w:r>
          <w:r>
            <w:rPr>
              <w:rFonts w:ascii="Times New Roman" w:hAnsi="Times New Roman"/>
            </w:rPr>
            <w:fldChar w:fldCharType="end"/>
          </w:r>
        </w:p>
        <w:p w14:paraId="083EE6C2">
          <w:pPr>
            <w:pStyle w:val="10"/>
            <w:tabs>
              <w:tab w:val="right" w:leader="dot" w:pos="8306"/>
            </w:tabs>
          </w:pPr>
          <w:r>
            <w:rPr>
              <w:rFonts w:ascii="Times New Roman" w:hAnsi="Times New Roman"/>
            </w:rPr>
            <w:fldChar w:fldCharType="begin"/>
          </w:r>
          <w:r>
            <w:rPr>
              <w:rFonts w:ascii="Times New Roman" w:hAnsi="Times New Roman"/>
            </w:rPr>
            <w:instrText xml:space="preserve"> HYPERLINK \l _Toc24293 </w:instrText>
          </w:r>
          <w:r>
            <w:rPr>
              <w:rFonts w:ascii="Times New Roman" w:hAnsi="Times New Roman"/>
            </w:rPr>
            <w:fldChar w:fldCharType="separate"/>
          </w:r>
          <w:r>
            <w:rPr>
              <w:rFonts w:hint="eastAsia" w:ascii="黑体" w:hAnsi="黑体" w:eastAsia="黑体" w:cs="黑体"/>
              <w:szCs w:val="32"/>
              <w:lang w:val="en-US" w:eastAsia="zh-CN"/>
            </w:rPr>
            <w:t>参考文献</w:t>
          </w:r>
          <w:r>
            <w:tab/>
          </w:r>
          <w:r>
            <w:fldChar w:fldCharType="begin"/>
          </w:r>
          <w:r>
            <w:instrText xml:space="preserve"> PAGEREF _Toc24293 \h </w:instrText>
          </w:r>
          <w:r>
            <w:fldChar w:fldCharType="separate"/>
          </w:r>
          <w:r>
            <w:t>51</w:t>
          </w:r>
          <w:r>
            <w:fldChar w:fldCharType="end"/>
          </w:r>
          <w:r>
            <w:rPr>
              <w:rFonts w:ascii="Times New Roman" w:hAnsi="Times New Roman"/>
            </w:rPr>
            <w:fldChar w:fldCharType="end"/>
          </w:r>
        </w:p>
        <w:p w14:paraId="2AE6D4B1">
          <w:pPr>
            <w:numPr>
              <w:ilvl w:val="0"/>
              <w:numId w:val="0"/>
            </w:numPr>
            <w:ind w:left="420" w:leftChars="0"/>
            <w:outlineLvl w:val="2"/>
            <w:rPr>
              <w:rFonts w:hint="eastAsia" w:ascii="黑体" w:hAnsi="黑体" w:eastAsia="黑体" w:cs="黑体"/>
              <w:sz w:val="32"/>
              <w:szCs w:val="32"/>
              <w:lang w:val="en-US" w:eastAsia="zh-CN"/>
            </w:rPr>
          </w:pPr>
          <w:r>
            <w:rPr>
              <w:rFonts w:ascii="Times New Roman" w:hAnsi="Times New Roman"/>
            </w:rPr>
            <w:fldChar w:fldCharType="end"/>
          </w:r>
        </w:p>
      </w:sdtContent>
    </w:sdt>
    <w:p w14:paraId="41F37344">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028BAB5A">
      <w:pPr>
        <w:numPr>
          <w:ilvl w:val="0"/>
          <w:numId w:val="1"/>
        </w:numPr>
        <w:ind w:left="-210" w:leftChars="0" w:firstLine="420" w:firstLineChars="0"/>
        <w:outlineLvl w:val="2"/>
        <w:rPr>
          <w:rFonts w:hint="eastAsia" w:ascii="黑体" w:hAnsi="黑体" w:eastAsia="黑体" w:cs="黑体"/>
          <w:sz w:val="32"/>
          <w:szCs w:val="32"/>
          <w:lang w:val="en-US" w:eastAsia="zh-CN"/>
        </w:rPr>
      </w:pPr>
      <w:bookmarkStart w:id="1" w:name="_Toc22219"/>
      <w:r>
        <w:rPr>
          <w:rFonts w:hint="eastAsia" w:ascii="黑体" w:hAnsi="黑体" w:eastAsia="黑体" w:cs="黑体"/>
          <w:sz w:val="32"/>
          <w:szCs w:val="32"/>
          <w:lang w:val="en-US" w:eastAsia="zh-CN"/>
        </w:rPr>
        <w:t>项目背景与目标</w:t>
      </w:r>
      <w:bookmarkEnd w:id="1"/>
    </w:p>
    <w:p w14:paraId="5BB8E4BF">
      <w:pPr>
        <w:numPr>
          <w:ilvl w:val="0"/>
          <w:numId w:val="2"/>
        </w:numPr>
        <w:ind w:left="0" w:leftChars="0" w:firstLine="420" w:firstLineChars="0"/>
        <w:outlineLvl w:val="0"/>
        <w:rPr>
          <w:rFonts w:hint="eastAsia" w:ascii="黑体" w:hAnsi="黑体" w:eastAsia="黑体" w:cs="黑体"/>
          <w:sz w:val="30"/>
          <w:szCs w:val="30"/>
        </w:rPr>
      </w:pPr>
      <w:bookmarkStart w:id="2" w:name="_Toc28076"/>
      <w:r>
        <w:rPr>
          <w:rFonts w:hint="eastAsia" w:ascii="黑体" w:hAnsi="黑体" w:eastAsia="黑体" w:cs="黑体"/>
          <w:sz w:val="30"/>
          <w:szCs w:val="30"/>
          <w:lang w:val="en-US" w:eastAsia="zh-CN"/>
        </w:rPr>
        <w:t>项目背景</w:t>
      </w:r>
      <w:bookmarkEnd w:id="2"/>
    </w:p>
    <w:p w14:paraId="4CF67A64">
      <w:pPr>
        <w:numPr>
          <w:ilvl w:val="0"/>
          <w:numId w:val="3"/>
        </w:numPr>
        <w:ind w:left="845" w:leftChars="0" w:hanging="425" w:firstLineChars="0"/>
        <w:outlineLvl w:val="1"/>
        <w:rPr>
          <w:rFonts w:hint="eastAsia" w:ascii="楷体" w:hAnsi="楷体" w:eastAsia="楷体" w:cs="楷体"/>
          <w:sz w:val="28"/>
          <w:szCs w:val="28"/>
        </w:rPr>
      </w:pPr>
      <w:bookmarkStart w:id="3" w:name="_Toc14832"/>
      <w:r>
        <w:rPr>
          <w:rFonts w:hint="eastAsia" w:ascii="楷体" w:hAnsi="楷体" w:eastAsia="楷体" w:cs="楷体"/>
          <w:sz w:val="28"/>
          <w:szCs w:val="28"/>
          <w:lang w:val="en-US" w:eastAsia="zh-CN"/>
        </w:rPr>
        <w:t>政策驱动：指数化投资上升为国家方向</w:t>
      </w:r>
      <w:bookmarkEnd w:id="3"/>
    </w:p>
    <w:p w14:paraId="712231B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2023年10月，中央金融工作会议明确提出“优化融资结构，更好发挥资本市场枢纽功能”“培育一流投资银行和投资机构”，为资本市场改革发展指明方向。2024年4月，国务院印发《关于加强监管防范风险推动资本市场高质量发展的若干意见》（新“国九条”），明确提出建立交易型开放式指数基金（ETF）快速审批通道，推动指数化投资发展；要求建立培育长期投资的市场生态，完善适配长期投资的基础制度；强调大力发展权益类公募基金，大幅提升权益类基金占比。该文件出台后，证监会推出近50项配套规则，覆盖发行、上市、交易、并购重组、退市、监管执法、投资者保护等多个领域。与此同时，公募基金费率改革持续推进。2025年底，证监会发布基金销售费用新规，将指数型基金认（申）购费率上限降至0.3%，销售费率不高于0.2%/年。分三阶段推进的费率改革累计每年为投资者让利超500亿元。目前指数型产品费率已调整至债券型档位，进一步凸显指数基金的低成本优势。一系列政策密集出台，标志着指数基金和指数化投资已上升为国家资本市场战略的重要组成部分，为指数基金的快速发展提供了明确的政策导向与制度保障。</w:t>
      </w:r>
    </w:p>
    <w:p w14:paraId="5FC3F93A">
      <w:pPr>
        <w:numPr>
          <w:ilvl w:val="0"/>
          <w:numId w:val="3"/>
        </w:numPr>
        <w:ind w:left="845" w:leftChars="0" w:hanging="425" w:firstLineChars="0"/>
        <w:outlineLvl w:val="1"/>
        <w:rPr>
          <w:rFonts w:hint="default" w:ascii="楷体" w:hAnsi="楷体" w:eastAsia="楷体" w:cs="楷体"/>
          <w:sz w:val="28"/>
          <w:szCs w:val="28"/>
          <w:lang w:val="en-US" w:eastAsia="zh-CN"/>
        </w:rPr>
      </w:pPr>
      <w:bookmarkStart w:id="4" w:name="_Toc25693"/>
      <w:r>
        <w:rPr>
          <w:rFonts w:hint="eastAsia" w:ascii="楷体" w:hAnsi="楷体" w:eastAsia="楷体" w:cs="楷体"/>
          <w:sz w:val="28"/>
          <w:szCs w:val="28"/>
          <w:lang w:val="en-US" w:eastAsia="zh-CN"/>
        </w:rPr>
        <w:t>市场现状：指数基金进入爆发式增长</w:t>
      </w:r>
      <w:bookmarkEnd w:id="4"/>
    </w:p>
    <w:p w14:paraId="1384992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政策推动与市场需求的共同驱动下，中国ETF市场实现跨越式发展。2025年，境内ETF市场取得历史性突破，全年规模先后突破4万亿、5万亿与6万亿三大关口，完成“三级跳”增长。截至2025年底，境内ETF总规模达6.02万亿元，较2024年末增长2.29万亿元，同比增幅超60%，创历史最高年度增幅。百亿级ETF数量由2024年的66只增至128只，其中17只规模突破500亿元。</w:t>
      </w:r>
    </w:p>
    <w:p w14:paraId="74D8A64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进入2026年，市场进入阶段性整固调整阶段。截至2026年6月30日，全市场ETF总规模约4.74万亿元，产品总数突破1500只。其中，股票型ETF规模约3.4万亿元，债券型ETF规模约8554亿元，跨境ETF规模约8326亿元。ETF规模占公募基金比重已达13%，产品数量占比11%，ETF已</w:t>
      </w:r>
      <w:r>
        <w:rPr>
          <w:rFonts w:hint="eastAsia" w:asciiTheme="minorEastAsia" w:hAnsiTheme="minorEastAsia" w:eastAsiaTheme="minorEastAsia" w:cstheme="minorEastAsia"/>
          <w:sz w:val="24"/>
          <w:szCs w:val="24"/>
          <w:lang w:val="en-US" w:eastAsia="zh-CN"/>
        </w:rPr>
        <w:t>成为公募基金</w:t>
      </w:r>
      <w:r>
        <w:rPr>
          <w:rFonts w:hint="default" w:asciiTheme="minorEastAsia" w:hAnsiTheme="minorEastAsia" w:eastAsiaTheme="minorEastAsia" w:cstheme="minorEastAsia"/>
          <w:sz w:val="24"/>
          <w:szCs w:val="24"/>
          <w:lang w:val="en-US" w:eastAsia="zh-CN"/>
        </w:rPr>
        <w:t>最重要的品种之一。</w:t>
      </w:r>
    </w:p>
    <w:p w14:paraId="5C7378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指数基金（ETF）依托下述三大优势，成为大众投资者资产配置的核心工具：第一，费率更低。指数基金管理费率普遍位于0.15%-0.50%区间，显著低于主动型基金1.2%的平均水平，且认申购费率上限仅为0.3%；第二，透明度更高。ETF每日公开持仓信息，产品运作结构公开透明，不存在“风格漂移”问题；第三，投资风格清晰。覆盖宽基、行业、主题、商品、债券等丰富品类，可供投资者实现精准资产配置。</w:t>
      </w:r>
    </w:p>
    <w:p w14:paraId="608B4BF3">
      <w:pPr>
        <w:numPr>
          <w:ilvl w:val="0"/>
          <w:numId w:val="3"/>
        </w:numPr>
        <w:ind w:left="845" w:leftChars="0" w:hanging="425" w:firstLineChars="0"/>
        <w:outlineLvl w:val="1"/>
        <w:rPr>
          <w:rFonts w:hint="default" w:ascii="楷体" w:hAnsi="楷体" w:eastAsia="楷体" w:cs="楷体"/>
          <w:sz w:val="28"/>
          <w:szCs w:val="28"/>
          <w:lang w:val="en-US" w:eastAsia="zh-CN"/>
        </w:rPr>
      </w:pPr>
      <w:bookmarkStart w:id="5" w:name="_Toc12700"/>
      <w:r>
        <w:rPr>
          <w:rFonts w:hint="eastAsia" w:ascii="楷体" w:hAnsi="楷体" w:eastAsia="楷体" w:cs="楷体"/>
          <w:sz w:val="28"/>
          <w:szCs w:val="28"/>
          <w:lang w:val="en-US" w:eastAsia="zh-CN"/>
        </w:rPr>
        <w:t>行业趋势与痛点</w:t>
      </w:r>
      <w:bookmarkEnd w:id="5"/>
    </w:p>
    <w:p w14:paraId="7766342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财富管理行业正经历从“产品销售”向“资产配置服务”的深刻转型。指数基金凭借低成本、高透明度的天然优势，已成为资产配置的基础工具。然而，指数基金品类扩张的同时，也给投资者带来了“选择困境”与“配置难题”：</w:t>
      </w:r>
    </w:p>
    <w:p w14:paraId="43E8B23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首先，产品品类丰富，普通投资者选择难度较大。当前市场已覆盖宽基、行业、主题、策略、商品、债券等多个品类，仅股票型ETF数量已超过1200只。普通投资者面对海量产品，普遍存在行情判断偏差、产品选择盲目、仓位配比固化、风险对冲不足等问题。</w:t>
      </w:r>
    </w:p>
    <w:p w14:paraId="6D65AEF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次，结构性行情已成为市场常态。A股市场已告别“全面牛市”，进入分化程度较高的结构性行情阶段。2021年后的长期震荡市场中，等权配置策略累计收益仅约10%，而动态配置策略可获得30%以上的超额收益——单一配置方案难以适配多变的市场环境。</w:t>
      </w:r>
    </w:p>
    <w:p w14:paraId="491E84B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最后，银行财富管理领域缺少系统化配置工具。作为服务大众客户的核心渠道，银行理财经理在为客户配置指数基金时，缺乏一套可解释、可落地、可验证的系统化配置工具，多数情况下依赖个人经验开展工作，难以实现“因市而异、因人而异”的适配性配置。</w:t>
      </w:r>
    </w:p>
    <w:p w14:paraId="49266F5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如何结合宏观经济、估值水平、市场情绪划分不同行情阶段，搭建分层、动态、可落地的指数基金配置体系，兼顾收益提升与风险控制，已成为基金投资和财富管理领域的重要研究方向。</w:t>
      </w:r>
    </w:p>
    <w:p w14:paraId="67CA5EBD">
      <w:pPr>
        <w:numPr>
          <w:ilvl w:val="0"/>
          <w:numId w:val="2"/>
        </w:numPr>
        <w:ind w:left="0" w:leftChars="0" w:firstLine="420" w:firstLineChars="0"/>
        <w:outlineLvl w:val="0"/>
        <w:rPr>
          <w:rFonts w:hint="default" w:ascii="黑体" w:hAnsi="黑体" w:eastAsia="黑体" w:cs="黑体"/>
          <w:sz w:val="30"/>
          <w:szCs w:val="30"/>
          <w:lang w:val="en-US" w:eastAsia="zh-CN"/>
        </w:rPr>
      </w:pPr>
      <w:bookmarkStart w:id="6" w:name="_Toc13757"/>
      <w:r>
        <w:rPr>
          <w:rFonts w:hint="eastAsia" w:ascii="黑体" w:hAnsi="黑体" w:eastAsia="黑体" w:cs="黑体"/>
          <w:sz w:val="30"/>
          <w:szCs w:val="30"/>
          <w:lang w:val="en-US" w:eastAsia="zh-CN"/>
        </w:rPr>
        <w:t>项目目标</w:t>
      </w:r>
      <w:bookmarkEnd w:id="6"/>
    </w:p>
    <w:p w14:paraId="080EB0E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w:t>
      </w:r>
      <w:r>
        <w:rPr>
          <w:rFonts w:hint="eastAsia" w:asciiTheme="minorEastAsia" w:hAnsiTheme="minorEastAsia" w:eastAsiaTheme="minorEastAsia" w:cstheme="minorEastAsia"/>
          <w:sz w:val="24"/>
          <w:szCs w:val="24"/>
          <w:lang w:val="en-US" w:eastAsia="zh-CN"/>
        </w:rPr>
        <w:t>选取</w:t>
      </w:r>
      <w:r>
        <w:rPr>
          <w:rFonts w:hint="default" w:asciiTheme="minorEastAsia" w:hAnsiTheme="minorEastAsia" w:eastAsiaTheme="minorEastAsia" w:cstheme="minorEastAsia"/>
          <w:sz w:val="24"/>
          <w:szCs w:val="24"/>
          <w:lang w:val="en-US" w:eastAsia="zh-CN"/>
        </w:rPr>
        <w:t>7只跨资产类别ETF</w:t>
      </w:r>
      <w:r>
        <w:rPr>
          <w:rFonts w:hint="eastAsia" w:asciiTheme="minorEastAsia" w:hAnsiTheme="minorEastAsia" w:eastAsiaTheme="minorEastAsia" w:cstheme="minorEastAsia"/>
          <w:sz w:val="24"/>
          <w:szCs w:val="24"/>
          <w:lang w:val="en-US" w:eastAsia="zh-CN"/>
        </w:rPr>
        <w:t>作为</w:t>
      </w:r>
      <w:r>
        <w:rPr>
          <w:rFonts w:hint="default" w:asciiTheme="minorEastAsia" w:hAnsiTheme="minorEastAsia" w:eastAsiaTheme="minorEastAsia" w:cstheme="minorEastAsia"/>
          <w:sz w:val="24"/>
          <w:szCs w:val="24"/>
          <w:lang w:val="en-US" w:eastAsia="zh-CN"/>
        </w:rPr>
        <w:t>配置标的</w:t>
      </w:r>
      <w:r>
        <w:rPr>
          <w:rFonts w:hint="eastAsia" w:asciiTheme="minorEastAsia" w:hAnsiTheme="minorEastAsia" w:eastAsiaTheme="minorEastAsia" w:cstheme="minorEastAsia"/>
          <w:sz w:val="24"/>
          <w:szCs w:val="24"/>
          <w:lang w:val="en-US" w:eastAsia="zh-CN"/>
        </w:rPr>
        <w:t>，分别为</w:t>
      </w:r>
      <w:r>
        <w:rPr>
          <w:rFonts w:hint="default" w:asciiTheme="minorEastAsia" w:hAnsiTheme="minorEastAsia" w:eastAsiaTheme="minorEastAsia" w:cstheme="minorEastAsia"/>
          <w:sz w:val="24"/>
          <w:szCs w:val="24"/>
          <w:lang w:val="en-US" w:eastAsia="zh-CN"/>
        </w:rPr>
        <w:t>沪深300、中证500、科创50、消费、芯片、黄金、十年国债，</w:t>
      </w:r>
      <w:r>
        <w:rPr>
          <w:rFonts w:hint="eastAsia" w:asciiTheme="minorEastAsia" w:hAnsiTheme="minorEastAsia" w:eastAsiaTheme="minorEastAsia" w:cstheme="minorEastAsia"/>
          <w:sz w:val="24"/>
          <w:szCs w:val="24"/>
          <w:lang w:val="en-US" w:eastAsia="zh-CN"/>
        </w:rPr>
        <w:t>拟</w:t>
      </w:r>
      <w:r>
        <w:rPr>
          <w:rFonts w:hint="default" w:asciiTheme="minorEastAsia" w:hAnsiTheme="minorEastAsia" w:eastAsiaTheme="minorEastAsia" w:cstheme="minorEastAsia"/>
          <w:sz w:val="24"/>
          <w:szCs w:val="24"/>
          <w:lang w:val="en-US" w:eastAsia="zh-CN"/>
        </w:rPr>
        <w:t>搭建一套“可解释、可落地、可验证”的指数基金动态配置决策平台。动态资产配置策略的核心在于“根据资本市场环境及经济条件对资产配置状态进行动态调整”，其目标</w:t>
      </w:r>
      <w:r>
        <w:rPr>
          <w:rFonts w:hint="eastAsia" w:asciiTheme="minorEastAsia" w:hAnsiTheme="minorEastAsia" w:eastAsiaTheme="minorEastAsia" w:cstheme="minorEastAsia"/>
          <w:sz w:val="24"/>
          <w:szCs w:val="24"/>
          <w:lang w:val="en-US" w:eastAsia="zh-CN"/>
        </w:rPr>
        <w:t>为</w:t>
      </w:r>
      <w:r>
        <w:rPr>
          <w:rFonts w:hint="default" w:asciiTheme="minorEastAsia" w:hAnsiTheme="minorEastAsia" w:eastAsiaTheme="minorEastAsia" w:cstheme="minorEastAsia"/>
          <w:sz w:val="24"/>
          <w:szCs w:val="24"/>
          <w:lang w:val="en-US" w:eastAsia="zh-CN"/>
        </w:rPr>
        <w:t>在控制风险的前提下提升长期收益水平。中金公司在2026年的量化配置研究中亦指出，资产配置需锚定收益增值、风险分散、流动性管理、长期稳健四个维度，并结合外部环境、内部估值与趋势信号，对</w:t>
      </w:r>
      <w:r>
        <w:rPr>
          <w:rFonts w:hint="eastAsia" w:asciiTheme="minorEastAsia" w:hAnsiTheme="minorEastAsia" w:eastAsiaTheme="minorEastAsia" w:cstheme="minorEastAsia"/>
          <w:sz w:val="24"/>
          <w:szCs w:val="24"/>
          <w:lang w:val="en-US" w:eastAsia="zh-CN"/>
        </w:rPr>
        <w:t>配置</w:t>
      </w:r>
      <w:r>
        <w:rPr>
          <w:rFonts w:hint="default" w:asciiTheme="minorEastAsia" w:hAnsiTheme="minorEastAsia" w:eastAsiaTheme="minorEastAsia" w:cstheme="minorEastAsia"/>
          <w:sz w:val="24"/>
          <w:szCs w:val="24"/>
          <w:lang w:val="en-US" w:eastAsia="zh-CN"/>
        </w:rPr>
        <w:t>权重进行动态微调。</w:t>
      </w:r>
    </w:p>
    <w:p w14:paraId="5CD7F78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清华大学与景顺（Invesco）2025年的联合研究进一步证实，基于市场状态切换的动态配置策略，相较于基准策略可获得更高收益、更优的风险调整后表现与更小回撤。本项目正是沿该研究方向开展的具体实践。具体目标如下：</w:t>
      </w:r>
    </w:p>
    <w:p w14:paraId="5D988393">
      <w:pPr>
        <w:numPr>
          <w:ilvl w:val="0"/>
          <w:numId w:val="4"/>
        </w:numPr>
        <w:ind w:left="845" w:leftChars="0" w:hanging="425" w:firstLineChars="0"/>
        <w:outlineLvl w:val="1"/>
        <w:rPr>
          <w:rFonts w:hint="eastAsia" w:ascii="楷体" w:hAnsi="楷体" w:eastAsia="楷体" w:cs="楷体"/>
          <w:sz w:val="28"/>
          <w:szCs w:val="28"/>
          <w:lang w:val="en-US" w:eastAsia="zh-CN"/>
        </w:rPr>
      </w:pPr>
      <w:bookmarkStart w:id="7" w:name="_Toc12651"/>
      <w:r>
        <w:rPr>
          <w:rFonts w:hint="default" w:ascii="楷体" w:hAnsi="楷体" w:eastAsia="楷体" w:cs="楷体"/>
          <w:sz w:val="28"/>
          <w:szCs w:val="28"/>
          <w:lang w:val="en-US" w:eastAsia="zh-CN"/>
        </w:rPr>
        <w:t>搭建可解释的四维市场环境研判体系</w:t>
      </w:r>
      <w:bookmarkEnd w:id="7"/>
    </w:p>
    <w:p w14:paraId="4C2F003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构建由估值、宏观、情绪、趋势构成的四维评分系统，</w:t>
      </w:r>
      <w:r>
        <w:rPr>
          <w:rFonts w:hint="eastAsia" w:asciiTheme="minorEastAsia" w:hAnsiTheme="minorEastAsia" w:eastAsiaTheme="minorEastAsia" w:cstheme="minorEastAsia"/>
          <w:sz w:val="24"/>
          <w:szCs w:val="24"/>
          <w:highlight w:val="none"/>
          <w:lang w:val="en-US" w:eastAsia="zh-CN"/>
        </w:rPr>
        <w:t>将复杂市场信息转化为“上行—震荡偏强—震荡—下行—极寒”五档状态标签。</w:t>
      </w:r>
      <w:r>
        <w:rPr>
          <w:rFonts w:hint="eastAsia" w:asciiTheme="minorEastAsia" w:hAnsiTheme="minorEastAsia" w:eastAsiaTheme="minorEastAsia" w:cstheme="minorEastAsia"/>
          <w:sz w:val="24"/>
          <w:szCs w:val="24"/>
          <w:lang w:val="en-US" w:eastAsia="zh-CN"/>
        </w:rPr>
        <w:t>传统均值-方差模型假定最优资产配置权重具备稳定性，不随市场环境变化而改变，这一假定与经验事实相悖，不断变化的经济环境使得资产收益的均值和方差具备时变性特征。因此，市场状态的识别与分类是开展动态配置的核心前提。</w:t>
      </w:r>
    </w:p>
    <w:p w14:paraId="77B8645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权重敏感性验证结果显示：在±5%范围内进行100次随机扰动后，状态标签一致率可达94.3%，说明结论对权重选择不敏感。在本框架下，动态评分策略年化收益为19.8%，最大回撤为-16.5%，卡玛比率为1.20，为测试范围内最高水平。</w:t>
      </w:r>
    </w:p>
    <w:p w14:paraId="7A3CA4E3">
      <w:pPr>
        <w:numPr>
          <w:ilvl w:val="0"/>
          <w:numId w:val="4"/>
        </w:numPr>
        <w:ind w:left="845" w:leftChars="0" w:hanging="425" w:firstLineChars="0"/>
        <w:outlineLvl w:val="1"/>
        <w:rPr>
          <w:rFonts w:hint="default" w:ascii="楷体" w:hAnsi="楷体" w:eastAsia="楷体" w:cs="楷体"/>
          <w:sz w:val="28"/>
          <w:szCs w:val="28"/>
          <w:lang w:val="en-US" w:eastAsia="zh-CN"/>
        </w:rPr>
      </w:pPr>
      <w:bookmarkStart w:id="8" w:name="_Toc794"/>
      <w:r>
        <w:rPr>
          <w:rFonts w:hint="default" w:ascii="楷体" w:hAnsi="楷体" w:eastAsia="楷体" w:cs="楷体"/>
          <w:sz w:val="28"/>
          <w:szCs w:val="28"/>
          <w:lang w:val="en-US" w:eastAsia="zh-CN"/>
        </w:rPr>
        <w:t>实现差异化的动态配置方案</w:t>
      </w:r>
      <w:bookmarkEnd w:id="8"/>
    </w:p>
    <w:p w14:paraId="7C9AB27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基于市场环境状态，动态调整权益仓位与行业配置。</w:t>
      </w:r>
      <w:r>
        <w:rPr>
          <w:rFonts w:hint="eastAsia" w:asciiTheme="minorEastAsia" w:hAnsiTheme="minorEastAsia" w:eastAsiaTheme="minorEastAsia" w:cstheme="minorEastAsia"/>
          <w:sz w:val="24"/>
          <w:szCs w:val="24"/>
          <w:lang w:val="en-US" w:eastAsia="zh-CN"/>
        </w:rPr>
        <w:t>2004年由美林证券提出的美林投资时钟，是基于经济周期构建的大类资产配置框架，该框架为此提供了理论基础，其通过经济增长与通胀两个指标划分周期的逻辑，可迁移应用于市场状态识别与资产类别轮动配置。</w:t>
      </w:r>
      <w:r>
        <w:rPr>
          <w:rFonts w:hint="default" w:asciiTheme="minorEastAsia" w:hAnsiTheme="minorEastAsia" w:eastAsiaTheme="minorEastAsia" w:cstheme="minorEastAsia"/>
          <w:sz w:val="24"/>
          <w:szCs w:val="24"/>
          <w:lang w:val="en-US" w:eastAsia="zh-CN"/>
        </w:rPr>
        <w:t>针对不同风险偏好的客户，提供三档差异化配置方案。</w:t>
      </w:r>
    </w:p>
    <w:p w14:paraId="3E4BA5C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2021年后的长期震荡市中（共1307个交易日，占回测区间的一半），动态评分策略累计收益为34.4%，LGB融合策略累计收益为37.1%，等权策略累计收益仅为7.5%，说明“市场状态分类→差异化配置”框架在弱势行情中仍可维持显著超额收益。三档风险组合中，平衡型（C3，50%权益中枢）LGB融合策略实现了年化12.2%的收益、最大回撤-24.7%、夏普比率0.49（C3平衡型简化回测）的均衡表现。</w:t>
      </w:r>
    </w:p>
    <w:p w14:paraId="73BB91F0">
      <w:pPr>
        <w:numPr>
          <w:ilvl w:val="0"/>
          <w:numId w:val="4"/>
        </w:numPr>
        <w:ind w:left="845" w:leftChars="0" w:hanging="425" w:firstLineChars="0"/>
        <w:outlineLvl w:val="1"/>
        <w:rPr>
          <w:rFonts w:hint="default" w:ascii="楷体" w:hAnsi="楷体" w:eastAsia="楷体" w:cs="楷体"/>
          <w:sz w:val="28"/>
          <w:szCs w:val="28"/>
          <w:lang w:val="en-US" w:eastAsia="zh-CN"/>
        </w:rPr>
      </w:pPr>
      <w:bookmarkStart w:id="9" w:name="_Toc26900"/>
      <w:r>
        <w:rPr>
          <w:rFonts w:hint="default" w:ascii="楷体" w:hAnsi="楷体" w:eastAsia="楷体" w:cs="楷体"/>
          <w:sz w:val="28"/>
          <w:szCs w:val="28"/>
          <w:lang w:val="en-US" w:eastAsia="zh-CN"/>
        </w:rPr>
        <w:t>通过严谨回测验证策略有效性</w:t>
      </w:r>
      <w:bookmarkEnd w:id="9"/>
    </w:p>
    <w:p w14:paraId="4B55C54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采用2015年1月至2026年6月共11.5年的历史数据开展回测，严格规避前视偏差，具体操作包括宏观数据按实际发布日期对齐、特征筛选仅采用训练集数据、采用Walk-Forward滚动验证机制。现有文献研究表明，基于市场状态的动态策略在经风险调整的收益表现上优于静态均值-方差优化，且能够有效缓释极端损失。</w:t>
      </w:r>
    </w:p>
    <w:p w14:paraId="60F218E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动态评分策略年化收益为19.8%，最大回撤为-16.5%，等权基准最大回撤为-38.4%，该策略在三次市场危机中均表现稳健：2015年股灾回撤-13.4%，等权策略回撤-35.3%；2018年熊市回撤-4.5%，等权策略回撤-16.2%；2022年加息冲击回撤-3.7%，等权策略回撤-17.7%。LGB融合策略夏普比率为0.66，在所有测试策略中排名最高，最大回撤为-18.8%。PPO全局训练策略年化收益26.9%、夏普比率1.41，为该研究方向提供了另一条技术路线的对比验证。</w:t>
      </w:r>
    </w:p>
    <w:p w14:paraId="6974F507">
      <w:pPr>
        <w:numPr>
          <w:ilvl w:val="0"/>
          <w:numId w:val="4"/>
        </w:numPr>
        <w:ind w:left="845" w:leftChars="0" w:hanging="425" w:firstLineChars="0"/>
        <w:outlineLvl w:val="1"/>
        <w:rPr>
          <w:rFonts w:hint="default" w:ascii="楷体" w:hAnsi="楷体" w:eastAsia="楷体" w:cs="楷体"/>
          <w:sz w:val="28"/>
          <w:szCs w:val="28"/>
          <w:lang w:val="en-US" w:eastAsia="zh-CN"/>
        </w:rPr>
      </w:pPr>
      <w:bookmarkStart w:id="10" w:name="_Toc27268"/>
      <w:r>
        <w:rPr>
          <w:rFonts w:hint="default" w:ascii="楷体" w:hAnsi="楷体" w:eastAsia="楷体" w:cs="楷体"/>
          <w:sz w:val="28"/>
          <w:szCs w:val="28"/>
          <w:lang w:val="en-US" w:eastAsia="zh-CN"/>
        </w:rPr>
        <w:t>输出可直接落地的银行服务方案</w:t>
      </w:r>
      <w:bookmarkEnd w:id="10"/>
    </w:p>
    <w:p w14:paraId="08DD52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将</w:t>
      </w:r>
      <w:r>
        <w:rPr>
          <w:rFonts w:hint="eastAsia" w:asciiTheme="minorEastAsia" w:hAnsiTheme="minorEastAsia" w:eastAsiaTheme="minorEastAsia" w:cstheme="minorEastAsia"/>
          <w:sz w:val="24"/>
          <w:szCs w:val="24"/>
          <w:lang w:val="en-US" w:eastAsia="zh-CN"/>
        </w:rPr>
        <w:t>上述</w:t>
      </w:r>
      <w:r>
        <w:rPr>
          <w:rFonts w:hint="default" w:asciiTheme="minorEastAsia" w:hAnsiTheme="minorEastAsia" w:eastAsiaTheme="minorEastAsia" w:cstheme="minorEastAsia"/>
          <w:sz w:val="24"/>
          <w:szCs w:val="24"/>
          <w:lang w:val="en-US" w:eastAsia="zh-CN"/>
        </w:rPr>
        <w:t>策略封装为面向银行理财经理的智能投顾助手，</w:t>
      </w:r>
      <w:r>
        <w:rPr>
          <w:rFonts w:hint="eastAsia" w:asciiTheme="minorEastAsia" w:hAnsiTheme="minorEastAsia" w:eastAsiaTheme="minorEastAsia" w:cstheme="minorEastAsia"/>
          <w:sz w:val="24"/>
          <w:szCs w:val="24"/>
          <w:lang w:val="en-US" w:eastAsia="zh-CN"/>
        </w:rPr>
        <w:t>涵盖</w:t>
      </w:r>
      <w:r>
        <w:rPr>
          <w:rFonts w:hint="default" w:asciiTheme="minorEastAsia" w:hAnsiTheme="minorEastAsia" w:eastAsiaTheme="minorEastAsia" w:cstheme="minorEastAsia"/>
          <w:sz w:val="24"/>
          <w:szCs w:val="24"/>
          <w:lang w:val="en-US" w:eastAsia="zh-CN"/>
        </w:rPr>
        <w:t>客户画像问卷、三档风险配置方案、调仓推送模板、理财经理工作手册及农行掌银对接预留方案，</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确保策略</w:t>
      </w:r>
      <w:r>
        <w:rPr>
          <w:rFonts w:hint="eastAsia" w:asciiTheme="minorEastAsia" w:hAnsiTheme="minorEastAsia" w:eastAsiaTheme="minorEastAsia" w:cstheme="minorEastAsia"/>
          <w:sz w:val="24"/>
          <w:szCs w:val="24"/>
          <w:lang w:val="en-US" w:eastAsia="zh-CN"/>
        </w:rPr>
        <w:t>既</w:t>
      </w:r>
      <w:r>
        <w:rPr>
          <w:rFonts w:hint="default" w:asciiTheme="minorEastAsia" w:hAnsiTheme="minorEastAsia" w:eastAsiaTheme="minorEastAsia" w:cstheme="minorEastAsia"/>
          <w:sz w:val="24"/>
          <w:szCs w:val="24"/>
          <w:lang w:val="en-US" w:eastAsia="zh-CN"/>
        </w:rPr>
        <w:t>“做得出”，更“用得上”。</w:t>
      </w:r>
    </w:p>
    <w:p w14:paraId="0B70597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回撤修复天数的分析进一步验证了方案对客户的适配性：2015年股灾中，等权策略回撤-35.3%，需1440天（约4年）修复，而动态评分策略回撤-15.0%，仅需343天（不到1年）即可回本。对于零售客户而言，“少亏”与“快回本”带来的持有体验差异，比单纯的收益数据更具实际意义。</w:t>
      </w:r>
    </w:p>
    <w:p w14:paraId="7C91536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本项目定位清晰，致力于为银行理财经理提供指数基金智能配置决策辅助，将复杂的配置决策转化为透明、简洁、可落地的操作方案。</w:t>
      </w:r>
    </w:p>
    <w:p w14:paraId="2478CAF5">
      <w:pPr>
        <w:numPr>
          <w:ilvl w:val="0"/>
          <w:numId w:val="1"/>
        </w:numPr>
        <w:ind w:left="-210" w:leftChars="0" w:firstLine="420" w:firstLineChars="0"/>
        <w:outlineLvl w:val="2"/>
        <w:rPr>
          <w:rFonts w:hint="default" w:ascii="黑体" w:hAnsi="黑体" w:eastAsia="黑体" w:cs="黑体"/>
          <w:sz w:val="32"/>
          <w:szCs w:val="32"/>
          <w:lang w:val="en-US" w:eastAsia="zh-CN"/>
        </w:rPr>
      </w:pPr>
      <w:bookmarkStart w:id="11" w:name="_Toc16076"/>
      <w:r>
        <w:rPr>
          <w:rFonts w:hint="eastAsia" w:ascii="黑体" w:hAnsi="黑体" w:eastAsia="黑体" w:cs="黑体"/>
          <w:sz w:val="32"/>
          <w:szCs w:val="32"/>
          <w:lang w:val="en-US" w:eastAsia="zh-CN"/>
        </w:rPr>
        <w:t>数据体系与处理</w:t>
      </w:r>
      <w:bookmarkEnd w:id="11"/>
    </w:p>
    <w:p w14:paraId="5968727F">
      <w:pPr>
        <w:numPr>
          <w:ilvl w:val="0"/>
          <w:numId w:val="5"/>
        </w:numPr>
        <w:ind w:left="0" w:leftChars="0" w:firstLine="420" w:firstLineChars="0"/>
        <w:outlineLvl w:val="0"/>
        <w:rPr>
          <w:rFonts w:hint="default" w:ascii="黑体" w:hAnsi="黑体" w:eastAsia="黑体" w:cs="黑体"/>
          <w:sz w:val="30"/>
          <w:szCs w:val="30"/>
          <w:lang w:val="en-US" w:eastAsia="zh-CN"/>
        </w:rPr>
      </w:pPr>
      <w:bookmarkStart w:id="12" w:name="_Toc8217"/>
      <w:r>
        <w:rPr>
          <w:rFonts w:hint="eastAsia" w:ascii="黑体" w:hAnsi="黑体" w:eastAsia="黑体" w:cs="黑体"/>
          <w:sz w:val="30"/>
          <w:szCs w:val="30"/>
          <w:lang w:val="en-US" w:eastAsia="zh-CN"/>
        </w:rPr>
        <w:t>资产池设计</w:t>
      </w:r>
      <w:bookmarkEnd w:id="12"/>
    </w:p>
    <w:p w14:paraId="61884FCD">
      <w:pPr>
        <w:numPr>
          <w:ilvl w:val="0"/>
          <w:numId w:val="6"/>
        </w:numPr>
        <w:ind w:left="845" w:leftChars="0" w:hanging="425" w:firstLineChars="0"/>
        <w:outlineLvl w:val="1"/>
        <w:rPr>
          <w:rFonts w:hint="default" w:ascii="楷体" w:hAnsi="楷体" w:eastAsia="楷体" w:cs="楷体"/>
          <w:sz w:val="28"/>
          <w:szCs w:val="28"/>
          <w:lang w:val="en-US" w:eastAsia="zh-CN"/>
        </w:rPr>
      </w:pPr>
      <w:bookmarkStart w:id="13" w:name="_Toc27125"/>
      <w:r>
        <w:rPr>
          <w:rFonts w:hint="eastAsia" w:ascii="楷体" w:hAnsi="楷体" w:eastAsia="楷体" w:cs="楷体"/>
          <w:sz w:val="28"/>
          <w:szCs w:val="28"/>
          <w:lang w:val="en-US" w:eastAsia="zh-CN"/>
        </w:rPr>
        <w:t>设计理念：理论基础</w:t>
      </w:r>
      <w:bookmarkEnd w:id="13"/>
    </w:p>
    <w:p w14:paraId="75C2E86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本项目资产池设计以两大经典理论为基础：现代投资组合理论（MPT）与“核心-卫星”策略。</w:t>
      </w:r>
    </w:p>
    <w:p w14:paraId="0F1B88B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现代投资组合理论（MPT）由诺贝尔经济学奖得主哈里·马科维茨（Harry Markowitz）于1952年提出</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核心结论</w:t>
      </w:r>
      <w:r>
        <w:rPr>
          <w:rFonts w:hint="eastAsia" w:asciiTheme="minorEastAsia" w:hAnsiTheme="minorEastAsia" w:eastAsiaTheme="minorEastAsia" w:cstheme="minorEastAsia"/>
          <w:sz w:val="24"/>
          <w:szCs w:val="24"/>
          <w:lang w:val="en-US" w:eastAsia="zh-CN"/>
        </w:rPr>
        <w:t>为</w:t>
      </w:r>
      <w:r>
        <w:rPr>
          <w:rFonts w:hint="default" w:asciiTheme="minorEastAsia" w:hAnsiTheme="minorEastAsia" w:eastAsiaTheme="minorEastAsia" w:cstheme="minorEastAsia"/>
          <w:sz w:val="24"/>
          <w:szCs w:val="24"/>
          <w:lang w:val="en-US" w:eastAsia="zh-CN"/>
        </w:rPr>
        <w:t>：通过组合相关性较低的资产，</w:t>
      </w:r>
      <w:r>
        <w:rPr>
          <w:rFonts w:hint="eastAsia" w:asciiTheme="minorEastAsia" w:hAnsiTheme="minorEastAsia" w:eastAsiaTheme="minorEastAsia" w:cstheme="minorEastAsia"/>
          <w:sz w:val="24"/>
          <w:szCs w:val="24"/>
          <w:lang w:val="en-US" w:eastAsia="zh-CN"/>
        </w:rPr>
        <w:t>可在</w:t>
      </w:r>
      <w:r>
        <w:rPr>
          <w:rFonts w:hint="default" w:asciiTheme="minorEastAsia" w:hAnsiTheme="minorEastAsia" w:eastAsiaTheme="minorEastAsia" w:cstheme="minorEastAsia"/>
          <w:sz w:val="24"/>
          <w:szCs w:val="24"/>
          <w:lang w:val="en-US" w:eastAsia="zh-CN"/>
        </w:rPr>
        <w:t>不牺牲预期收益的前提下降低组合整体风险。</w:t>
      </w:r>
      <w:r>
        <w:rPr>
          <w:rFonts w:hint="eastAsia" w:asciiTheme="minorEastAsia" w:hAnsiTheme="minorEastAsia" w:eastAsiaTheme="minorEastAsia" w:cstheme="minorEastAsia"/>
          <w:sz w:val="24"/>
          <w:szCs w:val="24"/>
          <w:lang w:val="en-US" w:eastAsia="zh-CN"/>
        </w:rPr>
        <w:t>当资产间相关系数为负或接近于零时，组合分散化效应最为显著。</w:t>
      </w:r>
      <w:r>
        <w:rPr>
          <w:rFonts w:hint="default" w:asciiTheme="minorEastAsia" w:hAnsiTheme="minorEastAsia" w:eastAsiaTheme="minorEastAsia" w:cstheme="minorEastAsia"/>
          <w:sz w:val="24"/>
          <w:szCs w:val="24"/>
          <w:lang w:val="en-US" w:eastAsia="zh-CN"/>
        </w:rPr>
        <w:t>本项目资产池中，沪深300与国债的相关系数约为-0.25，黄金与股票类资产的相关性接</w:t>
      </w:r>
      <w:r>
        <w:rPr>
          <w:rFonts w:hint="eastAsia" w:asciiTheme="minorEastAsia" w:hAnsiTheme="minorEastAsia" w:eastAsiaTheme="minorEastAsia" w:cstheme="minorEastAsia"/>
          <w:sz w:val="24"/>
          <w:szCs w:val="24"/>
          <w:lang w:val="en-US" w:eastAsia="zh-CN"/>
        </w:rPr>
        <w:t>近于零</w:t>
      </w:r>
      <w:r>
        <w:rPr>
          <w:rFonts w:hint="default" w:asciiTheme="minorEastAsia" w:hAnsiTheme="minorEastAsia" w:eastAsiaTheme="minorEastAsia" w:cstheme="minorEastAsia"/>
          <w:sz w:val="24"/>
          <w:szCs w:val="24"/>
          <w:lang w:val="en-US" w:eastAsia="zh-CN"/>
        </w:rPr>
        <w:t>，为分散化提供了坚实的</w:t>
      </w:r>
      <w:r>
        <w:rPr>
          <w:rFonts w:hint="eastAsia" w:asciiTheme="minorEastAsia" w:hAnsiTheme="minorEastAsia" w:eastAsiaTheme="minorEastAsia" w:cstheme="minorEastAsia"/>
          <w:sz w:val="24"/>
          <w:szCs w:val="24"/>
          <w:lang w:val="en-US" w:eastAsia="zh-CN"/>
        </w:rPr>
        <w:t>数理</w:t>
      </w:r>
      <w:r>
        <w:rPr>
          <w:rFonts w:hint="default" w:asciiTheme="minorEastAsia" w:hAnsiTheme="minorEastAsia" w:eastAsiaTheme="minorEastAsia" w:cstheme="minorEastAsia"/>
          <w:sz w:val="24"/>
          <w:szCs w:val="24"/>
          <w:lang w:val="en-US" w:eastAsia="zh-CN"/>
        </w:rPr>
        <w:t>基础。</w:t>
      </w:r>
    </w:p>
    <w:p w14:paraId="6CAF964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“核心-卫星”策略（Core-Satellite Strategy）兴起于20世纪90年代，由先锋集团（Vanguard）和瑞银全球资产管理（UBS）等机构率先系统化应用。上海证券交易所对该策略的定义是：“以大盘指数ETF（上证50、沪深300）获取平均收益作为核心，以行业ETF、风格ETF等捕捉结构性机会作为卫星，增强收益。以核心-卫星策略构建指数组合，重剑与轻剑结合、攻守兼备。”</w:t>
      </w:r>
    </w:p>
    <w:p w14:paraId="7B9710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该策略的实施主要分为两个步骤：首先，确定投资目标与风险预算，设定核心资产与卫星资产的配置比例范围；其次，完成核心与卫星的具体配置。</w:t>
      </w:r>
    </w:p>
    <w:p w14:paraId="57B55BB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基于上述框架，本项目资产池的分层结构如下：</w:t>
      </w:r>
    </w:p>
    <w:p w14:paraId="06C7AEA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表 </w:t>
      </w:r>
      <w:r>
        <w:rPr>
          <w:rFonts w:hint="default" w:asciiTheme="minorEastAsia" w:hAnsiTheme="minorEastAsia" w:eastAsiaTheme="minorEastAsia" w:cstheme="minorEastAsia"/>
          <w:sz w:val="24"/>
          <w:szCs w:val="24"/>
          <w:lang w:val="en-US" w:eastAsia="zh-CN"/>
        </w:rPr>
        <w:fldChar w:fldCharType="begin"/>
      </w:r>
      <w:r>
        <w:rPr>
          <w:rFonts w:hint="default" w:asciiTheme="minorEastAsia" w:hAnsiTheme="minorEastAsia" w:eastAsiaTheme="minorEastAsia" w:cstheme="minorEastAsia"/>
          <w:sz w:val="24"/>
          <w:szCs w:val="24"/>
          <w:lang w:val="en-US" w:eastAsia="zh-CN"/>
        </w:rPr>
        <w:instrText xml:space="preserve"> SEQ 表 \* ARABIC </w:instrText>
      </w:r>
      <w:r>
        <w:rPr>
          <w:rFonts w:hint="default" w:asciiTheme="minorEastAsia" w:hAnsiTheme="minorEastAsia" w:eastAsiaTheme="minorEastAsia" w:cstheme="minorEastAsia"/>
          <w:sz w:val="24"/>
          <w:szCs w:val="24"/>
          <w:lang w:val="en-US" w:eastAsia="zh-CN"/>
        </w:rPr>
        <w:fldChar w:fldCharType="separate"/>
      </w:r>
      <w:r>
        <w:rPr>
          <w:rFonts w:hint="default" w:asciiTheme="minorEastAsia" w:hAnsiTheme="minorEastAsia" w:eastAsiaTheme="minorEastAsia" w:cstheme="minorEastAsia"/>
          <w:sz w:val="24"/>
          <w:szCs w:val="24"/>
          <w:lang w:val="en-US" w:eastAsia="zh-CN"/>
        </w:rPr>
        <w:t>1</w:t>
      </w:r>
      <w:r>
        <w:rPr>
          <w:rFonts w:hint="default"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核心-卫星资产比例表</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1205"/>
        <w:gridCol w:w="3307"/>
        <w:gridCol w:w="2805"/>
      </w:tblGrid>
      <w:tr w14:paraId="1902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05" w:type="dxa"/>
            <w:tcBorders>
              <w:top w:val="single" w:color="000000" w:sz="12" w:space="0"/>
              <w:left w:val="nil"/>
              <w:bottom w:val="single" w:color="000000" w:sz="4" w:space="0"/>
              <w:right w:val="nil"/>
              <w:tl2br w:val="nil"/>
            </w:tcBorders>
            <w:shd w:val="clear" w:color="auto" w:fill="FFFFFF"/>
            <w:vAlign w:val="center"/>
          </w:tcPr>
          <w:p w14:paraId="519305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组成部分</w:t>
            </w:r>
          </w:p>
        </w:tc>
        <w:tc>
          <w:tcPr>
            <w:tcW w:w="1205" w:type="dxa"/>
            <w:tcBorders>
              <w:top w:val="single" w:color="000000" w:sz="12" w:space="0"/>
              <w:left w:val="nil"/>
              <w:bottom w:val="single" w:color="000000" w:sz="4" w:space="0"/>
              <w:right w:val="nil"/>
            </w:tcBorders>
            <w:shd w:val="clear" w:color="auto" w:fill="FFFFFF"/>
            <w:vAlign w:val="center"/>
          </w:tcPr>
          <w:p w14:paraId="3AC675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占比范围</w:t>
            </w:r>
          </w:p>
        </w:tc>
        <w:tc>
          <w:tcPr>
            <w:tcW w:w="3307" w:type="dxa"/>
            <w:tcBorders>
              <w:top w:val="single" w:color="000000" w:sz="12" w:space="0"/>
              <w:left w:val="nil"/>
              <w:bottom w:val="single" w:color="000000" w:sz="4" w:space="0"/>
              <w:right w:val="nil"/>
            </w:tcBorders>
            <w:shd w:val="clear" w:color="auto" w:fill="FFFFFF"/>
            <w:vAlign w:val="center"/>
          </w:tcPr>
          <w:p w14:paraId="682E97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目标</w:t>
            </w:r>
          </w:p>
        </w:tc>
        <w:tc>
          <w:tcPr>
            <w:tcW w:w="2805" w:type="dxa"/>
            <w:tcBorders>
              <w:top w:val="single" w:color="000000" w:sz="12" w:space="0"/>
              <w:left w:val="nil"/>
              <w:bottom w:val="single" w:color="000000" w:sz="4" w:space="0"/>
              <w:right w:val="nil"/>
            </w:tcBorders>
            <w:shd w:val="clear" w:color="auto" w:fill="FFFFFF"/>
            <w:vAlign w:val="center"/>
          </w:tcPr>
          <w:p w14:paraId="73D911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特点</w:t>
            </w:r>
          </w:p>
        </w:tc>
      </w:tr>
      <w:tr w14:paraId="21B2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single" w:color="000000" w:sz="4" w:space="0"/>
              <w:left w:val="nil"/>
              <w:bottom w:val="nil"/>
              <w:right w:val="nil"/>
            </w:tcBorders>
            <w:shd w:val="clear" w:color="auto" w:fill="FFFFFF"/>
            <w:vAlign w:val="center"/>
          </w:tcPr>
          <w:p w14:paraId="10C3E2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核心资产</w:t>
            </w:r>
          </w:p>
        </w:tc>
        <w:tc>
          <w:tcPr>
            <w:tcW w:w="1205" w:type="dxa"/>
            <w:tcBorders>
              <w:top w:val="single" w:color="000000" w:sz="4" w:space="0"/>
              <w:left w:val="nil"/>
              <w:bottom w:val="nil"/>
              <w:right w:val="nil"/>
            </w:tcBorders>
            <w:shd w:val="clear" w:color="auto" w:fill="FFFFFF"/>
            <w:vAlign w:val="center"/>
          </w:tcPr>
          <w:p w14:paraId="76CC3C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60%–90%</w:t>
            </w:r>
          </w:p>
        </w:tc>
        <w:tc>
          <w:tcPr>
            <w:tcW w:w="3307" w:type="dxa"/>
            <w:tcBorders>
              <w:top w:val="single" w:color="000000" w:sz="4" w:space="0"/>
              <w:left w:val="nil"/>
              <w:bottom w:val="nil"/>
              <w:right w:val="nil"/>
            </w:tcBorders>
            <w:shd w:val="clear" w:color="auto" w:fill="FFFFFF"/>
            <w:vAlign w:val="center"/>
          </w:tcPr>
          <w:p w14:paraId="07B343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获取市场平均收益（Beta），控制风险</w:t>
            </w:r>
          </w:p>
        </w:tc>
        <w:tc>
          <w:tcPr>
            <w:tcW w:w="2805" w:type="dxa"/>
            <w:tcBorders>
              <w:top w:val="single" w:color="000000" w:sz="4" w:space="0"/>
              <w:left w:val="nil"/>
              <w:bottom w:val="nil"/>
              <w:right w:val="nil"/>
            </w:tcBorders>
            <w:shd w:val="clear" w:color="auto" w:fill="FFFFFF"/>
            <w:vAlign w:val="center"/>
          </w:tcPr>
          <w:p w14:paraId="660F33A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低成本、低波动、长期持有</w:t>
            </w:r>
          </w:p>
        </w:tc>
      </w:tr>
      <w:tr w14:paraId="39F4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nil"/>
              <w:left w:val="nil"/>
              <w:bottom w:val="single" w:color="000000" w:sz="12" w:space="0"/>
              <w:right w:val="nil"/>
            </w:tcBorders>
            <w:shd w:val="clear" w:color="auto" w:fill="FFFFFF"/>
            <w:vAlign w:val="center"/>
          </w:tcPr>
          <w:p w14:paraId="6EE3D5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卫星资产</w:t>
            </w:r>
          </w:p>
        </w:tc>
        <w:tc>
          <w:tcPr>
            <w:tcW w:w="1205" w:type="dxa"/>
            <w:tcBorders>
              <w:top w:val="nil"/>
              <w:left w:val="nil"/>
              <w:bottom w:val="single" w:color="000000" w:sz="12" w:space="0"/>
              <w:right w:val="nil"/>
            </w:tcBorders>
            <w:shd w:val="clear" w:color="auto" w:fill="FFFFFF"/>
            <w:vAlign w:val="center"/>
          </w:tcPr>
          <w:p w14:paraId="40F249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10%–40%</w:t>
            </w:r>
          </w:p>
        </w:tc>
        <w:tc>
          <w:tcPr>
            <w:tcW w:w="3307" w:type="dxa"/>
            <w:tcBorders>
              <w:top w:val="nil"/>
              <w:left w:val="nil"/>
              <w:bottom w:val="single" w:color="000000" w:sz="12" w:space="0"/>
              <w:right w:val="nil"/>
            </w:tcBorders>
            <w:shd w:val="clear" w:color="auto" w:fill="FFFFFF"/>
            <w:vAlign w:val="center"/>
          </w:tcPr>
          <w:p w14:paraId="3E7747B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增强收益（Alpha），捕捉结构性机会</w:t>
            </w:r>
          </w:p>
        </w:tc>
        <w:tc>
          <w:tcPr>
            <w:tcW w:w="2805" w:type="dxa"/>
            <w:tcBorders>
              <w:top w:val="nil"/>
              <w:left w:val="nil"/>
              <w:bottom w:val="single" w:color="000000" w:sz="12" w:space="0"/>
              <w:right w:val="nil"/>
            </w:tcBorders>
            <w:shd w:val="clear" w:color="auto" w:fill="FFFFFF"/>
            <w:vAlign w:val="center"/>
          </w:tcPr>
          <w:p w14:paraId="68ECFF7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高弹性、行业主题、动态调整</w:t>
            </w:r>
          </w:p>
        </w:tc>
      </w:tr>
    </w:tbl>
    <w:p w14:paraId="5E3A6A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核心资产与卫星资产的配置比例，行业已形成高度共识：广发基金投教基地、东方财富、广州日报均记载核心资产占比为60%–90%。具体配置比例由投资者风险偏好决定，投资新手通常以80/20或70/30的比例起步。国金证券金融工程首席分析师高智威建议：稳健型投资者以宽基指数基金作为核心“压舱石”，进取型投资者可适当配置AI、科技成长类资产作为卫星仓位。</w:t>
      </w:r>
    </w:p>
    <w:p w14:paraId="12C0609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基于上述依据，本项目设定三档配置方案：</w:t>
      </w:r>
    </w:p>
    <w:p w14:paraId="2B8CAB5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风险偏好设定</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5"/>
        <w:gridCol w:w="1938"/>
        <w:gridCol w:w="1938"/>
        <w:gridCol w:w="1938"/>
      </w:tblGrid>
      <w:tr w14:paraId="352D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63C4B7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客户类型</w:t>
            </w:r>
          </w:p>
        </w:tc>
        <w:tc>
          <w:tcPr>
            <w:tcW w:w="0" w:type="auto"/>
            <w:tcBorders>
              <w:top w:val="single" w:color="000000" w:sz="12" w:space="0"/>
              <w:left w:val="nil"/>
              <w:bottom w:val="single" w:color="000000" w:sz="4" w:space="0"/>
              <w:right w:val="nil"/>
            </w:tcBorders>
            <w:shd w:val="clear" w:color="auto" w:fill="FFFFFF"/>
            <w:vAlign w:val="center"/>
          </w:tcPr>
          <w:p w14:paraId="298AFE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核心占比</w:t>
            </w:r>
          </w:p>
        </w:tc>
        <w:tc>
          <w:tcPr>
            <w:tcW w:w="0" w:type="auto"/>
            <w:tcBorders>
              <w:top w:val="single" w:color="000000" w:sz="12" w:space="0"/>
              <w:left w:val="nil"/>
              <w:bottom w:val="single" w:color="000000" w:sz="4" w:space="0"/>
              <w:right w:val="nil"/>
            </w:tcBorders>
            <w:shd w:val="clear" w:color="auto" w:fill="FFFFFF"/>
            <w:vAlign w:val="center"/>
          </w:tcPr>
          <w:p w14:paraId="108730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卫星占比</w:t>
            </w:r>
          </w:p>
        </w:tc>
        <w:tc>
          <w:tcPr>
            <w:tcW w:w="1938" w:type="dxa"/>
            <w:tcBorders>
              <w:top w:val="single" w:color="000000" w:sz="12" w:space="0"/>
              <w:left w:val="nil"/>
              <w:bottom w:val="single" w:color="000000" w:sz="4" w:space="0"/>
              <w:right w:val="nil"/>
            </w:tcBorders>
            <w:shd w:val="clear" w:color="auto" w:fill="FFFFFF"/>
            <w:vAlign w:val="center"/>
          </w:tcPr>
          <w:p w14:paraId="0F570F6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权益中枢</w:t>
            </w:r>
          </w:p>
        </w:tc>
      </w:tr>
      <w:tr w14:paraId="4845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0B9CF0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保守型（C2）</w:t>
            </w:r>
          </w:p>
        </w:tc>
        <w:tc>
          <w:tcPr>
            <w:tcW w:w="0" w:type="auto"/>
            <w:tcBorders>
              <w:top w:val="single" w:color="000000" w:sz="4" w:space="0"/>
              <w:left w:val="nil"/>
              <w:bottom w:val="nil"/>
              <w:right w:val="nil"/>
            </w:tcBorders>
            <w:shd w:val="clear" w:color="auto" w:fill="FFFFFF"/>
            <w:vAlign w:val="center"/>
          </w:tcPr>
          <w:p w14:paraId="19706B4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80%</w:t>
            </w:r>
          </w:p>
        </w:tc>
        <w:tc>
          <w:tcPr>
            <w:tcW w:w="0" w:type="auto"/>
            <w:tcBorders>
              <w:top w:val="single" w:color="000000" w:sz="4" w:space="0"/>
              <w:left w:val="nil"/>
              <w:bottom w:val="nil"/>
              <w:right w:val="nil"/>
            </w:tcBorders>
            <w:shd w:val="clear" w:color="auto" w:fill="FFFFFF"/>
            <w:vAlign w:val="center"/>
          </w:tcPr>
          <w:p w14:paraId="6EDBE5B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w:t>
            </w:r>
          </w:p>
        </w:tc>
        <w:tc>
          <w:tcPr>
            <w:tcW w:w="1938" w:type="dxa"/>
            <w:tcBorders>
              <w:top w:val="single" w:color="000000" w:sz="4" w:space="0"/>
              <w:left w:val="nil"/>
              <w:bottom w:val="nil"/>
              <w:right w:val="nil"/>
            </w:tcBorders>
            <w:shd w:val="clear" w:color="auto" w:fill="FFFFFF"/>
            <w:vAlign w:val="center"/>
          </w:tcPr>
          <w:p w14:paraId="6A16B3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w:t>
            </w:r>
          </w:p>
        </w:tc>
      </w:tr>
      <w:tr w14:paraId="1DB1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3A411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平衡型（C3）</w:t>
            </w:r>
          </w:p>
        </w:tc>
        <w:tc>
          <w:tcPr>
            <w:tcW w:w="0" w:type="auto"/>
            <w:tcBorders>
              <w:top w:val="nil"/>
              <w:left w:val="nil"/>
              <w:bottom w:val="nil"/>
              <w:right w:val="nil"/>
            </w:tcBorders>
            <w:shd w:val="clear" w:color="auto" w:fill="FFFFFF"/>
            <w:vAlign w:val="center"/>
          </w:tcPr>
          <w:p w14:paraId="271EA3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70%</w:t>
            </w:r>
          </w:p>
        </w:tc>
        <w:tc>
          <w:tcPr>
            <w:tcW w:w="0" w:type="auto"/>
            <w:tcBorders>
              <w:top w:val="nil"/>
              <w:left w:val="nil"/>
              <w:bottom w:val="nil"/>
              <w:right w:val="nil"/>
            </w:tcBorders>
            <w:shd w:val="clear" w:color="auto" w:fill="FFFFFF"/>
            <w:vAlign w:val="center"/>
          </w:tcPr>
          <w:p w14:paraId="5A1AE3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30%</w:t>
            </w:r>
          </w:p>
        </w:tc>
        <w:tc>
          <w:tcPr>
            <w:tcW w:w="1938" w:type="dxa"/>
            <w:tcBorders>
              <w:top w:val="nil"/>
              <w:left w:val="nil"/>
              <w:bottom w:val="nil"/>
              <w:right w:val="nil"/>
            </w:tcBorders>
            <w:shd w:val="clear" w:color="auto" w:fill="FFFFFF"/>
            <w:vAlign w:val="center"/>
          </w:tcPr>
          <w:p w14:paraId="2316A1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50%</w:t>
            </w:r>
          </w:p>
        </w:tc>
      </w:tr>
      <w:tr w14:paraId="2FD1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05" w:type="dxa"/>
            <w:tcBorders>
              <w:top w:val="nil"/>
              <w:left w:val="nil"/>
              <w:bottom w:val="single" w:color="000000" w:sz="12" w:space="0"/>
              <w:right w:val="nil"/>
            </w:tcBorders>
            <w:shd w:val="clear" w:color="auto" w:fill="FFFFFF"/>
            <w:vAlign w:val="center"/>
          </w:tcPr>
          <w:p w14:paraId="47F1B6A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进取型（C4）</w:t>
            </w:r>
          </w:p>
        </w:tc>
        <w:tc>
          <w:tcPr>
            <w:tcW w:w="1938" w:type="dxa"/>
            <w:tcBorders>
              <w:top w:val="nil"/>
              <w:left w:val="nil"/>
              <w:bottom w:val="single" w:color="000000" w:sz="12" w:space="0"/>
              <w:right w:val="nil"/>
            </w:tcBorders>
            <w:shd w:val="clear" w:color="auto" w:fill="FFFFFF"/>
            <w:vAlign w:val="center"/>
          </w:tcPr>
          <w:p w14:paraId="50A4DC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60%</w:t>
            </w:r>
          </w:p>
        </w:tc>
        <w:tc>
          <w:tcPr>
            <w:tcW w:w="1938" w:type="dxa"/>
            <w:tcBorders>
              <w:top w:val="nil"/>
              <w:left w:val="nil"/>
              <w:bottom w:val="single" w:color="000000" w:sz="12" w:space="0"/>
              <w:right w:val="nil"/>
            </w:tcBorders>
            <w:shd w:val="clear" w:color="auto" w:fill="FFFFFF"/>
            <w:vAlign w:val="center"/>
          </w:tcPr>
          <w:p w14:paraId="2C1F46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40%</w:t>
            </w:r>
          </w:p>
        </w:tc>
        <w:tc>
          <w:tcPr>
            <w:tcW w:w="1938" w:type="dxa"/>
            <w:tcBorders>
              <w:top w:val="nil"/>
              <w:left w:val="nil"/>
              <w:bottom w:val="single" w:color="000000" w:sz="12" w:space="0"/>
              <w:right w:val="nil"/>
            </w:tcBorders>
            <w:shd w:val="clear" w:color="auto" w:fill="FFFFFF"/>
            <w:vAlign w:val="center"/>
          </w:tcPr>
          <w:p w14:paraId="613849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70%</w:t>
            </w:r>
          </w:p>
        </w:tc>
      </w:tr>
    </w:tbl>
    <w:p w14:paraId="76C19503">
      <w:pPr>
        <w:numPr>
          <w:ilvl w:val="0"/>
          <w:numId w:val="6"/>
        </w:numPr>
        <w:ind w:left="845" w:leftChars="0" w:hanging="425" w:firstLineChars="0"/>
        <w:outlineLvl w:val="1"/>
        <w:rPr>
          <w:rFonts w:hint="default" w:ascii="楷体" w:hAnsi="楷体" w:eastAsia="楷体" w:cs="楷体"/>
          <w:sz w:val="28"/>
          <w:szCs w:val="28"/>
          <w:lang w:val="en-US" w:eastAsia="zh-CN"/>
        </w:rPr>
      </w:pPr>
      <w:bookmarkStart w:id="14" w:name="_Toc27271"/>
      <w:r>
        <w:rPr>
          <w:rFonts w:hint="eastAsia" w:ascii="楷体" w:hAnsi="楷体" w:eastAsia="楷体" w:cs="楷体"/>
          <w:sz w:val="28"/>
          <w:szCs w:val="28"/>
          <w:lang w:val="en-US" w:eastAsia="zh-CN"/>
        </w:rPr>
        <w:t>七只ETF资产池</w:t>
      </w:r>
      <w:bookmarkEnd w:id="14"/>
    </w:p>
    <w:p w14:paraId="0A619CE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基于上述设计理念，本项目选定7只ETF构成统一资产池：</w:t>
      </w:r>
    </w:p>
    <w:p w14:paraId="10BCFC2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资产池</w:t>
      </w:r>
    </w:p>
    <w:tbl>
      <w:tblPr>
        <w:tblStyle w:val="13"/>
        <w:tblW w:w="86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6"/>
        <w:gridCol w:w="966"/>
        <w:gridCol w:w="1179"/>
        <w:gridCol w:w="1386"/>
        <w:gridCol w:w="1179"/>
        <w:gridCol w:w="2983"/>
      </w:tblGrid>
      <w:tr w14:paraId="0932D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986" w:type="dxa"/>
            <w:tcBorders>
              <w:top w:val="single" w:color="000000" w:sz="12" w:space="0"/>
              <w:left w:val="nil"/>
              <w:bottom w:val="single" w:color="000000" w:sz="4" w:space="0"/>
              <w:right w:val="nil"/>
              <w:tl2br w:val="nil"/>
            </w:tcBorders>
            <w:shd w:val="clear" w:color="auto" w:fill="FFFFFF"/>
            <w:noWrap/>
            <w:vAlign w:val="center"/>
          </w:tcPr>
          <w:p w14:paraId="07E3F9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sz w:val="21"/>
                <w:szCs w:val="21"/>
                <w:u w:val="none"/>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ETF名称</w:t>
            </w:r>
          </w:p>
        </w:tc>
        <w:tc>
          <w:tcPr>
            <w:tcW w:w="966" w:type="dxa"/>
            <w:tcBorders>
              <w:top w:val="single" w:color="000000" w:sz="12" w:space="0"/>
              <w:left w:val="nil"/>
              <w:bottom w:val="single" w:color="000000" w:sz="4" w:space="0"/>
              <w:right w:val="nil"/>
            </w:tcBorders>
            <w:shd w:val="clear" w:color="auto" w:fill="FFFFFF"/>
            <w:noWrap/>
            <w:vAlign w:val="center"/>
          </w:tcPr>
          <w:p w14:paraId="5C8E4AC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sz w:val="21"/>
                <w:szCs w:val="21"/>
                <w:u w:val="none"/>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代码</w:t>
            </w:r>
          </w:p>
        </w:tc>
        <w:tc>
          <w:tcPr>
            <w:tcW w:w="1179" w:type="dxa"/>
            <w:tcBorders>
              <w:top w:val="single" w:color="000000" w:sz="12" w:space="0"/>
              <w:left w:val="nil"/>
              <w:bottom w:val="single" w:color="000000" w:sz="4" w:space="0"/>
              <w:right w:val="nil"/>
            </w:tcBorders>
            <w:shd w:val="clear" w:color="auto" w:fill="FFFFFF"/>
            <w:noWrap/>
            <w:vAlign w:val="center"/>
          </w:tcPr>
          <w:p w14:paraId="0846B9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sz w:val="21"/>
                <w:szCs w:val="21"/>
                <w:u w:val="none"/>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跟踪指数</w:t>
            </w:r>
          </w:p>
        </w:tc>
        <w:tc>
          <w:tcPr>
            <w:tcW w:w="1386" w:type="dxa"/>
            <w:tcBorders>
              <w:top w:val="single" w:color="000000" w:sz="12" w:space="0"/>
              <w:left w:val="nil"/>
              <w:bottom w:val="single" w:color="000000" w:sz="4" w:space="0"/>
              <w:right w:val="nil"/>
            </w:tcBorders>
            <w:shd w:val="clear" w:color="auto" w:fill="FFFFFF"/>
            <w:noWrap/>
            <w:vAlign w:val="center"/>
          </w:tcPr>
          <w:p w14:paraId="360304A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kern w:val="0"/>
                <w:sz w:val="21"/>
                <w:szCs w:val="21"/>
                <w:u w:val="none"/>
                <w:lang w:val="en-US" w:eastAsia="zh-CN" w:bidi="ar"/>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资产类别</w:t>
            </w:r>
          </w:p>
        </w:tc>
        <w:tc>
          <w:tcPr>
            <w:tcW w:w="1179" w:type="dxa"/>
            <w:tcBorders>
              <w:top w:val="single" w:color="000000" w:sz="12" w:space="0"/>
              <w:left w:val="nil"/>
              <w:bottom w:val="single" w:color="000000" w:sz="4" w:space="0"/>
              <w:right w:val="nil"/>
            </w:tcBorders>
            <w:shd w:val="clear" w:color="auto" w:fill="FFFFFF"/>
            <w:noWrap/>
            <w:vAlign w:val="center"/>
          </w:tcPr>
          <w:p w14:paraId="004C05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kern w:val="0"/>
                <w:sz w:val="21"/>
                <w:szCs w:val="21"/>
                <w:u w:val="none"/>
                <w:lang w:val="en-US" w:eastAsia="zh-CN" w:bidi="ar"/>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组合角色</w:t>
            </w:r>
          </w:p>
        </w:tc>
        <w:tc>
          <w:tcPr>
            <w:tcW w:w="2983" w:type="dxa"/>
            <w:tcBorders>
              <w:top w:val="single" w:color="000000" w:sz="12" w:space="0"/>
              <w:left w:val="nil"/>
              <w:bottom w:val="single" w:color="000000" w:sz="4" w:space="0"/>
              <w:right w:val="nil"/>
            </w:tcBorders>
            <w:shd w:val="clear" w:color="auto" w:fill="FFFFFF"/>
            <w:noWrap/>
            <w:vAlign w:val="center"/>
          </w:tcPr>
          <w:p w14:paraId="2C0D17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kern w:val="0"/>
                <w:sz w:val="21"/>
                <w:szCs w:val="21"/>
                <w:u w:val="none"/>
                <w:lang w:val="en-US" w:eastAsia="zh-CN" w:bidi="ar"/>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代表性说明</w:t>
            </w:r>
          </w:p>
        </w:tc>
      </w:tr>
      <w:tr w14:paraId="54F30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single" w:color="000000" w:sz="4" w:space="0"/>
              <w:left w:val="nil"/>
              <w:bottom w:val="nil"/>
              <w:right w:val="nil"/>
            </w:tcBorders>
            <w:shd w:val="clear" w:color="auto" w:fill="FFFFFF"/>
            <w:noWrap/>
            <w:vAlign w:val="center"/>
          </w:tcPr>
          <w:p w14:paraId="342B73A3">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沪深300ETF</w:t>
            </w:r>
          </w:p>
        </w:tc>
        <w:tc>
          <w:tcPr>
            <w:tcW w:w="966" w:type="dxa"/>
            <w:tcBorders>
              <w:top w:val="single" w:color="000000" w:sz="4" w:space="0"/>
              <w:left w:val="nil"/>
              <w:bottom w:val="nil"/>
              <w:right w:val="nil"/>
            </w:tcBorders>
            <w:shd w:val="clear" w:color="auto" w:fill="FFFFFF"/>
            <w:noWrap/>
            <w:vAlign w:val="center"/>
          </w:tcPr>
          <w:p w14:paraId="26BA989C">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510300</w:t>
            </w:r>
          </w:p>
        </w:tc>
        <w:tc>
          <w:tcPr>
            <w:tcW w:w="1179" w:type="dxa"/>
            <w:tcBorders>
              <w:top w:val="single" w:color="000000" w:sz="4" w:space="0"/>
              <w:left w:val="nil"/>
              <w:bottom w:val="nil"/>
              <w:right w:val="nil"/>
            </w:tcBorders>
            <w:shd w:val="clear" w:color="auto" w:fill="FFFFFF"/>
            <w:noWrap/>
            <w:vAlign w:val="center"/>
          </w:tcPr>
          <w:p w14:paraId="0275685A">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000300</w:t>
            </w:r>
          </w:p>
        </w:tc>
        <w:tc>
          <w:tcPr>
            <w:tcW w:w="1386" w:type="dxa"/>
            <w:tcBorders>
              <w:top w:val="single" w:color="000000" w:sz="4" w:space="0"/>
              <w:left w:val="nil"/>
              <w:bottom w:val="nil"/>
              <w:right w:val="nil"/>
            </w:tcBorders>
            <w:shd w:val="clear" w:color="auto" w:fill="FFFFFF"/>
            <w:noWrap/>
            <w:vAlign w:val="center"/>
          </w:tcPr>
          <w:p w14:paraId="6681A9D6">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大盘宽基</w:t>
            </w:r>
          </w:p>
        </w:tc>
        <w:tc>
          <w:tcPr>
            <w:tcW w:w="1179" w:type="dxa"/>
            <w:tcBorders>
              <w:top w:val="single" w:color="000000" w:sz="4" w:space="0"/>
              <w:left w:val="nil"/>
              <w:bottom w:val="nil"/>
              <w:right w:val="nil"/>
            </w:tcBorders>
            <w:shd w:val="clear" w:color="auto" w:fill="FFFFFF"/>
            <w:noWrap/>
            <w:vAlign w:val="center"/>
          </w:tcPr>
          <w:p w14:paraId="1E24B2FD">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核心底仓</w:t>
            </w:r>
          </w:p>
        </w:tc>
        <w:tc>
          <w:tcPr>
            <w:tcW w:w="2983" w:type="dxa"/>
            <w:tcBorders>
              <w:top w:val="single" w:color="000000" w:sz="4" w:space="0"/>
              <w:left w:val="nil"/>
              <w:bottom w:val="nil"/>
              <w:right w:val="nil"/>
            </w:tcBorders>
            <w:shd w:val="clear" w:color="auto" w:fill="FFFFFF"/>
            <w:noWrap/>
            <w:vAlign w:val="center"/>
          </w:tcPr>
          <w:p w14:paraId="303A03C3">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覆盖A股核心优质资产，成分股占总市值65%、净利润84%，大盘蓝筹代表</w:t>
            </w:r>
          </w:p>
        </w:tc>
      </w:tr>
      <w:tr w14:paraId="2147D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696B5A2C">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中证500ETF</w:t>
            </w:r>
          </w:p>
        </w:tc>
        <w:tc>
          <w:tcPr>
            <w:tcW w:w="966" w:type="dxa"/>
            <w:tcBorders>
              <w:top w:val="nil"/>
              <w:left w:val="nil"/>
              <w:bottom w:val="nil"/>
              <w:right w:val="nil"/>
            </w:tcBorders>
            <w:shd w:val="clear" w:color="auto" w:fill="FFFFFF"/>
            <w:noWrap/>
            <w:vAlign w:val="center"/>
          </w:tcPr>
          <w:p w14:paraId="106A50E0">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510500</w:t>
            </w:r>
          </w:p>
        </w:tc>
        <w:tc>
          <w:tcPr>
            <w:tcW w:w="1179" w:type="dxa"/>
            <w:tcBorders>
              <w:top w:val="nil"/>
              <w:left w:val="nil"/>
              <w:bottom w:val="nil"/>
              <w:right w:val="nil"/>
            </w:tcBorders>
            <w:shd w:val="clear" w:color="auto" w:fill="FFFFFF"/>
            <w:noWrap/>
            <w:vAlign w:val="center"/>
          </w:tcPr>
          <w:p w14:paraId="3E775064">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000905</w:t>
            </w:r>
          </w:p>
        </w:tc>
        <w:tc>
          <w:tcPr>
            <w:tcW w:w="1386" w:type="dxa"/>
            <w:tcBorders>
              <w:top w:val="nil"/>
              <w:left w:val="nil"/>
              <w:bottom w:val="nil"/>
              <w:right w:val="nil"/>
            </w:tcBorders>
            <w:shd w:val="clear" w:color="auto" w:fill="FFFFFF"/>
            <w:noWrap/>
            <w:vAlign w:val="center"/>
          </w:tcPr>
          <w:p w14:paraId="0CE3EE06">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中小盘宽基</w:t>
            </w:r>
          </w:p>
        </w:tc>
        <w:tc>
          <w:tcPr>
            <w:tcW w:w="1179" w:type="dxa"/>
            <w:tcBorders>
              <w:top w:val="nil"/>
              <w:left w:val="nil"/>
              <w:bottom w:val="nil"/>
              <w:right w:val="nil"/>
            </w:tcBorders>
            <w:shd w:val="clear" w:color="auto" w:fill="FFFFFF"/>
            <w:noWrap/>
            <w:vAlign w:val="center"/>
          </w:tcPr>
          <w:p w14:paraId="429B50FA">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核心底仓</w:t>
            </w:r>
          </w:p>
        </w:tc>
        <w:tc>
          <w:tcPr>
            <w:tcW w:w="2983" w:type="dxa"/>
            <w:tcBorders>
              <w:top w:val="nil"/>
              <w:left w:val="nil"/>
              <w:bottom w:val="nil"/>
              <w:right w:val="nil"/>
            </w:tcBorders>
            <w:shd w:val="clear" w:color="auto" w:fill="FFFFFF"/>
            <w:noWrap/>
            <w:vAlign w:val="center"/>
          </w:tcPr>
          <w:p w14:paraId="5898B8C2">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官方定位“中证小盘500指数”，九成公司市值100-500亿，成长股代表</w:t>
            </w:r>
          </w:p>
        </w:tc>
      </w:tr>
      <w:tr w14:paraId="3772D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49928C5C">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科创50ETF</w:t>
            </w:r>
          </w:p>
        </w:tc>
        <w:tc>
          <w:tcPr>
            <w:tcW w:w="966" w:type="dxa"/>
            <w:tcBorders>
              <w:top w:val="nil"/>
              <w:left w:val="nil"/>
              <w:bottom w:val="nil"/>
              <w:right w:val="nil"/>
            </w:tcBorders>
            <w:shd w:val="clear" w:color="auto" w:fill="FFFFFF"/>
            <w:noWrap/>
            <w:vAlign w:val="center"/>
          </w:tcPr>
          <w:p w14:paraId="659B2301">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588000</w:t>
            </w:r>
          </w:p>
        </w:tc>
        <w:tc>
          <w:tcPr>
            <w:tcW w:w="1179" w:type="dxa"/>
            <w:tcBorders>
              <w:top w:val="nil"/>
              <w:left w:val="nil"/>
              <w:bottom w:val="nil"/>
              <w:right w:val="nil"/>
            </w:tcBorders>
            <w:shd w:val="clear" w:color="auto" w:fill="FFFFFF"/>
            <w:noWrap/>
            <w:vAlign w:val="center"/>
          </w:tcPr>
          <w:p w14:paraId="05B6D962">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000688</w:t>
            </w:r>
          </w:p>
        </w:tc>
        <w:tc>
          <w:tcPr>
            <w:tcW w:w="1386" w:type="dxa"/>
            <w:tcBorders>
              <w:top w:val="nil"/>
              <w:left w:val="nil"/>
              <w:bottom w:val="nil"/>
              <w:right w:val="nil"/>
            </w:tcBorders>
            <w:shd w:val="clear" w:color="auto" w:fill="FFFFFF"/>
            <w:noWrap/>
            <w:vAlign w:val="center"/>
          </w:tcPr>
          <w:p w14:paraId="00F3BCA3">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科技宽基</w:t>
            </w:r>
          </w:p>
        </w:tc>
        <w:tc>
          <w:tcPr>
            <w:tcW w:w="1179" w:type="dxa"/>
            <w:tcBorders>
              <w:top w:val="nil"/>
              <w:left w:val="nil"/>
              <w:bottom w:val="nil"/>
              <w:right w:val="nil"/>
            </w:tcBorders>
            <w:shd w:val="clear" w:color="auto" w:fill="FFFFFF"/>
            <w:noWrap/>
            <w:vAlign w:val="center"/>
          </w:tcPr>
          <w:p w14:paraId="13ED6AA2">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核心底仓</w:t>
            </w:r>
          </w:p>
        </w:tc>
        <w:tc>
          <w:tcPr>
            <w:tcW w:w="2983" w:type="dxa"/>
            <w:tcBorders>
              <w:top w:val="nil"/>
              <w:left w:val="nil"/>
              <w:bottom w:val="nil"/>
              <w:right w:val="nil"/>
            </w:tcBorders>
            <w:shd w:val="clear" w:color="auto" w:fill="FFFFFF"/>
            <w:noWrap/>
            <w:vAlign w:val="center"/>
          </w:tcPr>
          <w:p w14:paraId="3586D30E">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科创板头部50只硬科技企业，聚焦半导体/新能源/信息技术</w:t>
            </w:r>
          </w:p>
        </w:tc>
      </w:tr>
      <w:tr w14:paraId="61903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448DAAA6">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消费ETF</w:t>
            </w:r>
          </w:p>
        </w:tc>
        <w:tc>
          <w:tcPr>
            <w:tcW w:w="966" w:type="dxa"/>
            <w:tcBorders>
              <w:top w:val="nil"/>
              <w:left w:val="nil"/>
              <w:bottom w:val="nil"/>
              <w:right w:val="nil"/>
            </w:tcBorders>
            <w:shd w:val="clear" w:color="auto" w:fill="FFFFFF"/>
            <w:noWrap/>
            <w:vAlign w:val="center"/>
          </w:tcPr>
          <w:p w14:paraId="32351463">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159928</w:t>
            </w:r>
          </w:p>
        </w:tc>
        <w:tc>
          <w:tcPr>
            <w:tcW w:w="1179" w:type="dxa"/>
            <w:tcBorders>
              <w:top w:val="nil"/>
              <w:left w:val="nil"/>
              <w:bottom w:val="nil"/>
              <w:right w:val="nil"/>
            </w:tcBorders>
            <w:shd w:val="clear" w:color="auto" w:fill="FFFFFF"/>
            <w:noWrap/>
            <w:vAlign w:val="center"/>
          </w:tcPr>
          <w:p w14:paraId="6C61E93E">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000932</w:t>
            </w:r>
          </w:p>
        </w:tc>
        <w:tc>
          <w:tcPr>
            <w:tcW w:w="1386" w:type="dxa"/>
            <w:tcBorders>
              <w:top w:val="nil"/>
              <w:left w:val="nil"/>
              <w:bottom w:val="nil"/>
              <w:right w:val="nil"/>
            </w:tcBorders>
            <w:shd w:val="clear" w:color="auto" w:fill="FFFFFF"/>
            <w:noWrap/>
            <w:vAlign w:val="center"/>
          </w:tcPr>
          <w:p w14:paraId="3FA67E0B">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行业主题</w:t>
            </w:r>
          </w:p>
        </w:tc>
        <w:tc>
          <w:tcPr>
            <w:tcW w:w="1179" w:type="dxa"/>
            <w:tcBorders>
              <w:top w:val="nil"/>
              <w:left w:val="nil"/>
              <w:bottom w:val="nil"/>
              <w:right w:val="nil"/>
            </w:tcBorders>
            <w:shd w:val="clear" w:color="auto" w:fill="FFFFFF"/>
            <w:noWrap/>
            <w:vAlign w:val="center"/>
          </w:tcPr>
          <w:p w14:paraId="54C9D366">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卫星增强</w:t>
            </w:r>
          </w:p>
        </w:tc>
        <w:tc>
          <w:tcPr>
            <w:tcW w:w="2983" w:type="dxa"/>
            <w:tcBorders>
              <w:top w:val="nil"/>
              <w:left w:val="nil"/>
              <w:bottom w:val="nil"/>
              <w:right w:val="nil"/>
            </w:tcBorders>
            <w:shd w:val="clear" w:color="auto" w:fill="FFFFFF"/>
            <w:noWrap/>
            <w:vAlign w:val="center"/>
          </w:tcPr>
          <w:p w14:paraId="34B44FBA">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覆盖必需消费龙头，合计规模超153亿元，消费赛道代表性工具</w:t>
            </w:r>
          </w:p>
        </w:tc>
      </w:tr>
      <w:tr w14:paraId="2D60F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2FD36068">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芯片ETF</w:t>
            </w:r>
          </w:p>
        </w:tc>
        <w:tc>
          <w:tcPr>
            <w:tcW w:w="966" w:type="dxa"/>
            <w:tcBorders>
              <w:top w:val="nil"/>
              <w:left w:val="nil"/>
              <w:bottom w:val="nil"/>
              <w:right w:val="nil"/>
            </w:tcBorders>
            <w:shd w:val="clear" w:color="auto" w:fill="FFFFFF"/>
            <w:noWrap/>
            <w:vAlign w:val="center"/>
          </w:tcPr>
          <w:p w14:paraId="4A1DD430">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159995</w:t>
            </w:r>
          </w:p>
        </w:tc>
        <w:tc>
          <w:tcPr>
            <w:tcW w:w="1179" w:type="dxa"/>
            <w:tcBorders>
              <w:top w:val="nil"/>
              <w:left w:val="nil"/>
              <w:bottom w:val="nil"/>
              <w:right w:val="nil"/>
            </w:tcBorders>
            <w:shd w:val="clear" w:color="auto" w:fill="FFFFFF"/>
            <w:noWrap/>
            <w:vAlign w:val="center"/>
          </w:tcPr>
          <w:p w14:paraId="48B0B633">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980017</w:t>
            </w:r>
          </w:p>
        </w:tc>
        <w:tc>
          <w:tcPr>
            <w:tcW w:w="1386" w:type="dxa"/>
            <w:tcBorders>
              <w:top w:val="nil"/>
              <w:left w:val="nil"/>
              <w:bottom w:val="nil"/>
              <w:right w:val="nil"/>
            </w:tcBorders>
            <w:shd w:val="clear" w:color="auto" w:fill="FFFFFF"/>
            <w:noWrap/>
            <w:vAlign w:val="center"/>
          </w:tcPr>
          <w:p w14:paraId="63089C22">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行业主题</w:t>
            </w:r>
          </w:p>
        </w:tc>
        <w:tc>
          <w:tcPr>
            <w:tcW w:w="1179" w:type="dxa"/>
            <w:tcBorders>
              <w:top w:val="nil"/>
              <w:left w:val="nil"/>
              <w:bottom w:val="nil"/>
              <w:right w:val="nil"/>
            </w:tcBorders>
            <w:shd w:val="clear" w:color="auto" w:fill="FFFFFF"/>
            <w:noWrap/>
            <w:vAlign w:val="center"/>
          </w:tcPr>
          <w:p w14:paraId="7B5FCC74">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卫星增强</w:t>
            </w:r>
          </w:p>
        </w:tc>
        <w:tc>
          <w:tcPr>
            <w:tcW w:w="2983" w:type="dxa"/>
            <w:tcBorders>
              <w:top w:val="nil"/>
              <w:left w:val="nil"/>
              <w:bottom w:val="nil"/>
              <w:right w:val="nil"/>
            </w:tcBorders>
            <w:shd w:val="clear" w:color="auto" w:fill="FFFFFF"/>
            <w:noWrap/>
            <w:vAlign w:val="center"/>
          </w:tcPr>
          <w:p w14:paraId="0C7C948A">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覆盖芯片全产业链，8只指数基金跟踪，硬科技投资标杆</w:t>
            </w:r>
          </w:p>
        </w:tc>
      </w:tr>
      <w:tr w14:paraId="399C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48F9C2DE">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黄金ETF</w:t>
            </w:r>
          </w:p>
        </w:tc>
        <w:tc>
          <w:tcPr>
            <w:tcW w:w="966" w:type="dxa"/>
            <w:tcBorders>
              <w:top w:val="nil"/>
              <w:left w:val="nil"/>
              <w:bottom w:val="nil"/>
              <w:right w:val="nil"/>
            </w:tcBorders>
            <w:shd w:val="clear" w:color="auto" w:fill="FFFFFF"/>
            <w:noWrap/>
            <w:vAlign w:val="center"/>
          </w:tcPr>
          <w:p w14:paraId="18156669">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518880</w:t>
            </w:r>
          </w:p>
        </w:tc>
        <w:tc>
          <w:tcPr>
            <w:tcW w:w="1179" w:type="dxa"/>
            <w:tcBorders>
              <w:top w:val="nil"/>
              <w:left w:val="nil"/>
              <w:bottom w:val="nil"/>
              <w:right w:val="nil"/>
            </w:tcBorders>
            <w:shd w:val="clear" w:color="auto" w:fill="FFFFFF"/>
            <w:noWrap/>
            <w:vAlign w:val="center"/>
          </w:tcPr>
          <w:p w14:paraId="3A530CAB">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Au9999</w:t>
            </w:r>
          </w:p>
        </w:tc>
        <w:tc>
          <w:tcPr>
            <w:tcW w:w="1386" w:type="dxa"/>
            <w:tcBorders>
              <w:top w:val="nil"/>
              <w:left w:val="nil"/>
              <w:bottom w:val="nil"/>
              <w:right w:val="nil"/>
            </w:tcBorders>
            <w:shd w:val="clear" w:color="auto" w:fill="FFFFFF"/>
            <w:noWrap/>
            <w:vAlign w:val="center"/>
          </w:tcPr>
          <w:p w14:paraId="70EFFBAC">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商品</w:t>
            </w:r>
          </w:p>
        </w:tc>
        <w:tc>
          <w:tcPr>
            <w:tcW w:w="1179" w:type="dxa"/>
            <w:tcBorders>
              <w:top w:val="nil"/>
              <w:left w:val="nil"/>
              <w:bottom w:val="nil"/>
              <w:right w:val="nil"/>
            </w:tcBorders>
            <w:shd w:val="clear" w:color="auto" w:fill="FFFFFF"/>
            <w:noWrap/>
            <w:vAlign w:val="center"/>
          </w:tcPr>
          <w:p w14:paraId="41F5154A">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风险对冲</w:t>
            </w:r>
          </w:p>
        </w:tc>
        <w:tc>
          <w:tcPr>
            <w:tcW w:w="2983" w:type="dxa"/>
            <w:tcBorders>
              <w:top w:val="nil"/>
              <w:left w:val="nil"/>
              <w:bottom w:val="nil"/>
              <w:right w:val="nil"/>
            </w:tcBorders>
            <w:shd w:val="clear" w:color="auto" w:fill="FFFFFF"/>
            <w:noWrap/>
            <w:vAlign w:val="center"/>
          </w:tcPr>
          <w:p w14:paraId="2D46431F">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挂钩黄金现货，与股票相关性≈0，7只产品总规模超732亿元</w:t>
            </w:r>
          </w:p>
        </w:tc>
      </w:tr>
      <w:tr w14:paraId="00B16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nil"/>
              <w:left w:val="nil"/>
              <w:bottom w:val="single" w:color="000000" w:sz="12" w:space="0"/>
              <w:right w:val="nil"/>
            </w:tcBorders>
            <w:shd w:val="clear" w:color="auto" w:fill="FFFFFF"/>
            <w:noWrap/>
            <w:vAlign w:val="center"/>
          </w:tcPr>
          <w:p w14:paraId="1EA0913F">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十年国债ETF</w:t>
            </w:r>
          </w:p>
        </w:tc>
        <w:tc>
          <w:tcPr>
            <w:tcW w:w="966" w:type="dxa"/>
            <w:tcBorders>
              <w:top w:val="nil"/>
              <w:left w:val="nil"/>
              <w:bottom w:val="single" w:color="000000" w:sz="12" w:space="0"/>
              <w:right w:val="nil"/>
            </w:tcBorders>
            <w:shd w:val="clear" w:color="auto" w:fill="FFFFFF"/>
            <w:noWrap/>
            <w:vAlign w:val="center"/>
          </w:tcPr>
          <w:p w14:paraId="6CB16ECF">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511260</w:t>
            </w:r>
          </w:p>
        </w:tc>
        <w:tc>
          <w:tcPr>
            <w:tcW w:w="1179" w:type="dxa"/>
            <w:tcBorders>
              <w:top w:val="nil"/>
              <w:left w:val="nil"/>
              <w:bottom w:val="single" w:color="000000" w:sz="12" w:space="0"/>
              <w:right w:val="nil"/>
            </w:tcBorders>
            <w:shd w:val="clear" w:color="auto" w:fill="FFFFFF"/>
            <w:noWrap/>
            <w:vAlign w:val="center"/>
          </w:tcPr>
          <w:p w14:paraId="35CFA5B7">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2"/>
                <w:u w:val="none"/>
                <w:lang w:val="en-US" w:eastAsia="zh-CN" w:bidi="ar"/>
              </w:rPr>
              <w:t>000012</w:t>
            </w:r>
          </w:p>
        </w:tc>
        <w:tc>
          <w:tcPr>
            <w:tcW w:w="1386" w:type="dxa"/>
            <w:tcBorders>
              <w:top w:val="nil"/>
              <w:left w:val="nil"/>
              <w:bottom w:val="single" w:color="000000" w:sz="12" w:space="0"/>
              <w:right w:val="nil"/>
            </w:tcBorders>
            <w:shd w:val="clear" w:color="auto" w:fill="FFFFFF"/>
            <w:noWrap/>
            <w:vAlign w:val="center"/>
          </w:tcPr>
          <w:p w14:paraId="2F2BCAAB">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债券</w:t>
            </w:r>
          </w:p>
        </w:tc>
        <w:tc>
          <w:tcPr>
            <w:tcW w:w="1179" w:type="dxa"/>
            <w:tcBorders>
              <w:top w:val="nil"/>
              <w:left w:val="nil"/>
              <w:bottom w:val="single" w:color="000000" w:sz="12" w:space="0"/>
              <w:right w:val="nil"/>
            </w:tcBorders>
            <w:shd w:val="clear" w:color="auto" w:fill="FFFFFF"/>
            <w:noWrap/>
            <w:vAlign w:val="center"/>
          </w:tcPr>
          <w:p w14:paraId="48F0F9FA">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bCs/>
                <w:i w:val="0"/>
                <w:iCs w:val="0"/>
                <w:caps w:val="0"/>
                <w:color w:val="000000"/>
                <w:spacing w:val="0"/>
                <w:kern w:val="0"/>
                <w:sz w:val="21"/>
                <w:szCs w:val="21"/>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防御底仓</w:t>
            </w:r>
          </w:p>
        </w:tc>
        <w:tc>
          <w:tcPr>
            <w:tcW w:w="2983" w:type="dxa"/>
            <w:tcBorders>
              <w:top w:val="nil"/>
              <w:left w:val="nil"/>
              <w:bottom w:val="single" w:color="000000" w:sz="12" w:space="0"/>
              <w:right w:val="nil"/>
            </w:tcBorders>
            <w:shd w:val="clear" w:color="auto" w:fill="FFFFFF"/>
            <w:noWrap/>
            <w:vAlign w:val="center"/>
          </w:tcPr>
          <w:p w14:paraId="604F2514">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国家信用背书，8个完整年度均正收益，规模195.72亿元</w:t>
            </w:r>
          </w:p>
        </w:tc>
      </w:tr>
    </w:tbl>
    <w:p w14:paraId="2BD3F56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核心层选取沪深300、中证500、科创50三只宽基ETF，具备覆盖范围广、受单一行业冲击影响小、波动相对较低的特征。沪深300、中证500、科创50的组合，覆盖大盘蓝筹、中小盘成长、科技创新三大板块。</w:t>
      </w:r>
    </w:p>
    <w:p w14:paraId="3CA12C1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其中，中证指数公司定义沪深300样本股“代表了沪深两市A股市场的核心优质资产”，市场普遍将其视为大盘蓝筹风格的代表，其成分股占总市值的65%、占全部A股净利润的84%，对大盘板块具备充分代表性。</w:t>
      </w:r>
    </w:p>
    <w:p w14:paraId="29C404F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中证500即“中证</w:t>
      </w:r>
      <w:r>
        <w:rPr>
          <w:rFonts w:hint="default" w:asciiTheme="minorEastAsia" w:hAnsiTheme="minorEastAsia" w:eastAsiaTheme="minorEastAsia" w:cstheme="minorEastAsia"/>
          <w:sz w:val="24"/>
          <w:szCs w:val="24"/>
          <w:lang w:val="en-US" w:eastAsia="zh-CN"/>
        </w:rPr>
        <w:t>小盘500指数”，明确定位为小盘指数</w:t>
      </w:r>
      <w:r>
        <w:rPr>
          <w:rFonts w:hint="eastAsia" w:asciiTheme="minorEastAsia" w:hAnsiTheme="minorEastAsia" w:eastAsiaTheme="minorEastAsia" w:cstheme="minorEastAsia"/>
          <w:sz w:val="24"/>
          <w:szCs w:val="24"/>
          <w:lang w:val="en-US" w:eastAsia="zh-CN"/>
        </w:rPr>
        <w:t>，相较于</w:t>
      </w:r>
      <w:r>
        <w:rPr>
          <w:rFonts w:hint="default" w:asciiTheme="minorEastAsia" w:hAnsiTheme="minorEastAsia" w:eastAsiaTheme="minorEastAsia" w:cstheme="minorEastAsia"/>
          <w:sz w:val="24"/>
          <w:szCs w:val="24"/>
          <w:lang w:val="en-US" w:eastAsia="zh-CN"/>
        </w:rPr>
        <w:t>沪深300的价值蓝筹定位，市场通常将其视为成长股的代表，九成成分股市值集中于100-500亿</w:t>
      </w:r>
      <w:r>
        <w:rPr>
          <w:rFonts w:hint="eastAsia" w:asciiTheme="minorEastAsia" w:hAnsiTheme="minorEastAsia" w:eastAsiaTheme="minorEastAsia" w:cstheme="minorEastAsia"/>
          <w:sz w:val="24"/>
          <w:szCs w:val="24"/>
          <w:lang w:val="en-US" w:eastAsia="zh-CN"/>
        </w:rPr>
        <w:t>元区间</w:t>
      </w:r>
      <w:r>
        <w:rPr>
          <w:rFonts w:hint="default" w:asciiTheme="minorEastAsia" w:hAnsiTheme="minorEastAsia" w:eastAsiaTheme="minorEastAsia" w:cstheme="minorEastAsia"/>
          <w:sz w:val="24"/>
          <w:szCs w:val="24"/>
          <w:lang w:val="en-US" w:eastAsia="zh-CN"/>
        </w:rPr>
        <w:t>。</w:t>
      </w:r>
    </w:p>
    <w:p w14:paraId="0EF49F9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科创50是</w:t>
      </w:r>
      <w:r>
        <w:rPr>
          <w:rFonts w:hint="default" w:asciiTheme="minorEastAsia" w:hAnsiTheme="minorEastAsia" w:eastAsiaTheme="minorEastAsia" w:cstheme="minorEastAsia"/>
          <w:sz w:val="24"/>
          <w:szCs w:val="24"/>
          <w:lang w:val="en-US" w:eastAsia="zh-CN"/>
        </w:rPr>
        <w:t>科创板首只宽基指数，由科创板中市值大、流动性好的50只证券组成，采用自由流通市值加权</w:t>
      </w:r>
      <w:r>
        <w:rPr>
          <w:rFonts w:hint="eastAsia" w:asciiTheme="minorEastAsia" w:hAnsiTheme="minorEastAsia" w:eastAsiaTheme="minorEastAsia" w:cstheme="minorEastAsia"/>
          <w:sz w:val="24"/>
          <w:szCs w:val="24"/>
          <w:lang w:val="en-US" w:eastAsia="zh-CN"/>
        </w:rPr>
        <w:t>法编制，设置1</w:t>
      </w:r>
      <w:r>
        <w:rPr>
          <w:rFonts w:hint="default"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val="en-US" w:eastAsia="zh-CN"/>
        </w:rPr>
        <w:t>%的个股</w:t>
      </w:r>
      <w:r>
        <w:rPr>
          <w:rFonts w:hint="default" w:asciiTheme="minorEastAsia" w:hAnsiTheme="minorEastAsia" w:eastAsiaTheme="minorEastAsia" w:cstheme="minorEastAsia"/>
          <w:sz w:val="24"/>
          <w:szCs w:val="24"/>
          <w:lang w:val="en-US" w:eastAsia="zh-CN"/>
        </w:rPr>
        <w:t>权重上限，聚焦半导体、新能源、新一代信息技术等硬科技领域，是A股“硬科技”的标杆性指数。</w:t>
      </w:r>
    </w:p>
    <w:p w14:paraId="16D1EE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卫星层选取消费ETF、芯片ETF、黄金ETF与十年国债ETF四只产品，该类资产与核心层资产相关性较低。深交所官方教材《深交所ETF投资问答》指出，债券与权益、商品类资产的长期相关性通常介于0至-30%之间；黄金在市场不确定性上升时可发挥避险作用，对冲效应显著。</w:t>
      </w:r>
    </w:p>
    <w:p w14:paraId="441C5CB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消费ETF跟踪中证主要消费指数（000932），由中证800指数成分股中的主要消费行业股票构成，覆盖食品饮料、农牧渔业等必需消费领域龙头企业，全市场跟踪该指数的ETF合计规模超153亿元，是消费赛道的代表性配置工具。消费行业具备长期稳健增长属性，与宏观经济周期相关性适中，适合作为卫星层配置标的。</w:t>
      </w:r>
    </w:p>
    <w:p w14:paraId="6587760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芯片ETF跟踪国证半导体芯片指数（980017），覆盖芯片设计、制造、封装测试及材料设备全产业链，共计50只成分股，全市场共有8只指数基金跟踪该指数，是“硬科技”投资的标杆工具。半导体是科技领域国产替代的核心赛道，爆发力强、波动较大，适合通过卫星仓位博取超额收益。</w:t>
      </w:r>
    </w:p>
    <w:p w14:paraId="08A3A71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黄金ETF挂钩上海黄金交易所Au99.99现货合约，收益与金价同步波动，与A股权益资产相关性极低，国内共有7只同类产品，总规模超732亿元，是商品类资产的核心代表，可在市场波动加剧时有效对冲系统性风险。</w:t>
      </w:r>
    </w:p>
    <w:p w14:paraId="3CE0369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十年国债ETF选取剩余期限为7-10年的上交所挂牌国债，具备国家信用背书，成立以来8个完整年度均保持正收益，当前规模为195.72亿元，是组合的“压舱石”与“安全垫”，可在权益市场下跌时提供稳定保护。</w:t>
      </w:r>
    </w:p>
    <w:p w14:paraId="5CDB7916">
      <w:pPr>
        <w:numPr>
          <w:ilvl w:val="0"/>
          <w:numId w:val="6"/>
        </w:numPr>
        <w:ind w:left="845" w:leftChars="0" w:hanging="425" w:firstLineChars="0"/>
        <w:outlineLvl w:val="1"/>
        <w:rPr>
          <w:rFonts w:hint="default" w:ascii="楷体" w:hAnsi="楷体" w:eastAsia="楷体" w:cs="楷体"/>
          <w:sz w:val="28"/>
          <w:szCs w:val="28"/>
          <w:lang w:val="en-US" w:eastAsia="zh-CN"/>
        </w:rPr>
      </w:pPr>
      <w:bookmarkStart w:id="15" w:name="_Toc6157"/>
      <w:r>
        <w:rPr>
          <w:rFonts w:hint="eastAsia" w:ascii="楷体" w:hAnsi="楷体" w:eastAsia="楷体" w:cs="楷体"/>
          <w:sz w:val="28"/>
          <w:szCs w:val="28"/>
          <w:lang w:val="en-US" w:eastAsia="zh-CN"/>
        </w:rPr>
        <w:t>配置规则与约束</w:t>
      </w:r>
      <w:bookmarkEnd w:id="15"/>
    </w:p>
    <w:p w14:paraId="611C795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保障组合风险可控，本项目设定四层配置约束规则。第一，核心资产占权益部分比例不低于60%，此为核心-卫星策略的基本要求，确保组合始终以稳健宽基资产为主体，规避过度投机行为。第二，卫星资产合计占比不超过40%，以此控制行业主题仓位的总体风险暴露，避免卫星资产对组合稳定性造成过度侵蚀。第三，单只ETF权重上限为30%，防范单一资产过度集中，管控非系统性风险——该约束在马科维茨的MPT框架中具备明确数学含义：当单一资产权重过高时，组合风险将由该资产的个体风险主导，分散化效果将显著下降。第四，固收与黄金合计占比根据客户类型在10%-50%区间内动态调整，保守型客户需配置更高比例的防御资产以控制组合波动，进取型客户则可容忍更高权益敞口以获取收益。</w:t>
      </w:r>
    </w:p>
    <w:p w14:paraId="703E6A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各项约束汇总如下：</w:t>
      </w:r>
    </w:p>
    <w:p w14:paraId="474DF3A4">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资产池配置比例</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2563"/>
        <w:gridCol w:w="3482"/>
      </w:tblGrid>
      <w:tr w14:paraId="4F80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77" w:type="dxa"/>
            <w:tcBorders>
              <w:top w:val="single" w:color="000000" w:sz="12" w:space="0"/>
              <w:left w:val="nil"/>
              <w:bottom w:val="single" w:color="000000" w:sz="4" w:space="0"/>
              <w:right w:val="nil"/>
              <w:tl2br w:val="nil"/>
            </w:tcBorders>
            <w:shd w:val="clear" w:color="auto" w:fill="FFFFFF"/>
            <w:vAlign w:val="top"/>
          </w:tcPr>
          <w:p w14:paraId="35C9EC5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规则</w:t>
            </w:r>
          </w:p>
        </w:tc>
        <w:tc>
          <w:tcPr>
            <w:tcW w:w="2563" w:type="dxa"/>
            <w:tcBorders>
              <w:top w:val="single" w:color="000000" w:sz="12" w:space="0"/>
              <w:left w:val="nil"/>
              <w:bottom w:val="single" w:color="000000" w:sz="4" w:space="0"/>
              <w:right w:val="nil"/>
            </w:tcBorders>
            <w:shd w:val="clear" w:color="auto" w:fill="FFFFFF"/>
            <w:vAlign w:val="top"/>
          </w:tcPr>
          <w:p w14:paraId="44AD6CA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设定值</w:t>
            </w:r>
          </w:p>
        </w:tc>
        <w:tc>
          <w:tcPr>
            <w:tcW w:w="3482" w:type="dxa"/>
            <w:tcBorders>
              <w:top w:val="single" w:color="000000" w:sz="12" w:space="0"/>
              <w:left w:val="nil"/>
              <w:bottom w:val="single" w:color="000000" w:sz="4" w:space="0"/>
              <w:right w:val="nil"/>
            </w:tcBorders>
            <w:shd w:val="clear" w:color="auto" w:fill="FFFFFF"/>
            <w:vAlign w:val="top"/>
          </w:tcPr>
          <w:p w14:paraId="556F01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依据</w:t>
            </w:r>
          </w:p>
        </w:tc>
      </w:tr>
      <w:tr w14:paraId="55DF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single" w:color="000000" w:sz="4" w:space="0"/>
              <w:left w:val="nil"/>
              <w:bottom w:val="nil"/>
              <w:right w:val="nil"/>
            </w:tcBorders>
            <w:shd w:val="clear" w:color="auto" w:fill="FFFFFF"/>
            <w:vAlign w:val="top"/>
          </w:tcPr>
          <w:p w14:paraId="332A2C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核心资产（宽基）占权益部分</w:t>
            </w:r>
          </w:p>
        </w:tc>
        <w:tc>
          <w:tcPr>
            <w:tcW w:w="2563" w:type="dxa"/>
            <w:tcBorders>
              <w:top w:val="single" w:color="000000" w:sz="4" w:space="0"/>
              <w:left w:val="nil"/>
              <w:bottom w:val="nil"/>
              <w:right w:val="nil"/>
            </w:tcBorders>
            <w:shd w:val="clear" w:color="auto" w:fill="FFFFFF"/>
            <w:vAlign w:val="top"/>
          </w:tcPr>
          <w:p w14:paraId="018EE4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≥60%</w:t>
            </w:r>
          </w:p>
        </w:tc>
        <w:tc>
          <w:tcPr>
            <w:tcW w:w="3482" w:type="dxa"/>
            <w:tcBorders>
              <w:top w:val="single" w:color="000000" w:sz="4" w:space="0"/>
              <w:left w:val="nil"/>
              <w:bottom w:val="nil"/>
              <w:right w:val="nil"/>
            </w:tcBorders>
            <w:shd w:val="clear" w:color="auto" w:fill="FFFFFF"/>
            <w:vAlign w:val="top"/>
          </w:tcPr>
          <w:p w14:paraId="506B77F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核心-卫星策略行业标准</w:t>
            </w:r>
          </w:p>
        </w:tc>
      </w:tr>
      <w:tr w14:paraId="72F1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nil"/>
              <w:left w:val="nil"/>
              <w:bottom w:val="nil"/>
              <w:right w:val="nil"/>
            </w:tcBorders>
            <w:shd w:val="clear" w:color="auto" w:fill="FFFFFF"/>
            <w:vAlign w:val="top"/>
          </w:tcPr>
          <w:p w14:paraId="58B8070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卫星资产（行业主题）合计</w:t>
            </w:r>
          </w:p>
        </w:tc>
        <w:tc>
          <w:tcPr>
            <w:tcW w:w="2563" w:type="dxa"/>
            <w:tcBorders>
              <w:top w:val="nil"/>
              <w:left w:val="nil"/>
              <w:bottom w:val="nil"/>
              <w:right w:val="nil"/>
            </w:tcBorders>
            <w:shd w:val="clear" w:color="auto" w:fill="FFFFFF"/>
            <w:vAlign w:val="top"/>
          </w:tcPr>
          <w:p w14:paraId="3F22FC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≤40%</w:t>
            </w:r>
          </w:p>
        </w:tc>
        <w:tc>
          <w:tcPr>
            <w:tcW w:w="3482" w:type="dxa"/>
            <w:tcBorders>
              <w:top w:val="nil"/>
              <w:left w:val="nil"/>
              <w:bottom w:val="nil"/>
              <w:right w:val="nil"/>
            </w:tcBorders>
            <w:shd w:val="clear" w:color="auto" w:fill="FFFFFF"/>
            <w:vAlign w:val="top"/>
          </w:tcPr>
          <w:p w14:paraId="459F58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控制卫星仓位风险暴露</w:t>
            </w:r>
          </w:p>
        </w:tc>
      </w:tr>
      <w:tr w14:paraId="6D28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nil"/>
              <w:left w:val="nil"/>
              <w:bottom w:val="nil"/>
              <w:right w:val="nil"/>
            </w:tcBorders>
            <w:shd w:val="clear" w:color="auto" w:fill="FFFFFF"/>
            <w:vAlign w:val="top"/>
          </w:tcPr>
          <w:p w14:paraId="19CDB86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单只ETF权重上限</w:t>
            </w:r>
          </w:p>
        </w:tc>
        <w:tc>
          <w:tcPr>
            <w:tcW w:w="2563" w:type="dxa"/>
            <w:tcBorders>
              <w:top w:val="nil"/>
              <w:left w:val="nil"/>
              <w:bottom w:val="nil"/>
              <w:right w:val="nil"/>
            </w:tcBorders>
            <w:shd w:val="clear" w:color="auto" w:fill="FFFFFF"/>
            <w:vAlign w:val="top"/>
          </w:tcPr>
          <w:p w14:paraId="08E3A7D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≤30%</w:t>
            </w:r>
          </w:p>
        </w:tc>
        <w:tc>
          <w:tcPr>
            <w:tcW w:w="3482" w:type="dxa"/>
            <w:tcBorders>
              <w:top w:val="nil"/>
              <w:left w:val="nil"/>
              <w:bottom w:val="nil"/>
              <w:right w:val="nil"/>
            </w:tcBorders>
            <w:shd w:val="clear" w:color="auto" w:fill="FFFFFF"/>
            <w:vAlign w:val="top"/>
          </w:tcPr>
          <w:p w14:paraId="0EF9B48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防止单一资产过度集中，控制非系统性风险</w:t>
            </w:r>
          </w:p>
        </w:tc>
      </w:tr>
      <w:tr w14:paraId="1666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nil"/>
              <w:left w:val="nil"/>
              <w:bottom w:val="single" w:color="000000" w:sz="12" w:space="0"/>
              <w:right w:val="nil"/>
            </w:tcBorders>
            <w:shd w:val="clear" w:color="auto" w:fill="FFFFFF"/>
            <w:vAlign w:val="top"/>
          </w:tcPr>
          <w:p w14:paraId="754B224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固收+黄金合计</w:t>
            </w:r>
          </w:p>
        </w:tc>
        <w:tc>
          <w:tcPr>
            <w:tcW w:w="2563" w:type="dxa"/>
            <w:tcBorders>
              <w:top w:val="nil"/>
              <w:left w:val="nil"/>
              <w:bottom w:val="single" w:color="000000" w:sz="12" w:space="0"/>
              <w:right w:val="nil"/>
            </w:tcBorders>
            <w:shd w:val="clear" w:color="auto" w:fill="FFFFFF"/>
            <w:vAlign w:val="top"/>
          </w:tcPr>
          <w:p w14:paraId="16B1F7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10%–50%（取决于客户类型）</w:t>
            </w:r>
          </w:p>
        </w:tc>
        <w:tc>
          <w:tcPr>
            <w:tcW w:w="3482" w:type="dxa"/>
            <w:tcBorders>
              <w:top w:val="nil"/>
              <w:left w:val="nil"/>
              <w:bottom w:val="single" w:color="000000" w:sz="12" w:space="0"/>
              <w:right w:val="nil"/>
            </w:tcBorders>
            <w:shd w:val="clear" w:color="auto" w:fill="FFFFFF"/>
            <w:vAlign w:val="top"/>
          </w:tcPr>
          <w:p w14:paraId="3D3B0BD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依据客户风险偏好动态调整</w:t>
            </w:r>
          </w:p>
        </w:tc>
      </w:tr>
    </w:tbl>
    <w:p w14:paraId="36D50C56">
      <w:pPr>
        <w:numPr>
          <w:ilvl w:val="0"/>
          <w:numId w:val="6"/>
        </w:numPr>
        <w:ind w:left="845" w:leftChars="0" w:hanging="425" w:firstLineChars="0"/>
        <w:outlineLvl w:val="1"/>
        <w:rPr>
          <w:rFonts w:hint="default" w:ascii="楷体" w:hAnsi="楷体" w:eastAsia="楷体" w:cs="楷体"/>
          <w:sz w:val="28"/>
          <w:szCs w:val="28"/>
          <w:lang w:val="en-US" w:eastAsia="zh-CN"/>
        </w:rPr>
      </w:pPr>
      <w:bookmarkStart w:id="16" w:name="_Toc25785"/>
      <w:r>
        <w:rPr>
          <w:rFonts w:hint="eastAsia" w:ascii="楷体" w:hAnsi="楷体" w:eastAsia="楷体" w:cs="楷体"/>
          <w:sz w:val="28"/>
          <w:szCs w:val="28"/>
          <w:lang w:val="en-US" w:eastAsia="zh-CN"/>
        </w:rPr>
        <w:t>资产池的市场代表性</w:t>
      </w:r>
      <w:bookmarkEnd w:id="16"/>
    </w:p>
    <w:p w14:paraId="569F31A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3+4”资产池覆盖中国基金市场四大核心资产类别。权益类由沪深300（大盘蓝筹）、中证500（中小盘成长）、科创50（硬科技）三只宽基构成，覆盖A股市场大、中、小盘及科创板块；行业类由消费ETF和芯片ETF构成，覆盖必需消费和科技两大核心赛道；商品类由黄金ETF构成，</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提供通胀对冲</w:t>
      </w:r>
      <w:r>
        <w:rPr>
          <w:rFonts w:hint="eastAsia" w:asciiTheme="minorEastAsia" w:hAnsiTheme="minorEastAsia" w:eastAsiaTheme="minorEastAsia" w:cstheme="minorEastAsia"/>
          <w:sz w:val="24"/>
          <w:szCs w:val="24"/>
          <w:lang w:val="en-US" w:eastAsia="zh-CN"/>
        </w:rPr>
        <w:t>与</w:t>
      </w:r>
      <w:r>
        <w:rPr>
          <w:rFonts w:hint="default" w:asciiTheme="minorEastAsia" w:hAnsiTheme="minorEastAsia" w:eastAsiaTheme="minorEastAsia" w:cstheme="minorEastAsia"/>
          <w:sz w:val="24"/>
          <w:szCs w:val="24"/>
          <w:lang w:val="en-US" w:eastAsia="zh-CN"/>
        </w:rPr>
        <w:t>尾部风险保护；固收类由十年国债ETF构成，</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提供稳定票息收入</w:t>
      </w:r>
      <w:r>
        <w:rPr>
          <w:rFonts w:hint="eastAsia" w:asciiTheme="minorEastAsia" w:hAnsiTheme="minorEastAsia" w:eastAsiaTheme="minorEastAsia" w:cstheme="minorEastAsia"/>
          <w:sz w:val="24"/>
          <w:szCs w:val="24"/>
          <w:lang w:val="en-US" w:eastAsia="zh-CN"/>
        </w:rPr>
        <w:t>，并在</w:t>
      </w:r>
      <w:r>
        <w:rPr>
          <w:rFonts w:hint="default" w:asciiTheme="minorEastAsia" w:hAnsiTheme="minorEastAsia" w:eastAsiaTheme="minorEastAsia" w:cstheme="minorEastAsia"/>
          <w:sz w:val="24"/>
          <w:szCs w:val="24"/>
          <w:lang w:val="en-US" w:eastAsia="zh-CN"/>
        </w:rPr>
        <w:t>权益</w:t>
      </w:r>
      <w:r>
        <w:rPr>
          <w:rFonts w:hint="eastAsia" w:asciiTheme="minorEastAsia" w:hAnsiTheme="minorEastAsia" w:eastAsiaTheme="minorEastAsia" w:cstheme="minorEastAsia"/>
          <w:sz w:val="24"/>
          <w:szCs w:val="24"/>
          <w:lang w:val="en-US" w:eastAsia="zh-CN"/>
        </w:rPr>
        <w:t>市场</w:t>
      </w:r>
      <w:r>
        <w:rPr>
          <w:rFonts w:hint="default" w:asciiTheme="minorEastAsia" w:hAnsiTheme="minorEastAsia" w:eastAsiaTheme="minorEastAsia" w:cstheme="minorEastAsia"/>
          <w:sz w:val="24"/>
          <w:szCs w:val="24"/>
          <w:lang w:val="en-US" w:eastAsia="zh-CN"/>
        </w:rPr>
        <w:t>下跌时</w:t>
      </w:r>
      <w:r>
        <w:rPr>
          <w:rFonts w:hint="eastAsia" w:asciiTheme="minorEastAsia" w:hAnsiTheme="minorEastAsia" w:eastAsiaTheme="minorEastAsia" w:cstheme="minorEastAsia"/>
          <w:sz w:val="24"/>
          <w:szCs w:val="24"/>
          <w:lang w:val="en-US" w:eastAsia="zh-CN"/>
        </w:rPr>
        <w:t>提供</w:t>
      </w:r>
      <w:r>
        <w:rPr>
          <w:rFonts w:hint="default" w:asciiTheme="minorEastAsia" w:hAnsiTheme="minorEastAsia" w:eastAsiaTheme="minorEastAsia" w:cstheme="minorEastAsia"/>
          <w:sz w:val="24"/>
          <w:szCs w:val="24"/>
          <w:lang w:val="en-US" w:eastAsia="zh-CN"/>
        </w:rPr>
        <w:t>对冲保护。</w:t>
      </w:r>
    </w:p>
    <w:p w14:paraId="30D8088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从覆盖范围来看，该资产池已全面覆盖中国基金市场中规模最大、流动性最好、最具市场代表性的七大细分方向。各资产类别在</w:t>
      </w:r>
      <w:r>
        <w:rPr>
          <w:rFonts w:hint="eastAsia" w:asciiTheme="minorEastAsia" w:hAnsiTheme="minorEastAsia" w:eastAsiaTheme="minorEastAsia" w:cstheme="minorEastAsia"/>
          <w:sz w:val="24"/>
          <w:szCs w:val="24"/>
          <w:lang w:val="en-US" w:eastAsia="zh-CN"/>
        </w:rPr>
        <w:t>不同</w:t>
      </w:r>
      <w:r>
        <w:rPr>
          <w:rFonts w:hint="default" w:asciiTheme="minorEastAsia" w:hAnsiTheme="minorEastAsia" w:eastAsiaTheme="minorEastAsia" w:cstheme="minorEastAsia"/>
          <w:sz w:val="24"/>
          <w:szCs w:val="24"/>
          <w:lang w:val="en-US" w:eastAsia="zh-CN"/>
        </w:rPr>
        <w:t>市场周期中的表现存在显著差异：经济复苏期权益类资产表现突出，滞胀期商品类资产（黄金）</w:t>
      </w:r>
      <w:r>
        <w:rPr>
          <w:rFonts w:hint="eastAsia" w:asciiTheme="minorEastAsia" w:hAnsiTheme="minorEastAsia" w:eastAsiaTheme="minorEastAsia" w:cstheme="minorEastAsia"/>
          <w:sz w:val="24"/>
          <w:szCs w:val="24"/>
          <w:lang w:val="en-US" w:eastAsia="zh-CN"/>
        </w:rPr>
        <w:t>具备</w:t>
      </w:r>
      <w:r>
        <w:rPr>
          <w:rFonts w:hint="default" w:asciiTheme="minorEastAsia" w:hAnsiTheme="minorEastAsia" w:eastAsiaTheme="minorEastAsia" w:cstheme="minorEastAsia"/>
          <w:sz w:val="24"/>
          <w:szCs w:val="24"/>
          <w:lang w:val="en-US" w:eastAsia="zh-CN"/>
        </w:rPr>
        <w:t>抗通胀优势，衰退期固收类资产（国债）</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提供稳定保护</w:t>
      </w:r>
      <w:r>
        <w:rPr>
          <w:rFonts w:hint="eastAsia" w:asciiTheme="minorEastAsia" w:hAnsiTheme="minorEastAsia" w:eastAsiaTheme="minorEastAsia" w:cstheme="minorEastAsia"/>
          <w:sz w:val="24"/>
          <w:szCs w:val="24"/>
          <w:lang w:val="en-US" w:eastAsia="zh-CN"/>
        </w:rPr>
        <w:t>，上述</w:t>
      </w:r>
      <w:r>
        <w:rPr>
          <w:rFonts w:hint="default" w:asciiTheme="minorEastAsia" w:hAnsiTheme="minorEastAsia" w:eastAsiaTheme="minorEastAsia" w:cstheme="minorEastAsia"/>
          <w:sz w:val="24"/>
          <w:szCs w:val="24"/>
          <w:lang w:val="en-US" w:eastAsia="zh-CN"/>
        </w:rPr>
        <w:t>差异化特征为本项目的动态配置策略提供了</w:t>
      </w:r>
      <w:r>
        <w:rPr>
          <w:rFonts w:hint="eastAsia" w:asciiTheme="minorEastAsia" w:hAnsiTheme="minorEastAsia" w:eastAsiaTheme="minorEastAsia" w:cstheme="minorEastAsia"/>
          <w:sz w:val="24"/>
          <w:szCs w:val="24"/>
          <w:lang w:val="en-US" w:eastAsia="zh-CN"/>
        </w:rPr>
        <w:t>充足轮</w:t>
      </w:r>
      <w:r>
        <w:rPr>
          <w:rFonts w:hint="default" w:asciiTheme="minorEastAsia" w:hAnsiTheme="minorEastAsia" w:eastAsiaTheme="minorEastAsia" w:cstheme="minorEastAsia"/>
          <w:sz w:val="24"/>
          <w:szCs w:val="24"/>
          <w:lang w:val="en-US" w:eastAsia="zh-CN"/>
        </w:rPr>
        <w:t>动空间。</w:t>
      </w:r>
    </w:p>
    <w:p w14:paraId="0E6F25C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深交所官方教材《深交所ETF投资问答》明确指出，构建ETF组合时可选取沪深300ETF、中证500ETF等宽基指数作为权益部分，国债ETF作为债券部分，黄金ETF作为商品部分。本项目资产池的构建逻辑与此完全一致，并在此基础上增加消费与芯片作为卫星增强，分散化程度较高，能够有效反映中国基金市场的主流结构。</w:t>
      </w:r>
    </w:p>
    <w:p w14:paraId="539167A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资产池设计</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2"/>
        <w:gridCol w:w="1702"/>
        <w:gridCol w:w="4435"/>
      </w:tblGrid>
      <w:tr w14:paraId="2C03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FD005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资产类别</w:t>
            </w:r>
          </w:p>
        </w:tc>
        <w:tc>
          <w:tcPr>
            <w:tcW w:w="0" w:type="auto"/>
            <w:tcBorders>
              <w:top w:val="single" w:color="000000" w:sz="12" w:space="0"/>
              <w:left w:val="nil"/>
              <w:bottom w:val="single" w:color="000000" w:sz="4" w:space="0"/>
              <w:right w:val="nil"/>
            </w:tcBorders>
            <w:shd w:val="clear" w:color="auto" w:fill="FFFFFF"/>
            <w:vAlign w:val="center"/>
          </w:tcPr>
          <w:p w14:paraId="4D6571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对应ETF</w:t>
            </w:r>
          </w:p>
        </w:tc>
        <w:tc>
          <w:tcPr>
            <w:tcW w:w="4435" w:type="dxa"/>
            <w:tcBorders>
              <w:top w:val="single" w:color="000000" w:sz="12" w:space="0"/>
              <w:left w:val="nil"/>
              <w:bottom w:val="single" w:color="000000" w:sz="4" w:space="0"/>
              <w:right w:val="nil"/>
            </w:tcBorders>
            <w:shd w:val="clear" w:color="auto" w:fill="FFFFFF"/>
            <w:vAlign w:val="center"/>
          </w:tcPr>
          <w:p w14:paraId="7EF9F6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覆盖板块</w:t>
            </w:r>
          </w:p>
        </w:tc>
      </w:tr>
      <w:tr w14:paraId="178DD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77288A6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大盘权益</w:t>
            </w:r>
          </w:p>
        </w:tc>
        <w:tc>
          <w:tcPr>
            <w:tcW w:w="0" w:type="auto"/>
            <w:tcBorders>
              <w:top w:val="single" w:color="000000" w:sz="4" w:space="0"/>
              <w:left w:val="nil"/>
              <w:bottom w:val="nil"/>
              <w:right w:val="nil"/>
            </w:tcBorders>
            <w:shd w:val="clear" w:color="auto" w:fill="FFFFFF"/>
            <w:vAlign w:val="center"/>
          </w:tcPr>
          <w:p w14:paraId="2D56993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沪深300</w:t>
            </w:r>
          </w:p>
        </w:tc>
        <w:tc>
          <w:tcPr>
            <w:tcW w:w="4435" w:type="dxa"/>
            <w:tcBorders>
              <w:top w:val="single" w:color="000000" w:sz="4" w:space="0"/>
              <w:left w:val="nil"/>
              <w:bottom w:val="nil"/>
              <w:right w:val="nil"/>
            </w:tcBorders>
            <w:shd w:val="clear" w:color="auto" w:fill="FFFFFF"/>
            <w:vAlign w:val="center"/>
          </w:tcPr>
          <w:p w14:paraId="42D72F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A股核心蓝筹</w:t>
            </w:r>
          </w:p>
        </w:tc>
      </w:tr>
      <w:tr w14:paraId="15AB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86209A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中小盘权益</w:t>
            </w:r>
          </w:p>
        </w:tc>
        <w:tc>
          <w:tcPr>
            <w:tcW w:w="0" w:type="auto"/>
            <w:tcBorders>
              <w:top w:val="nil"/>
              <w:left w:val="nil"/>
              <w:bottom w:val="nil"/>
              <w:right w:val="nil"/>
            </w:tcBorders>
            <w:shd w:val="clear" w:color="auto" w:fill="FFFFFF"/>
            <w:vAlign w:val="center"/>
          </w:tcPr>
          <w:p w14:paraId="7C4F56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中证500</w:t>
            </w:r>
          </w:p>
        </w:tc>
        <w:tc>
          <w:tcPr>
            <w:tcW w:w="4435" w:type="dxa"/>
            <w:tcBorders>
              <w:top w:val="nil"/>
              <w:left w:val="nil"/>
              <w:bottom w:val="nil"/>
              <w:right w:val="nil"/>
            </w:tcBorders>
            <w:shd w:val="clear" w:color="auto" w:fill="FFFFFF"/>
            <w:vAlign w:val="center"/>
          </w:tcPr>
          <w:p w14:paraId="7EE288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中小盘成长</w:t>
            </w:r>
          </w:p>
        </w:tc>
      </w:tr>
      <w:tr w14:paraId="611B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54DA4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科技创新权益</w:t>
            </w:r>
          </w:p>
        </w:tc>
        <w:tc>
          <w:tcPr>
            <w:tcW w:w="0" w:type="auto"/>
            <w:tcBorders>
              <w:top w:val="nil"/>
              <w:left w:val="nil"/>
              <w:bottom w:val="nil"/>
              <w:right w:val="nil"/>
            </w:tcBorders>
            <w:shd w:val="clear" w:color="auto" w:fill="FFFFFF"/>
            <w:vAlign w:val="center"/>
          </w:tcPr>
          <w:p w14:paraId="75CA29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科创50</w:t>
            </w:r>
          </w:p>
        </w:tc>
        <w:tc>
          <w:tcPr>
            <w:tcW w:w="4435" w:type="dxa"/>
            <w:tcBorders>
              <w:top w:val="nil"/>
              <w:left w:val="nil"/>
              <w:bottom w:val="nil"/>
              <w:right w:val="nil"/>
            </w:tcBorders>
            <w:shd w:val="clear" w:color="auto" w:fill="FFFFFF"/>
            <w:vAlign w:val="center"/>
          </w:tcPr>
          <w:p w14:paraId="24F63D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硬科技（半导体/新能源等）</w:t>
            </w:r>
          </w:p>
        </w:tc>
      </w:tr>
      <w:tr w14:paraId="13D9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6B694B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消费行业</w:t>
            </w:r>
          </w:p>
        </w:tc>
        <w:tc>
          <w:tcPr>
            <w:tcW w:w="0" w:type="auto"/>
            <w:tcBorders>
              <w:top w:val="nil"/>
              <w:left w:val="nil"/>
              <w:bottom w:val="nil"/>
              <w:right w:val="nil"/>
            </w:tcBorders>
            <w:shd w:val="clear" w:color="auto" w:fill="FFFFFF"/>
            <w:vAlign w:val="center"/>
          </w:tcPr>
          <w:p w14:paraId="48E9730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消费ETF</w:t>
            </w:r>
          </w:p>
        </w:tc>
        <w:tc>
          <w:tcPr>
            <w:tcW w:w="4435" w:type="dxa"/>
            <w:tcBorders>
              <w:top w:val="nil"/>
              <w:left w:val="nil"/>
              <w:bottom w:val="nil"/>
              <w:right w:val="nil"/>
            </w:tcBorders>
            <w:shd w:val="clear" w:color="auto" w:fill="FFFFFF"/>
            <w:vAlign w:val="center"/>
          </w:tcPr>
          <w:p w14:paraId="0EBA27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大消费赛道</w:t>
            </w:r>
          </w:p>
        </w:tc>
      </w:tr>
      <w:tr w14:paraId="3208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DA117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科技主题</w:t>
            </w:r>
          </w:p>
        </w:tc>
        <w:tc>
          <w:tcPr>
            <w:tcW w:w="0" w:type="auto"/>
            <w:tcBorders>
              <w:top w:val="nil"/>
              <w:left w:val="nil"/>
              <w:bottom w:val="nil"/>
              <w:right w:val="nil"/>
            </w:tcBorders>
            <w:shd w:val="clear" w:color="auto" w:fill="FFFFFF"/>
            <w:vAlign w:val="center"/>
          </w:tcPr>
          <w:p w14:paraId="2C6784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芯片ETF</w:t>
            </w:r>
          </w:p>
        </w:tc>
        <w:tc>
          <w:tcPr>
            <w:tcW w:w="4435" w:type="dxa"/>
            <w:tcBorders>
              <w:top w:val="nil"/>
              <w:left w:val="nil"/>
              <w:bottom w:val="nil"/>
              <w:right w:val="nil"/>
            </w:tcBorders>
            <w:shd w:val="clear" w:color="auto" w:fill="FFFFFF"/>
            <w:vAlign w:val="center"/>
          </w:tcPr>
          <w:p w14:paraId="118EDEC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半导体全产业链</w:t>
            </w:r>
          </w:p>
        </w:tc>
      </w:tr>
      <w:tr w14:paraId="7ED3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4C36B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商品/避险</w:t>
            </w:r>
          </w:p>
        </w:tc>
        <w:tc>
          <w:tcPr>
            <w:tcW w:w="0" w:type="auto"/>
            <w:tcBorders>
              <w:top w:val="nil"/>
              <w:left w:val="nil"/>
              <w:bottom w:val="nil"/>
              <w:right w:val="nil"/>
            </w:tcBorders>
            <w:shd w:val="clear" w:color="auto" w:fill="FFFFFF"/>
            <w:vAlign w:val="center"/>
          </w:tcPr>
          <w:p w14:paraId="73B2815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黄金ETF</w:t>
            </w:r>
          </w:p>
        </w:tc>
        <w:tc>
          <w:tcPr>
            <w:tcW w:w="4435" w:type="dxa"/>
            <w:tcBorders>
              <w:top w:val="nil"/>
              <w:left w:val="nil"/>
              <w:bottom w:val="nil"/>
              <w:right w:val="nil"/>
            </w:tcBorders>
            <w:shd w:val="clear" w:color="auto" w:fill="FFFFFF"/>
            <w:vAlign w:val="center"/>
          </w:tcPr>
          <w:p w14:paraId="6B2E7D9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大宗商品/通胀对冲</w:t>
            </w:r>
          </w:p>
        </w:tc>
      </w:tr>
      <w:tr w14:paraId="08E0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82" w:type="dxa"/>
            <w:tcBorders>
              <w:top w:val="nil"/>
              <w:left w:val="nil"/>
              <w:bottom w:val="single" w:color="000000" w:sz="12" w:space="0"/>
              <w:right w:val="nil"/>
            </w:tcBorders>
            <w:shd w:val="clear" w:color="auto" w:fill="FFFFFF"/>
            <w:vAlign w:val="center"/>
          </w:tcPr>
          <w:p w14:paraId="7BE518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固收/防御</w:t>
            </w:r>
          </w:p>
        </w:tc>
        <w:tc>
          <w:tcPr>
            <w:tcW w:w="1702" w:type="dxa"/>
            <w:tcBorders>
              <w:top w:val="nil"/>
              <w:left w:val="nil"/>
              <w:bottom w:val="single" w:color="000000" w:sz="12" w:space="0"/>
              <w:right w:val="nil"/>
            </w:tcBorders>
            <w:shd w:val="clear" w:color="auto" w:fill="FFFFFF"/>
            <w:vAlign w:val="center"/>
          </w:tcPr>
          <w:p w14:paraId="5B4A53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国债ETF</w:t>
            </w:r>
          </w:p>
        </w:tc>
        <w:tc>
          <w:tcPr>
            <w:tcW w:w="4435" w:type="dxa"/>
            <w:tcBorders>
              <w:top w:val="nil"/>
              <w:left w:val="nil"/>
              <w:bottom w:val="single" w:color="000000" w:sz="12" w:space="0"/>
              <w:right w:val="nil"/>
            </w:tcBorders>
            <w:shd w:val="clear" w:color="auto" w:fill="FFFFFF"/>
            <w:vAlign w:val="center"/>
          </w:tcPr>
          <w:p w14:paraId="58502F1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利率债/安全资产</w:t>
            </w:r>
          </w:p>
        </w:tc>
      </w:tr>
    </w:tbl>
    <w:p w14:paraId="0E39829A">
      <w:pPr>
        <w:numPr>
          <w:ilvl w:val="0"/>
          <w:numId w:val="5"/>
        </w:numPr>
        <w:ind w:left="0" w:leftChars="0" w:firstLine="420" w:firstLineChars="0"/>
        <w:outlineLvl w:val="0"/>
        <w:rPr>
          <w:rFonts w:hint="default" w:ascii="黑体" w:hAnsi="黑体" w:eastAsia="黑体" w:cs="黑体"/>
          <w:sz w:val="30"/>
          <w:szCs w:val="30"/>
          <w:lang w:val="en-US" w:eastAsia="zh-CN"/>
        </w:rPr>
      </w:pPr>
      <w:bookmarkStart w:id="17" w:name="_Toc5679"/>
      <w:r>
        <w:rPr>
          <w:rFonts w:hint="eastAsia" w:ascii="黑体" w:hAnsi="黑体" w:eastAsia="黑体" w:cs="黑体"/>
          <w:sz w:val="30"/>
          <w:szCs w:val="30"/>
          <w:lang w:val="en-US" w:eastAsia="zh-CN"/>
        </w:rPr>
        <w:t>数据来源与采集</w:t>
      </w:r>
      <w:bookmarkEnd w:id="17"/>
    </w:p>
    <w:p w14:paraId="41C36B6D">
      <w:pPr>
        <w:numPr>
          <w:ilvl w:val="0"/>
          <w:numId w:val="7"/>
        </w:numPr>
        <w:ind w:left="845" w:leftChars="0" w:hanging="425" w:firstLineChars="0"/>
        <w:outlineLvl w:val="1"/>
        <w:rPr>
          <w:rFonts w:hint="default" w:ascii="楷体" w:hAnsi="楷体" w:eastAsia="楷体" w:cs="楷体"/>
          <w:sz w:val="28"/>
          <w:szCs w:val="28"/>
          <w:lang w:val="en-US" w:eastAsia="zh-CN"/>
        </w:rPr>
      </w:pPr>
      <w:bookmarkStart w:id="18" w:name="_Toc13769"/>
      <w:r>
        <w:rPr>
          <w:rFonts w:hint="eastAsia" w:ascii="楷体" w:hAnsi="楷体" w:eastAsia="楷体" w:cs="楷体"/>
          <w:sz w:val="28"/>
          <w:szCs w:val="28"/>
          <w:lang w:val="en-US" w:eastAsia="zh-CN"/>
        </w:rPr>
        <w:t>数据体系总览</w:t>
      </w:r>
      <w:bookmarkEnd w:id="18"/>
    </w:p>
    <w:p w14:paraId="7DF7341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本项目已构建覆盖行情、估值、宏观、情绪四大维度的完整数据体系，时间跨度为2010年1月至2026年6月，所有数据均来源于公开可验证的权威数据源。</w:t>
      </w:r>
    </w:p>
    <w:p w14:paraId="2154164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数据来源</w:t>
      </w:r>
    </w:p>
    <w:tbl>
      <w:tblPr>
        <w:tblStyle w:val="14"/>
        <w:tblW w:w="91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2455"/>
        <w:gridCol w:w="2020"/>
        <w:gridCol w:w="1179"/>
        <w:gridCol w:w="2279"/>
      </w:tblGrid>
      <w:tr w14:paraId="7D3A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9" w:type="dxa"/>
            <w:tcBorders>
              <w:top w:val="single" w:color="000000" w:sz="12" w:space="0"/>
              <w:left w:val="nil"/>
              <w:bottom w:val="single" w:color="000000" w:sz="4" w:space="0"/>
              <w:right w:val="nil"/>
              <w:tl2br w:val="nil"/>
            </w:tcBorders>
            <w:shd w:val="clear" w:color="auto" w:fill="FFFFFF"/>
            <w:vAlign w:val="center"/>
          </w:tcPr>
          <w:p w14:paraId="0676C26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数据类型</w:t>
            </w:r>
          </w:p>
        </w:tc>
        <w:tc>
          <w:tcPr>
            <w:tcW w:w="0" w:type="auto"/>
            <w:tcBorders>
              <w:top w:val="single" w:color="000000" w:sz="12" w:space="0"/>
              <w:left w:val="nil"/>
              <w:bottom w:val="single" w:color="000000" w:sz="4" w:space="0"/>
              <w:right w:val="nil"/>
            </w:tcBorders>
            <w:shd w:val="clear" w:color="auto" w:fill="FFFFFF"/>
            <w:vAlign w:val="center"/>
          </w:tcPr>
          <w:p w14:paraId="3913C17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具体指标</w:t>
            </w:r>
          </w:p>
        </w:tc>
        <w:tc>
          <w:tcPr>
            <w:tcW w:w="0" w:type="auto"/>
            <w:tcBorders>
              <w:top w:val="single" w:color="000000" w:sz="12" w:space="0"/>
              <w:left w:val="nil"/>
              <w:bottom w:val="single" w:color="000000" w:sz="4" w:space="0"/>
              <w:right w:val="nil"/>
            </w:tcBorders>
            <w:shd w:val="clear" w:color="auto" w:fill="FFFFFF"/>
            <w:vAlign w:val="center"/>
          </w:tcPr>
          <w:p w14:paraId="06C9A35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时间范围</w:t>
            </w:r>
          </w:p>
        </w:tc>
        <w:tc>
          <w:tcPr>
            <w:tcW w:w="1179" w:type="dxa"/>
            <w:tcBorders>
              <w:top w:val="single" w:color="000000" w:sz="12" w:space="0"/>
              <w:left w:val="nil"/>
              <w:bottom w:val="single" w:color="000000" w:sz="4" w:space="0"/>
              <w:right w:val="nil"/>
            </w:tcBorders>
            <w:shd w:val="clear" w:color="auto" w:fill="FFFFFF"/>
            <w:vAlign w:val="center"/>
          </w:tcPr>
          <w:p w14:paraId="5AA9D5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数据频率</w:t>
            </w:r>
          </w:p>
        </w:tc>
        <w:tc>
          <w:tcPr>
            <w:tcW w:w="2279" w:type="dxa"/>
            <w:tcBorders>
              <w:top w:val="single" w:color="000000" w:sz="12" w:space="0"/>
              <w:left w:val="nil"/>
              <w:bottom w:val="single" w:color="000000" w:sz="4" w:space="0"/>
              <w:right w:val="nil"/>
            </w:tcBorders>
            <w:shd w:val="clear" w:color="auto" w:fill="FFFFFF"/>
            <w:vAlign w:val="center"/>
          </w:tcPr>
          <w:p w14:paraId="4445459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数据来源</w:t>
            </w:r>
          </w:p>
        </w:tc>
      </w:tr>
      <w:tr w14:paraId="4144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single" w:color="000000" w:sz="4" w:space="0"/>
              <w:left w:val="nil"/>
              <w:bottom w:val="nil"/>
              <w:right w:val="nil"/>
            </w:tcBorders>
            <w:shd w:val="clear" w:color="auto" w:fill="FFFFFF"/>
            <w:vAlign w:val="center"/>
          </w:tcPr>
          <w:p w14:paraId="778CF1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指数行情</w:t>
            </w:r>
          </w:p>
        </w:tc>
        <w:tc>
          <w:tcPr>
            <w:tcW w:w="0" w:type="auto"/>
            <w:tcBorders>
              <w:top w:val="single" w:color="000000" w:sz="4" w:space="0"/>
              <w:left w:val="nil"/>
              <w:bottom w:val="nil"/>
              <w:right w:val="nil"/>
            </w:tcBorders>
            <w:shd w:val="clear" w:color="auto" w:fill="FFFFFF"/>
            <w:vAlign w:val="center"/>
          </w:tcPr>
          <w:p w14:paraId="2172B7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7只跟踪指数日度OHLCV</w:t>
            </w:r>
          </w:p>
        </w:tc>
        <w:tc>
          <w:tcPr>
            <w:tcW w:w="0" w:type="auto"/>
            <w:tcBorders>
              <w:top w:val="single" w:color="000000" w:sz="4" w:space="0"/>
              <w:left w:val="nil"/>
              <w:bottom w:val="nil"/>
              <w:right w:val="nil"/>
            </w:tcBorders>
            <w:shd w:val="clear" w:color="auto" w:fill="FFFFFF"/>
            <w:vAlign w:val="center"/>
          </w:tcPr>
          <w:p w14:paraId="51B2D89C">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c>
          <w:tcPr>
            <w:tcW w:w="1179" w:type="dxa"/>
            <w:tcBorders>
              <w:top w:val="single" w:color="000000" w:sz="4" w:space="0"/>
              <w:left w:val="nil"/>
              <w:bottom w:val="nil"/>
              <w:right w:val="nil"/>
            </w:tcBorders>
            <w:shd w:val="clear" w:color="auto" w:fill="FFFFFF"/>
            <w:vAlign w:val="center"/>
          </w:tcPr>
          <w:p w14:paraId="33E2B3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single" w:color="000000" w:sz="4" w:space="0"/>
              <w:left w:val="nil"/>
              <w:bottom w:val="nil"/>
              <w:right w:val="nil"/>
            </w:tcBorders>
            <w:shd w:val="clear" w:color="auto" w:fill="FFFFFF"/>
            <w:vAlign w:val="center"/>
          </w:tcPr>
          <w:p w14:paraId="68C6CAF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东方财富网 / AKShare</w:t>
            </w:r>
          </w:p>
        </w:tc>
      </w:tr>
      <w:tr w14:paraId="77E2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5EF812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ETF行情</w:t>
            </w:r>
          </w:p>
        </w:tc>
        <w:tc>
          <w:tcPr>
            <w:tcW w:w="0" w:type="auto"/>
            <w:tcBorders>
              <w:top w:val="nil"/>
              <w:left w:val="nil"/>
              <w:bottom w:val="nil"/>
              <w:right w:val="nil"/>
            </w:tcBorders>
            <w:shd w:val="clear" w:color="auto" w:fill="FFFFFF"/>
            <w:vAlign w:val="center"/>
          </w:tcPr>
          <w:p w14:paraId="775C433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7只ETF日度OHLCV+成交量</w:t>
            </w:r>
          </w:p>
        </w:tc>
        <w:tc>
          <w:tcPr>
            <w:tcW w:w="0" w:type="auto"/>
            <w:tcBorders>
              <w:top w:val="nil"/>
              <w:left w:val="nil"/>
              <w:bottom w:val="nil"/>
              <w:right w:val="nil"/>
            </w:tcBorders>
            <w:shd w:val="clear" w:color="auto" w:fill="FFFFFF"/>
            <w:vAlign w:val="center"/>
          </w:tcPr>
          <w:p w14:paraId="6E33B96C">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各ETF上市日至2026-06</w:t>
            </w:r>
          </w:p>
        </w:tc>
        <w:tc>
          <w:tcPr>
            <w:tcW w:w="1179" w:type="dxa"/>
            <w:tcBorders>
              <w:top w:val="nil"/>
              <w:left w:val="nil"/>
              <w:bottom w:val="nil"/>
              <w:right w:val="nil"/>
            </w:tcBorders>
            <w:shd w:val="clear" w:color="auto" w:fill="FFFFFF"/>
            <w:vAlign w:val="center"/>
          </w:tcPr>
          <w:p w14:paraId="23F6C96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nil"/>
              <w:left w:val="nil"/>
              <w:bottom w:val="nil"/>
              <w:right w:val="nil"/>
            </w:tcBorders>
            <w:shd w:val="clear" w:color="auto" w:fill="FFFFFF"/>
            <w:vAlign w:val="center"/>
          </w:tcPr>
          <w:p w14:paraId="23E3F5A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AKShare（新浪接口）</w:t>
            </w:r>
          </w:p>
        </w:tc>
      </w:tr>
      <w:tr w14:paraId="1478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7E1F92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指数估值</w:t>
            </w:r>
          </w:p>
        </w:tc>
        <w:tc>
          <w:tcPr>
            <w:tcW w:w="0" w:type="auto"/>
            <w:tcBorders>
              <w:top w:val="nil"/>
              <w:left w:val="nil"/>
              <w:bottom w:val="nil"/>
              <w:right w:val="nil"/>
            </w:tcBorders>
            <w:shd w:val="clear" w:color="auto" w:fill="FFFFFF"/>
            <w:vAlign w:val="center"/>
          </w:tcPr>
          <w:p w14:paraId="326111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PE/PB/股息率/历史分位数</w:t>
            </w:r>
          </w:p>
        </w:tc>
        <w:tc>
          <w:tcPr>
            <w:tcW w:w="0" w:type="auto"/>
            <w:tcBorders>
              <w:top w:val="nil"/>
              <w:left w:val="nil"/>
              <w:bottom w:val="nil"/>
              <w:right w:val="nil"/>
            </w:tcBorders>
            <w:shd w:val="clear" w:color="auto" w:fill="FFFFFF"/>
            <w:vAlign w:val="center"/>
          </w:tcPr>
          <w:p w14:paraId="2C78A507">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c>
          <w:tcPr>
            <w:tcW w:w="1179" w:type="dxa"/>
            <w:tcBorders>
              <w:top w:val="nil"/>
              <w:left w:val="nil"/>
              <w:bottom w:val="nil"/>
              <w:right w:val="nil"/>
            </w:tcBorders>
            <w:shd w:val="clear" w:color="auto" w:fill="FFFFFF"/>
            <w:vAlign w:val="center"/>
          </w:tcPr>
          <w:p w14:paraId="49B75E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nil"/>
              <w:left w:val="nil"/>
              <w:bottom w:val="nil"/>
              <w:right w:val="nil"/>
            </w:tcBorders>
            <w:shd w:val="clear" w:color="auto" w:fill="FFFFFF"/>
            <w:vAlign w:val="center"/>
          </w:tcPr>
          <w:p w14:paraId="682E77F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理杏仁 / 中证指数官网</w:t>
            </w:r>
          </w:p>
        </w:tc>
      </w:tr>
      <w:tr w14:paraId="610A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1C8DB45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宏观数据</w:t>
            </w:r>
          </w:p>
        </w:tc>
        <w:tc>
          <w:tcPr>
            <w:tcW w:w="0" w:type="auto"/>
            <w:tcBorders>
              <w:top w:val="nil"/>
              <w:left w:val="nil"/>
              <w:bottom w:val="nil"/>
              <w:right w:val="nil"/>
            </w:tcBorders>
            <w:shd w:val="clear" w:color="auto" w:fill="FFFFFF"/>
            <w:vAlign w:val="center"/>
          </w:tcPr>
          <w:p w14:paraId="028D86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PMI/CPI/社融/M1-M2/国债利差</w:t>
            </w:r>
          </w:p>
        </w:tc>
        <w:tc>
          <w:tcPr>
            <w:tcW w:w="0" w:type="auto"/>
            <w:tcBorders>
              <w:top w:val="nil"/>
              <w:left w:val="nil"/>
              <w:bottom w:val="nil"/>
              <w:right w:val="nil"/>
            </w:tcBorders>
            <w:shd w:val="clear" w:color="auto" w:fill="FFFFFF"/>
            <w:vAlign w:val="center"/>
          </w:tcPr>
          <w:p w14:paraId="65FF6A0B">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c>
          <w:tcPr>
            <w:tcW w:w="1179" w:type="dxa"/>
            <w:tcBorders>
              <w:top w:val="nil"/>
              <w:left w:val="nil"/>
              <w:bottom w:val="nil"/>
              <w:right w:val="nil"/>
            </w:tcBorders>
            <w:shd w:val="clear" w:color="auto" w:fill="FFFFFF"/>
            <w:vAlign w:val="center"/>
          </w:tcPr>
          <w:p w14:paraId="61C724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月频</w:t>
            </w:r>
          </w:p>
        </w:tc>
        <w:tc>
          <w:tcPr>
            <w:tcW w:w="2279" w:type="dxa"/>
            <w:tcBorders>
              <w:top w:val="nil"/>
              <w:left w:val="nil"/>
              <w:bottom w:val="nil"/>
              <w:right w:val="nil"/>
            </w:tcBorders>
            <w:shd w:val="clear" w:color="auto" w:fill="FFFFFF"/>
            <w:vAlign w:val="center"/>
          </w:tcPr>
          <w:p w14:paraId="6AA84B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国家统计局 / 中国人民银行</w:t>
            </w:r>
          </w:p>
        </w:tc>
      </w:tr>
      <w:tr w14:paraId="733A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single" w:color="000000" w:sz="12" w:space="0"/>
              <w:right w:val="nil"/>
            </w:tcBorders>
            <w:shd w:val="clear" w:color="auto" w:fill="FFFFFF"/>
            <w:vAlign w:val="center"/>
          </w:tcPr>
          <w:p w14:paraId="7547D9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情绪数据</w:t>
            </w:r>
          </w:p>
        </w:tc>
        <w:tc>
          <w:tcPr>
            <w:tcW w:w="2455" w:type="dxa"/>
            <w:tcBorders>
              <w:top w:val="nil"/>
              <w:left w:val="nil"/>
              <w:bottom w:val="single" w:color="000000" w:sz="12" w:space="0"/>
              <w:right w:val="nil"/>
            </w:tcBorders>
            <w:shd w:val="clear" w:color="auto" w:fill="FFFFFF"/>
            <w:vAlign w:val="center"/>
          </w:tcPr>
          <w:p w14:paraId="2AED5D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两融余额/北向资金/波动率</w:t>
            </w:r>
          </w:p>
        </w:tc>
        <w:tc>
          <w:tcPr>
            <w:tcW w:w="2020" w:type="dxa"/>
            <w:tcBorders>
              <w:top w:val="nil"/>
              <w:left w:val="nil"/>
              <w:bottom w:val="single" w:color="000000" w:sz="12" w:space="0"/>
              <w:right w:val="nil"/>
            </w:tcBorders>
            <w:shd w:val="clear" w:color="auto" w:fill="FFFFFF"/>
            <w:vAlign w:val="center"/>
          </w:tcPr>
          <w:p w14:paraId="3BA527D0">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2015-01至2026-06</w:t>
            </w:r>
          </w:p>
        </w:tc>
        <w:tc>
          <w:tcPr>
            <w:tcW w:w="1179" w:type="dxa"/>
            <w:tcBorders>
              <w:top w:val="nil"/>
              <w:left w:val="nil"/>
              <w:bottom w:val="single" w:color="000000" w:sz="12" w:space="0"/>
              <w:right w:val="nil"/>
            </w:tcBorders>
            <w:shd w:val="clear" w:color="auto" w:fill="FFFFFF"/>
            <w:vAlign w:val="center"/>
          </w:tcPr>
          <w:p w14:paraId="7105F7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nil"/>
              <w:left w:val="nil"/>
              <w:bottom w:val="single" w:color="000000" w:sz="12" w:space="0"/>
              <w:right w:val="nil"/>
            </w:tcBorders>
            <w:shd w:val="clear" w:color="auto" w:fill="FFFFFF"/>
            <w:vAlign w:val="center"/>
          </w:tcPr>
          <w:p w14:paraId="33242F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东方财富 / AKShare</w:t>
            </w:r>
          </w:p>
        </w:tc>
      </w:tr>
    </w:tbl>
    <w:p w14:paraId="4500C01F">
      <w:pPr>
        <w:numPr>
          <w:ilvl w:val="0"/>
          <w:numId w:val="7"/>
        </w:numPr>
        <w:ind w:left="845" w:leftChars="0" w:hanging="425" w:firstLineChars="0"/>
        <w:outlineLvl w:val="1"/>
        <w:rPr>
          <w:rFonts w:hint="default" w:ascii="楷体" w:hAnsi="楷体" w:eastAsia="楷体" w:cs="楷体"/>
          <w:sz w:val="28"/>
          <w:szCs w:val="28"/>
          <w:lang w:val="en-US" w:eastAsia="zh-CN"/>
        </w:rPr>
      </w:pPr>
      <w:bookmarkStart w:id="19" w:name="_Toc2998"/>
      <w:r>
        <w:rPr>
          <w:rFonts w:hint="eastAsia" w:ascii="楷体" w:hAnsi="楷体" w:eastAsia="楷体" w:cs="楷体"/>
          <w:sz w:val="28"/>
          <w:szCs w:val="28"/>
          <w:lang w:val="en-US" w:eastAsia="zh-CN"/>
        </w:rPr>
        <w:t>数据采集说明</w:t>
      </w:r>
      <w:bookmarkEnd w:id="19"/>
    </w:p>
    <w:p w14:paraId="1EBCDE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理杏仁平台提供指数及行业的PE-TTM、PB、PS-TTM、股息率等核心估值指标，</w:t>
      </w:r>
      <w:r>
        <w:rPr>
          <w:rFonts w:hint="eastAsia" w:asciiTheme="minorEastAsia" w:hAnsiTheme="minorEastAsia" w:eastAsiaTheme="minorEastAsia" w:cstheme="minorEastAsia"/>
          <w:sz w:val="24"/>
          <w:szCs w:val="24"/>
          <w:lang w:val="en-US" w:eastAsia="zh-CN"/>
        </w:rPr>
        <w:t>各类</w:t>
      </w:r>
      <w:r>
        <w:rPr>
          <w:rFonts w:hint="default" w:asciiTheme="minorEastAsia" w:hAnsiTheme="minorEastAsia" w:eastAsiaTheme="minorEastAsia" w:cstheme="minorEastAsia"/>
          <w:sz w:val="24"/>
          <w:szCs w:val="24"/>
          <w:lang w:val="en-US" w:eastAsia="zh-CN"/>
        </w:rPr>
        <w:t>估值</w:t>
      </w:r>
      <w:r>
        <w:rPr>
          <w:rFonts w:hint="eastAsia" w:asciiTheme="minorEastAsia" w:hAnsiTheme="minorEastAsia" w:eastAsiaTheme="minorEastAsia" w:cstheme="minorEastAsia"/>
          <w:sz w:val="24"/>
          <w:szCs w:val="24"/>
          <w:lang w:val="en-US" w:eastAsia="zh-CN"/>
        </w:rPr>
        <w:t>指标</w:t>
      </w:r>
      <w:r>
        <w:rPr>
          <w:rFonts w:hint="default" w:asciiTheme="minorEastAsia" w:hAnsiTheme="minorEastAsia" w:eastAsiaTheme="minorEastAsia" w:cstheme="minorEastAsia"/>
          <w:sz w:val="24"/>
          <w:szCs w:val="24"/>
          <w:lang w:val="en-US" w:eastAsia="zh-CN"/>
        </w:rPr>
        <w:t>包含市值加权、等权、正数等权、平均值、中位数五种</w:t>
      </w:r>
      <w:r>
        <w:rPr>
          <w:rFonts w:hint="eastAsia" w:asciiTheme="minorEastAsia" w:hAnsiTheme="minorEastAsia" w:eastAsiaTheme="minorEastAsia" w:cstheme="minorEastAsia"/>
          <w:sz w:val="24"/>
          <w:szCs w:val="24"/>
          <w:lang w:val="en-US" w:eastAsia="zh-CN"/>
        </w:rPr>
        <w:t>统计</w:t>
      </w:r>
      <w:r>
        <w:rPr>
          <w:rFonts w:hint="default" w:asciiTheme="minorEastAsia" w:hAnsiTheme="minorEastAsia" w:eastAsiaTheme="minorEastAsia" w:cstheme="minorEastAsia"/>
          <w:sz w:val="24"/>
          <w:szCs w:val="24"/>
          <w:lang w:val="en-US" w:eastAsia="zh-CN"/>
        </w:rPr>
        <w:t>口径。本项目统一采用市值加权口径，以匹配指数本身的加权方式。</w:t>
      </w:r>
      <w:r>
        <w:rPr>
          <w:rFonts w:hint="eastAsia" w:asciiTheme="minorEastAsia" w:hAnsiTheme="minorEastAsia" w:eastAsiaTheme="minorEastAsia" w:cstheme="minorEastAsia"/>
          <w:sz w:val="24"/>
          <w:szCs w:val="24"/>
          <w:lang w:val="en-US" w:eastAsia="zh-CN"/>
        </w:rPr>
        <w:t>理杏仁平台与Wind等主流数据终端的核心估值指标差异率普遍低于2%，数据质量可靠。</w:t>
      </w:r>
    </w:p>
    <w:p w14:paraId="0F7D3AC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各指数估值覆盖情况：</w:t>
      </w:r>
    </w:p>
    <w:p w14:paraId="17D7FB34">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指数覆盖情况</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11"/>
        <w:gridCol w:w="1721"/>
        <w:gridCol w:w="676"/>
        <w:gridCol w:w="691"/>
        <w:gridCol w:w="1086"/>
        <w:gridCol w:w="1297"/>
        <w:gridCol w:w="2081"/>
      </w:tblGrid>
      <w:tr w14:paraId="28076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0E93A7D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ETF</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CB8F5B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跟踪指数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B231C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PE</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7308DB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PB</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AD5284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股息率</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EE062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历史分位</w:t>
            </w:r>
          </w:p>
        </w:tc>
        <w:tc>
          <w:tcPr>
            <w:tcW w:w="2081"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7F8BAD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数据起止</w:t>
            </w:r>
          </w:p>
        </w:tc>
      </w:tr>
      <w:tr w14:paraId="12622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2B3F964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510300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644425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沪深300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5DD623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385C8D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C2C726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774E2BE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tcBorders>
              <w:top w:val="single" w:color="000000" w:sz="4" w:space="0"/>
            </w:tcBorders>
            <w:shd w:val="clear" w:color="auto" w:fill="FFFFFF"/>
            <w:tcMar>
              <w:top w:w="100" w:type="dxa"/>
              <w:left w:w="160" w:type="dxa"/>
              <w:bottom w:w="100" w:type="dxa"/>
              <w:right w:w="0" w:type="dxa"/>
            </w:tcMar>
            <w:vAlign w:val="center"/>
          </w:tcPr>
          <w:p w14:paraId="3F76D52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r>
      <w:tr w14:paraId="21F57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78B383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510500</w:t>
            </w:r>
          </w:p>
        </w:tc>
        <w:tc>
          <w:tcPr>
            <w:tcW w:w="0" w:type="auto"/>
            <w:shd w:val="clear" w:color="auto" w:fill="FFFFFF"/>
            <w:tcMar>
              <w:top w:w="100" w:type="dxa"/>
              <w:left w:w="160" w:type="dxa"/>
              <w:bottom w:w="100" w:type="dxa"/>
              <w:right w:w="160" w:type="dxa"/>
            </w:tcMar>
            <w:vAlign w:val="center"/>
          </w:tcPr>
          <w:p w14:paraId="669A1C3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中证500</w:t>
            </w:r>
          </w:p>
        </w:tc>
        <w:tc>
          <w:tcPr>
            <w:tcW w:w="0" w:type="auto"/>
            <w:shd w:val="clear" w:color="auto" w:fill="FFFFFF"/>
            <w:tcMar>
              <w:top w:w="100" w:type="dxa"/>
              <w:left w:w="160" w:type="dxa"/>
              <w:bottom w:w="100" w:type="dxa"/>
              <w:right w:w="160" w:type="dxa"/>
            </w:tcMar>
            <w:vAlign w:val="center"/>
          </w:tcPr>
          <w:p w14:paraId="4469EFA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5799A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4198F21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003BB30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4A7C1EB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r>
      <w:tr w14:paraId="1A586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1B88472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588000</w:t>
            </w:r>
          </w:p>
        </w:tc>
        <w:tc>
          <w:tcPr>
            <w:tcW w:w="0" w:type="auto"/>
            <w:shd w:val="clear" w:color="auto" w:fill="FFFFFF"/>
            <w:tcMar>
              <w:top w:w="100" w:type="dxa"/>
              <w:left w:w="160" w:type="dxa"/>
              <w:bottom w:w="100" w:type="dxa"/>
              <w:right w:w="160" w:type="dxa"/>
            </w:tcMar>
            <w:vAlign w:val="center"/>
          </w:tcPr>
          <w:p w14:paraId="294EB8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科创50</w:t>
            </w:r>
          </w:p>
        </w:tc>
        <w:tc>
          <w:tcPr>
            <w:tcW w:w="0" w:type="auto"/>
            <w:shd w:val="clear" w:color="auto" w:fill="FFFFFF"/>
            <w:tcMar>
              <w:top w:w="100" w:type="dxa"/>
              <w:left w:w="160" w:type="dxa"/>
              <w:bottom w:w="100" w:type="dxa"/>
              <w:right w:w="160" w:type="dxa"/>
            </w:tcMar>
            <w:vAlign w:val="center"/>
          </w:tcPr>
          <w:p w14:paraId="60BD3A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301DF9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F6386C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F3E98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496D06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2020-07至2026-06</w:t>
            </w:r>
          </w:p>
        </w:tc>
      </w:tr>
      <w:tr w14:paraId="26E03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67FF453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159928</w:t>
            </w:r>
          </w:p>
        </w:tc>
        <w:tc>
          <w:tcPr>
            <w:tcW w:w="0" w:type="auto"/>
            <w:shd w:val="clear" w:color="auto" w:fill="FFFFFF"/>
            <w:tcMar>
              <w:top w:w="100" w:type="dxa"/>
              <w:left w:w="160" w:type="dxa"/>
              <w:bottom w:w="100" w:type="dxa"/>
              <w:right w:w="160" w:type="dxa"/>
            </w:tcMar>
            <w:vAlign w:val="center"/>
          </w:tcPr>
          <w:p w14:paraId="531D360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中证主要消费</w:t>
            </w:r>
          </w:p>
        </w:tc>
        <w:tc>
          <w:tcPr>
            <w:tcW w:w="0" w:type="auto"/>
            <w:shd w:val="clear" w:color="auto" w:fill="FFFFFF"/>
            <w:tcMar>
              <w:top w:w="100" w:type="dxa"/>
              <w:left w:w="160" w:type="dxa"/>
              <w:bottom w:w="100" w:type="dxa"/>
              <w:right w:w="160" w:type="dxa"/>
            </w:tcMar>
            <w:vAlign w:val="center"/>
          </w:tcPr>
          <w:p w14:paraId="2FE4C32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A578B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6EF3B8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46407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0051B6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2013-09至2026-06</w:t>
            </w:r>
          </w:p>
        </w:tc>
      </w:tr>
      <w:tr w14:paraId="299F5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0BF7B84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159995</w:t>
            </w:r>
          </w:p>
        </w:tc>
        <w:tc>
          <w:tcPr>
            <w:tcW w:w="0" w:type="auto"/>
            <w:shd w:val="clear" w:color="auto" w:fill="FFFFFF"/>
            <w:tcMar>
              <w:top w:w="100" w:type="dxa"/>
              <w:left w:w="160" w:type="dxa"/>
              <w:bottom w:w="100" w:type="dxa"/>
              <w:right w:w="160" w:type="dxa"/>
            </w:tcMar>
            <w:vAlign w:val="center"/>
          </w:tcPr>
          <w:p w14:paraId="3ED1CE6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国证芯片</w:t>
            </w:r>
          </w:p>
        </w:tc>
        <w:tc>
          <w:tcPr>
            <w:tcW w:w="0" w:type="auto"/>
            <w:shd w:val="clear" w:color="auto" w:fill="FFFFFF"/>
            <w:tcMar>
              <w:top w:w="100" w:type="dxa"/>
              <w:left w:w="160" w:type="dxa"/>
              <w:bottom w:w="100" w:type="dxa"/>
              <w:right w:w="160" w:type="dxa"/>
            </w:tcMar>
            <w:vAlign w:val="center"/>
          </w:tcPr>
          <w:p w14:paraId="43187B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02EFA3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7954F3A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603D05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0C871F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2019-08至2026-06</w:t>
            </w:r>
          </w:p>
        </w:tc>
      </w:tr>
      <w:tr w14:paraId="0FFDF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4874B6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518880</w:t>
            </w:r>
          </w:p>
        </w:tc>
        <w:tc>
          <w:tcPr>
            <w:tcW w:w="0" w:type="auto"/>
            <w:shd w:val="clear" w:color="auto" w:fill="FFFFFF"/>
            <w:tcMar>
              <w:top w:w="100" w:type="dxa"/>
              <w:left w:w="160" w:type="dxa"/>
              <w:bottom w:w="100" w:type="dxa"/>
              <w:right w:w="160" w:type="dxa"/>
            </w:tcMar>
            <w:vAlign w:val="center"/>
          </w:tcPr>
          <w:p w14:paraId="08BF82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Au99.99</w:t>
            </w:r>
          </w:p>
        </w:tc>
        <w:tc>
          <w:tcPr>
            <w:tcW w:w="0" w:type="auto"/>
            <w:shd w:val="clear" w:color="auto" w:fill="FFFFFF"/>
            <w:tcMar>
              <w:top w:w="100" w:type="dxa"/>
              <w:left w:w="160" w:type="dxa"/>
              <w:bottom w:w="100" w:type="dxa"/>
              <w:right w:w="160" w:type="dxa"/>
            </w:tcMar>
            <w:vAlign w:val="center"/>
          </w:tcPr>
          <w:p w14:paraId="74CBE7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7B8BF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6206A9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C8664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485343F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不适用（商品类）</w:t>
            </w:r>
          </w:p>
        </w:tc>
      </w:tr>
      <w:tr w14:paraId="20B0E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11" w:type="dxa"/>
            <w:tcBorders>
              <w:bottom w:val="single" w:color="000000" w:sz="12" w:space="0"/>
            </w:tcBorders>
            <w:shd w:val="clear" w:color="auto" w:fill="FFFFFF"/>
            <w:tcMar>
              <w:top w:w="100" w:type="dxa"/>
              <w:left w:w="0" w:type="dxa"/>
              <w:bottom w:w="100" w:type="dxa"/>
              <w:right w:w="160" w:type="dxa"/>
            </w:tcMar>
            <w:vAlign w:val="center"/>
          </w:tcPr>
          <w:p w14:paraId="549706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511260</w:t>
            </w:r>
          </w:p>
        </w:tc>
        <w:tc>
          <w:tcPr>
            <w:tcW w:w="1721" w:type="dxa"/>
            <w:tcBorders>
              <w:bottom w:val="single" w:color="000000" w:sz="12" w:space="0"/>
            </w:tcBorders>
            <w:shd w:val="clear" w:color="auto" w:fill="FFFFFF"/>
            <w:tcMar>
              <w:top w:w="100" w:type="dxa"/>
              <w:left w:w="160" w:type="dxa"/>
              <w:bottom w:w="100" w:type="dxa"/>
              <w:right w:w="160" w:type="dxa"/>
            </w:tcMar>
            <w:vAlign w:val="center"/>
          </w:tcPr>
          <w:p w14:paraId="34CB163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H11077</w:t>
            </w:r>
          </w:p>
        </w:tc>
        <w:tc>
          <w:tcPr>
            <w:tcW w:w="676" w:type="dxa"/>
            <w:tcBorders>
              <w:bottom w:val="single" w:color="000000" w:sz="12" w:space="0"/>
            </w:tcBorders>
            <w:shd w:val="clear" w:color="auto" w:fill="FFFFFF"/>
            <w:tcMar>
              <w:top w:w="100" w:type="dxa"/>
              <w:left w:w="160" w:type="dxa"/>
              <w:bottom w:w="100" w:type="dxa"/>
              <w:right w:w="160" w:type="dxa"/>
            </w:tcMar>
            <w:vAlign w:val="center"/>
          </w:tcPr>
          <w:p w14:paraId="5C05AE7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691" w:type="dxa"/>
            <w:tcBorders>
              <w:bottom w:val="single" w:color="000000" w:sz="12" w:space="0"/>
            </w:tcBorders>
            <w:shd w:val="clear" w:color="auto" w:fill="FFFFFF"/>
            <w:tcMar>
              <w:top w:w="100" w:type="dxa"/>
              <w:left w:w="160" w:type="dxa"/>
              <w:bottom w:w="100" w:type="dxa"/>
              <w:right w:w="160" w:type="dxa"/>
            </w:tcMar>
            <w:vAlign w:val="center"/>
          </w:tcPr>
          <w:p w14:paraId="58B766D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1086" w:type="dxa"/>
            <w:tcBorders>
              <w:bottom w:val="single" w:color="000000" w:sz="12" w:space="0"/>
            </w:tcBorders>
            <w:shd w:val="clear" w:color="auto" w:fill="FFFFFF"/>
            <w:tcMar>
              <w:top w:w="100" w:type="dxa"/>
              <w:left w:w="160" w:type="dxa"/>
              <w:bottom w:w="100" w:type="dxa"/>
              <w:right w:w="160" w:type="dxa"/>
            </w:tcMar>
            <w:vAlign w:val="center"/>
          </w:tcPr>
          <w:p w14:paraId="65DC081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1297" w:type="dxa"/>
            <w:tcBorders>
              <w:bottom w:val="single" w:color="000000" w:sz="12" w:space="0"/>
            </w:tcBorders>
            <w:shd w:val="clear" w:color="auto" w:fill="FFFFFF"/>
            <w:tcMar>
              <w:top w:w="100" w:type="dxa"/>
              <w:left w:w="160" w:type="dxa"/>
              <w:bottom w:w="100" w:type="dxa"/>
              <w:right w:w="160" w:type="dxa"/>
            </w:tcMar>
            <w:vAlign w:val="center"/>
          </w:tcPr>
          <w:p w14:paraId="523CBC7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2081" w:type="dxa"/>
            <w:tcBorders>
              <w:bottom w:val="single" w:color="000000" w:sz="12" w:space="0"/>
            </w:tcBorders>
            <w:shd w:val="clear" w:color="auto" w:fill="FFFFFF"/>
            <w:tcMar>
              <w:top w:w="100" w:type="dxa"/>
              <w:left w:w="160" w:type="dxa"/>
              <w:bottom w:w="100" w:type="dxa"/>
              <w:right w:w="0" w:type="dxa"/>
            </w:tcMar>
            <w:vAlign w:val="center"/>
          </w:tcPr>
          <w:p w14:paraId="4004D72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不适用（债券类）</w:t>
            </w:r>
          </w:p>
        </w:tc>
      </w:tr>
    </w:tbl>
    <w:p w14:paraId="1F2BDE5B">
      <w:pPr>
        <w:numPr>
          <w:ilvl w:val="0"/>
          <w:numId w:val="7"/>
        </w:numPr>
        <w:ind w:left="845" w:leftChars="0" w:hanging="425" w:firstLineChars="0"/>
        <w:outlineLvl w:val="1"/>
        <w:rPr>
          <w:rFonts w:hint="default" w:ascii="楷体" w:hAnsi="楷体" w:eastAsia="楷体" w:cs="楷体"/>
          <w:sz w:val="28"/>
          <w:szCs w:val="28"/>
          <w:lang w:val="en-US" w:eastAsia="zh-CN"/>
        </w:rPr>
      </w:pPr>
      <w:bookmarkStart w:id="20" w:name="_Toc14768"/>
      <w:r>
        <w:rPr>
          <w:rFonts w:hint="eastAsia" w:ascii="楷体" w:hAnsi="楷体" w:eastAsia="楷体" w:cs="楷体"/>
          <w:sz w:val="28"/>
          <w:szCs w:val="28"/>
          <w:lang w:val="en-US" w:eastAsia="zh-CN"/>
        </w:rPr>
        <w:t>宏观数据发布规则</w:t>
      </w:r>
      <w:bookmarkEnd w:id="20"/>
    </w:p>
    <w:p w14:paraId="5647A47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宏观数据的发布时间滞后性是回测中需要重点处理的问题。各指标的具体发布规则如下：</w:t>
      </w:r>
    </w:p>
    <w:p w14:paraId="05432499">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宏观数据发布规则</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27"/>
        <w:gridCol w:w="2076"/>
        <w:gridCol w:w="2778"/>
        <w:gridCol w:w="2082"/>
      </w:tblGrid>
      <w:tr w14:paraId="49087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DEC22D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指标</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2875E8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发布机构</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5FBAE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发布规则</w:t>
            </w:r>
          </w:p>
        </w:tc>
        <w:tc>
          <w:tcPr>
            <w:tcW w:w="2082"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6E3E1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回测中可用时间</w:t>
            </w:r>
          </w:p>
        </w:tc>
      </w:tr>
      <w:tr w14:paraId="517CE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14897FE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PMI</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3C929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国家统计局</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BBB08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当月最后一天上午9:30</w:t>
            </w:r>
          </w:p>
        </w:tc>
        <w:tc>
          <w:tcPr>
            <w:tcW w:w="2082" w:type="dxa"/>
            <w:tcBorders>
              <w:top w:val="single" w:color="000000" w:sz="4" w:space="0"/>
            </w:tcBorders>
            <w:shd w:val="clear" w:color="auto" w:fill="FFFFFF"/>
            <w:tcMar>
              <w:top w:w="100" w:type="dxa"/>
              <w:left w:w="160" w:type="dxa"/>
              <w:bottom w:w="100" w:type="dxa"/>
              <w:right w:w="0" w:type="dxa"/>
            </w:tcMar>
            <w:vAlign w:val="center"/>
          </w:tcPr>
          <w:p w14:paraId="2ECCE6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当月最后一天</w:t>
            </w:r>
          </w:p>
        </w:tc>
      </w:tr>
      <w:tr w14:paraId="44E56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CDBCF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CPI</w:t>
            </w:r>
          </w:p>
        </w:tc>
        <w:tc>
          <w:tcPr>
            <w:tcW w:w="0" w:type="auto"/>
            <w:shd w:val="clear" w:color="auto" w:fill="FFFFFF"/>
            <w:tcMar>
              <w:top w:w="100" w:type="dxa"/>
              <w:left w:w="160" w:type="dxa"/>
              <w:bottom w:w="100" w:type="dxa"/>
              <w:right w:w="160" w:type="dxa"/>
            </w:tcMar>
            <w:vAlign w:val="center"/>
          </w:tcPr>
          <w:p w14:paraId="180BABE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国家统计局</w:t>
            </w:r>
          </w:p>
        </w:tc>
        <w:tc>
          <w:tcPr>
            <w:tcW w:w="0" w:type="auto"/>
            <w:shd w:val="clear" w:color="auto" w:fill="FFFFFF"/>
            <w:tcMar>
              <w:top w:w="100" w:type="dxa"/>
              <w:left w:w="160" w:type="dxa"/>
              <w:bottom w:w="100" w:type="dxa"/>
              <w:right w:w="160" w:type="dxa"/>
            </w:tcMar>
            <w:vAlign w:val="center"/>
          </w:tcPr>
          <w:p w14:paraId="481A13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次月9日上午9:30</w:t>
            </w:r>
          </w:p>
        </w:tc>
        <w:tc>
          <w:tcPr>
            <w:tcW w:w="2082" w:type="dxa"/>
            <w:shd w:val="clear" w:color="auto" w:fill="FFFFFF"/>
            <w:tcMar>
              <w:top w:w="100" w:type="dxa"/>
              <w:left w:w="160" w:type="dxa"/>
              <w:bottom w:w="100" w:type="dxa"/>
              <w:right w:w="0" w:type="dxa"/>
            </w:tcMar>
            <w:vAlign w:val="center"/>
          </w:tcPr>
          <w:p w14:paraId="2E2909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次月9日</w:t>
            </w:r>
          </w:p>
        </w:tc>
      </w:tr>
      <w:tr w14:paraId="07893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2EA2E9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社融/M1/M2</w:t>
            </w:r>
          </w:p>
        </w:tc>
        <w:tc>
          <w:tcPr>
            <w:tcW w:w="0" w:type="auto"/>
            <w:shd w:val="clear" w:color="auto" w:fill="FFFFFF"/>
            <w:tcMar>
              <w:top w:w="100" w:type="dxa"/>
              <w:left w:w="160" w:type="dxa"/>
              <w:bottom w:w="100" w:type="dxa"/>
              <w:right w:w="160" w:type="dxa"/>
            </w:tcMar>
            <w:vAlign w:val="center"/>
          </w:tcPr>
          <w:p w14:paraId="7B9C5B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中国人民银行</w:t>
            </w:r>
          </w:p>
        </w:tc>
        <w:tc>
          <w:tcPr>
            <w:tcW w:w="0" w:type="auto"/>
            <w:shd w:val="clear" w:color="auto" w:fill="FFFFFF"/>
            <w:tcMar>
              <w:top w:w="100" w:type="dxa"/>
              <w:left w:w="160" w:type="dxa"/>
              <w:bottom w:w="100" w:type="dxa"/>
              <w:right w:w="160" w:type="dxa"/>
            </w:tcMar>
            <w:vAlign w:val="center"/>
          </w:tcPr>
          <w:p w14:paraId="0E307A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次月10-15日</w:t>
            </w:r>
          </w:p>
        </w:tc>
        <w:tc>
          <w:tcPr>
            <w:tcW w:w="2082" w:type="dxa"/>
            <w:shd w:val="clear" w:color="auto" w:fill="FFFFFF"/>
            <w:tcMar>
              <w:top w:w="100" w:type="dxa"/>
              <w:left w:w="160" w:type="dxa"/>
              <w:bottom w:w="100" w:type="dxa"/>
              <w:right w:w="0" w:type="dxa"/>
            </w:tcMar>
            <w:vAlign w:val="center"/>
          </w:tcPr>
          <w:p w14:paraId="69049C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次月15日</w:t>
            </w:r>
          </w:p>
        </w:tc>
      </w:tr>
      <w:tr w14:paraId="5B51F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27" w:type="dxa"/>
            <w:tcBorders>
              <w:bottom w:val="single" w:color="000000" w:sz="12" w:space="0"/>
            </w:tcBorders>
            <w:shd w:val="clear" w:color="auto" w:fill="FFFFFF"/>
            <w:tcMar>
              <w:top w:w="100" w:type="dxa"/>
              <w:left w:w="0" w:type="dxa"/>
              <w:bottom w:w="100" w:type="dxa"/>
              <w:right w:w="160" w:type="dxa"/>
            </w:tcMar>
            <w:vAlign w:val="center"/>
          </w:tcPr>
          <w:p w14:paraId="63044B6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国债收益率</w:t>
            </w:r>
          </w:p>
        </w:tc>
        <w:tc>
          <w:tcPr>
            <w:tcW w:w="2076" w:type="dxa"/>
            <w:tcBorders>
              <w:bottom w:val="single" w:color="000000" w:sz="12" w:space="0"/>
            </w:tcBorders>
            <w:shd w:val="clear" w:color="auto" w:fill="FFFFFF"/>
            <w:tcMar>
              <w:top w:w="100" w:type="dxa"/>
              <w:left w:w="160" w:type="dxa"/>
              <w:bottom w:w="100" w:type="dxa"/>
              <w:right w:w="160" w:type="dxa"/>
            </w:tcMar>
            <w:vAlign w:val="center"/>
          </w:tcPr>
          <w:p w14:paraId="61B6B1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中国债券信息网</w:t>
            </w:r>
          </w:p>
        </w:tc>
        <w:tc>
          <w:tcPr>
            <w:tcW w:w="2778" w:type="dxa"/>
            <w:tcBorders>
              <w:bottom w:val="single" w:color="000000" w:sz="12" w:space="0"/>
            </w:tcBorders>
            <w:shd w:val="clear" w:color="auto" w:fill="FFFFFF"/>
            <w:tcMar>
              <w:top w:w="100" w:type="dxa"/>
              <w:left w:w="160" w:type="dxa"/>
              <w:bottom w:w="100" w:type="dxa"/>
              <w:right w:w="160" w:type="dxa"/>
            </w:tcMar>
            <w:vAlign w:val="center"/>
          </w:tcPr>
          <w:p w14:paraId="3E1670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每个工作日17:30</w:t>
            </w:r>
          </w:p>
        </w:tc>
        <w:tc>
          <w:tcPr>
            <w:tcW w:w="2082" w:type="dxa"/>
            <w:tcBorders>
              <w:bottom w:val="single" w:color="000000" w:sz="12" w:space="0"/>
            </w:tcBorders>
            <w:shd w:val="clear" w:color="auto" w:fill="FFFFFF"/>
            <w:tcMar>
              <w:top w:w="100" w:type="dxa"/>
              <w:left w:w="160" w:type="dxa"/>
              <w:bottom w:w="100" w:type="dxa"/>
              <w:right w:w="0" w:type="dxa"/>
            </w:tcMar>
            <w:vAlign w:val="center"/>
          </w:tcPr>
          <w:p w14:paraId="4E5D9FA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次日</w:t>
            </w:r>
          </w:p>
        </w:tc>
      </w:tr>
    </w:tbl>
    <w:p w14:paraId="1E98E73A">
      <w:pPr>
        <w:numPr>
          <w:ilvl w:val="0"/>
          <w:numId w:val="5"/>
        </w:numPr>
        <w:ind w:left="0" w:leftChars="0" w:firstLine="420" w:firstLineChars="0"/>
        <w:outlineLvl w:val="0"/>
        <w:rPr>
          <w:rFonts w:hint="default" w:ascii="黑体" w:hAnsi="黑体" w:eastAsia="黑体" w:cs="黑体"/>
          <w:sz w:val="30"/>
          <w:szCs w:val="30"/>
          <w:lang w:val="en-US" w:eastAsia="zh-CN"/>
        </w:rPr>
      </w:pPr>
      <w:bookmarkStart w:id="21" w:name="_Toc30386"/>
      <w:r>
        <w:rPr>
          <w:rFonts w:hint="eastAsia" w:ascii="黑体" w:hAnsi="黑体" w:eastAsia="黑体" w:cs="黑体"/>
          <w:sz w:val="30"/>
          <w:szCs w:val="30"/>
          <w:lang w:val="en-US" w:eastAsia="zh-CN"/>
        </w:rPr>
        <w:t>数据清洗与特征工程</w:t>
      </w:r>
      <w:bookmarkEnd w:id="21"/>
    </w:p>
    <w:p w14:paraId="11EB2BB7">
      <w:pPr>
        <w:numPr>
          <w:ilvl w:val="0"/>
          <w:numId w:val="8"/>
        </w:numPr>
        <w:ind w:left="845" w:leftChars="0" w:hanging="425" w:firstLineChars="0"/>
        <w:outlineLvl w:val="1"/>
        <w:rPr>
          <w:rFonts w:hint="default" w:ascii="楷体" w:hAnsi="楷体" w:eastAsia="楷体" w:cs="楷体"/>
          <w:sz w:val="28"/>
          <w:szCs w:val="28"/>
          <w:lang w:val="en-US" w:eastAsia="zh-CN"/>
        </w:rPr>
      </w:pPr>
      <w:bookmarkStart w:id="22" w:name="_Toc10316"/>
      <w:r>
        <w:rPr>
          <w:rFonts w:hint="eastAsia" w:ascii="楷体" w:hAnsi="楷体" w:eastAsia="楷体" w:cs="楷体"/>
          <w:sz w:val="28"/>
          <w:szCs w:val="28"/>
          <w:lang w:val="en-US" w:eastAsia="zh-CN"/>
        </w:rPr>
        <w:t>数据清洗规范</w:t>
      </w:r>
      <w:bookmarkEnd w:id="22"/>
    </w:p>
    <w:p w14:paraId="18793A7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本项目建立了严格的数据清洗规范，核心原则如下：</w:t>
      </w:r>
    </w:p>
    <w:p w14:paraId="55A3FC0D">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eastAsiaTheme="minorEastAsia" w:cstheme="minorEastAsia"/>
          <w:sz w:val="24"/>
          <w:szCs w:val="24"/>
          <w:lang w:val="en-US" w:eastAsia="zh-CN"/>
        </w:rPr>
      </w:pPr>
      <w:bookmarkStart w:id="23" w:name="_Toc24915"/>
      <w:r>
        <w:rPr>
          <w:rFonts w:hint="eastAsia" w:asciiTheme="minorEastAsia" w:hAnsiTheme="minorEastAsia" w:cstheme="minorEastAsia"/>
          <w:sz w:val="24"/>
          <w:szCs w:val="24"/>
          <w:lang w:val="en-US" w:eastAsia="zh-CN"/>
        </w:rPr>
        <w:t>交易日规则</w:t>
      </w:r>
      <w:bookmarkEnd w:id="23"/>
    </w:p>
    <w:p w14:paraId="21DF628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以沪深300指数交易日为基准日历，所有ETF和指数数据统一对齐至同一交易日序列，非交易日数据不纳入回测。</w:t>
      </w:r>
    </w:p>
    <w:p w14:paraId="4B48847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24" w:name="_Toc30125"/>
      <w:r>
        <w:rPr>
          <w:rFonts w:hint="eastAsia" w:asciiTheme="minorEastAsia" w:hAnsiTheme="minorEastAsia" w:cstheme="minorEastAsia"/>
          <w:sz w:val="24"/>
          <w:szCs w:val="24"/>
          <w:lang w:val="en-US" w:eastAsia="zh-CN"/>
        </w:rPr>
        <w:t>前向填充（Forward Fill）原则</w:t>
      </w:r>
      <w:bookmarkEnd w:id="24"/>
    </w:p>
    <w:p w14:paraId="6AB2063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highlight w:val="none"/>
          <w:lang w:eastAsia="zh-CN"/>
          <w:woUserID w:val="1"/>
        </w:rPr>
      </w:pPr>
      <w:r>
        <w:rPr>
          <w:rFonts w:hint="default" w:asciiTheme="minorEastAsia" w:hAnsiTheme="minorEastAsia" w:eastAsiaTheme="minorEastAsia" w:cstheme="minorEastAsia"/>
          <w:sz w:val="24"/>
          <w:szCs w:val="24"/>
          <w:highlight w:val="none"/>
          <w:lang w:val="en-US" w:eastAsia="zh-CN"/>
        </w:rPr>
        <w:t>对于因停牌等原因导致的短期缺失值，仅使用前向填充（ffill），禁止使用后向填充（bfill）、插值或平滑方法。这一原则的核心在于防止“未来数据泄露”——后向填充本质上是利用未来信息填补过去，属于典型的前视偏差。</w:t>
      </w:r>
    </w:p>
    <w:p w14:paraId="78A1C602">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25" w:name="_Toc16256"/>
      <w:r>
        <w:rPr>
          <w:rFonts w:hint="eastAsia" w:asciiTheme="minorEastAsia" w:hAnsiTheme="minorEastAsia" w:cstheme="minorEastAsia"/>
          <w:sz w:val="24"/>
          <w:szCs w:val="24"/>
          <w:lang w:val="en-US" w:eastAsia="zh-CN"/>
        </w:rPr>
        <w:t>标的上市前数据置空</w:t>
      </w:r>
      <w:bookmarkEnd w:id="25"/>
    </w:p>
    <w:p w14:paraId="7EAF556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ETF上市前的日期，价格数据永久置空，不进行任何形式的回填或模拟。所有策略仅在ETF实际上市后才将其纳入可配置资产池。</w:t>
      </w:r>
    </w:p>
    <w:p w14:paraId="07CE49C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26" w:name="_Toc15827"/>
      <w:r>
        <w:rPr>
          <w:rFonts w:hint="eastAsia" w:asciiTheme="minorEastAsia" w:hAnsiTheme="minorEastAsia" w:cstheme="minorEastAsia"/>
          <w:sz w:val="24"/>
          <w:szCs w:val="24"/>
          <w:lang w:val="en-US" w:eastAsia="zh-CN"/>
        </w:rPr>
        <w:t>极值处理</w:t>
      </w:r>
      <w:bookmarkEnd w:id="26"/>
    </w:p>
    <w:p w14:paraId="0CB6F99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对全量特征的极端异常值进行截断修正，采用3σ原则：超出均值±3倍标准差的值被截断至边界值，消除异常样本对模型训练的干扰。</w:t>
      </w:r>
    </w:p>
    <w:p w14:paraId="2B1F5EB2">
      <w:pPr>
        <w:numPr>
          <w:ilvl w:val="0"/>
          <w:numId w:val="8"/>
        </w:numPr>
        <w:ind w:left="845" w:leftChars="0" w:hanging="425" w:firstLineChars="0"/>
        <w:outlineLvl w:val="1"/>
        <w:rPr>
          <w:rFonts w:hint="default" w:ascii="楷体" w:hAnsi="楷体" w:eastAsia="楷体" w:cs="楷体"/>
          <w:sz w:val="28"/>
          <w:szCs w:val="28"/>
          <w:lang w:val="en-US" w:eastAsia="zh-CN"/>
        </w:rPr>
      </w:pPr>
      <w:bookmarkStart w:id="27" w:name="_Toc7717"/>
      <w:r>
        <w:rPr>
          <w:rFonts w:hint="eastAsia" w:ascii="楷体" w:hAnsi="楷体" w:eastAsia="楷体" w:cs="楷体"/>
          <w:sz w:val="28"/>
          <w:szCs w:val="28"/>
          <w:lang w:val="en-US" w:eastAsia="zh-CN"/>
        </w:rPr>
        <w:t>前视偏差的层层防控</w:t>
      </w:r>
      <w:bookmarkEnd w:id="27"/>
    </w:p>
    <w:p w14:paraId="09D1DA5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前视偏差（Look-ahead Bias）是回测流程中最为常见且影响严重的风险问题，即在回测过程中无意使用了“未来才会公布的信息”，使得回测绩效“看似表现良好”，实际结果仅源于对未公开未来数据的依赖。本项目在数据处理的每一环节均设置了信息防泄露机制：</w:t>
      </w:r>
    </w:p>
    <w:p w14:paraId="7481274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28" w:name="_Toc24380"/>
      <w:r>
        <w:rPr>
          <w:rFonts w:hint="eastAsia" w:asciiTheme="minorEastAsia" w:hAnsiTheme="minorEastAsia" w:cstheme="minorEastAsia"/>
          <w:sz w:val="24"/>
          <w:szCs w:val="24"/>
          <w:lang w:val="en-US" w:eastAsia="zh-CN"/>
        </w:rPr>
        <w:t>宏观数据按实际发布日期对齐</w:t>
      </w:r>
      <w:bookmarkEnd w:id="28"/>
    </w:p>
    <w:p w14:paraId="27137B3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如前文2.2.4节所述，PMI、CPI等宏观数据均按其实际发布时间而非报告期月份对齐。例如，2026年3月的CPI数据在2026年4月9日才发布，回测中4月9日之后的决策才能使用该数据。</w:t>
      </w:r>
    </w:p>
    <w:p w14:paraId="0EB80E50">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29" w:name="_Toc23046"/>
      <w:r>
        <w:rPr>
          <w:rFonts w:hint="eastAsia" w:asciiTheme="minorEastAsia" w:hAnsiTheme="minorEastAsia" w:cstheme="minorEastAsia"/>
          <w:sz w:val="24"/>
          <w:szCs w:val="24"/>
          <w:lang w:val="en-US" w:eastAsia="zh-CN"/>
        </w:rPr>
        <w:t>特征筛选仅用历史数据</w:t>
      </w:r>
      <w:bookmarkEnd w:id="29"/>
    </w:p>
    <w:p w14:paraId="57A1C1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在特征筛选环节（IC单因子有效性检验、高共线性剔除、LightGBM重要性验证），所有统计量的计算</w:t>
      </w:r>
      <w:r>
        <w:rPr>
          <w:rFonts w:hint="default" w:asciiTheme="minorEastAsia" w:hAnsiTheme="minorEastAsia" w:eastAsiaTheme="minorEastAsia" w:cstheme="minorEastAsia"/>
          <w:sz w:val="24"/>
          <w:szCs w:val="24"/>
          <w:lang w:val="en-US" w:eastAsia="zh-CN"/>
        </w:rPr>
        <w:t>仅使用训练集数据，不使用未来数据参与筛选。</w:t>
      </w:r>
    </w:p>
    <w:p w14:paraId="2673154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30" w:name="_Toc17132"/>
      <w:r>
        <w:rPr>
          <w:rFonts w:hint="eastAsia" w:asciiTheme="minorEastAsia" w:hAnsiTheme="minorEastAsia" w:cstheme="minorEastAsia"/>
          <w:sz w:val="24"/>
          <w:szCs w:val="24"/>
          <w:lang w:val="en-US" w:eastAsia="zh-CN"/>
        </w:rPr>
        <w:t>Walk-Forward滚动验证</w:t>
      </w:r>
      <w:bookmarkEnd w:id="30"/>
    </w:p>
    <w:p w14:paraId="41E2891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回测阶段采用Walk-Forward滚动验证范式：每一轮仅用截止到当前时刻的历史数据训练模型，预测下一时段的表现，训练窗口与预测窗口严格不重叠。每一轮训练的数据均严格在预测时点之前</w:t>
      </w:r>
      <w:r>
        <w:rPr>
          <w:rFonts w:hint="default" w:asciiTheme="minorEastAsia" w:hAnsiTheme="minorEastAsia" w:eastAsiaTheme="minorEastAsia" w:cstheme="minorEastAsia"/>
          <w:sz w:val="24"/>
          <w:szCs w:val="24"/>
          <w:lang w:val="en-US" w:eastAsia="zh-CN"/>
        </w:rPr>
        <w:t>。</w:t>
      </w:r>
    </w:p>
    <w:p w14:paraId="30D900A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31" w:name="_Toc536"/>
      <w:r>
        <w:rPr>
          <w:rFonts w:hint="eastAsia" w:asciiTheme="minorEastAsia" w:hAnsiTheme="minorEastAsia" w:cstheme="minorEastAsia"/>
          <w:sz w:val="24"/>
          <w:szCs w:val="24"/>
          <w:lang w:val="en-US" w:eastAsia="zh-CN"/>
        </w:rPr>
        <w:t>Point-in-Time数据原则</w:t>
      </w:r>
      <w:bookmarkEnd w:id="31"/>
    </w:p>
    <w:p w14:paraId="341ADC5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所有数据在回测中均以“当时可见”的状态使用，不使用事后修订版本</w:t>
      </w:r>
      <w:r>
        <w:rPr>
          <w:rFonts w:hint="default" w:asciiTheme="minorEastAsia" w:hAnsiTheme="minorEastAsia" w:eastAsiaTheme="minorEastAsia" w:cstheme="minorEastAsia"/>
          <w:sz w:val="24"/>
          <w:szCs w:val="24"/>
          <w:lang w:val="en-US" w:eastAsia="zh-CN"/>
        </w:rPr>
        <w:t>。ETF的上市状态、成分股调整等信息均按历史实际时间点处理。</w:t>
      </w:r>
    </w:p>
    <w:p w14:paraId="112D0F21">
      <w:pPr>
        <w:numPr>
          <w:ilvl w:val="0"/>
          <w:numId w:val="8"/>
        </w:numPr>
        <w:ind w:left="845" w:leftChars="0" w:hanging="425" w:firstLineChars="0"/>
        <w:outlineLvl w:val="1"/>
        <w:rPr>
          <w:rFonts w:hint="eastAsia" w:ascii="楷体" w:hAnsi="楷体" w:eastAsia="楷体" w:cs="楷体"/>
          <w:sz w:val="28"/>
          <w:szCs w:val="28"/>
          <w:lang w:val="en-US" w:eastAsia="zh-CN"/>
        </w:rPr>
      </w:pPr>
      <w:bookmarkStart w:id="32" w:name="_Toc1513"/>
      <w:r>
        <w:rPr>
          <w:rFonts w:hint="eastAsia" w:ascii="楷体" w:hAnsi="楷体" w:eastAsia="楷体" w:cs="楷体"/>
          <w:sz w:val="28"/>
          <w:szCs w:val="28"/>
          <w:lang w:val="en-US" w:eastAsia="zh-CN"/>
        </w:rPr>
        <w:t>特征工程流程</w:t>
      </w:r>
      <w:bookmarkEnd w:id="32"/>
    </w:p>
    <w:p w14:paraId="1EFA064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原始数据采集完成后，经以下流程生成建模用特征表：</w:t>
      </w:r>
    </w:p>
    <w:p w14:paraId="2B42D2B9">
      <w:pPr>
        <w:keepNext w:val="0"/>
        <w:keepLines w:val="0"/>
        <w:pageBreakBefore w:val="0"/>
        <w:widowControl w:val="0"/>
        <w:numPr>
          <w:ilvl w:val="0"/>
          <w:numId w:val="11"/>
        </w:numPr>
        <w:kinsoku/>
        <w:wordWrap/>
        <w:overflowPunct/>
        <w:topLinePunct w:val="0"/>
        <w:autoSpaceDE/>
        <w:autoSpaceDN/>
        <w:bidi w:val="0"/>
        <w:adjustRightInd/>
        <w:snapToGrid/>
        <w:spacing w:after="157" w:afterLines="50" w:line="360" w:lineRule="auto"/>
        <w:ind w:left="845" w:leftChars="0" w:right="210" w:rightChars="100" w:hanging="425" w:firstLineChars="0"/>
        <w:textAlignment w:val="auto"/>
        <w:outlineLvl w:val="2"/>
        <w:rPr>
          <w:rFonts w:hint="eastAsia" w:asciiTheme="minorEastAsia" w:hAnsiTheme="minorEastAsia" w:eastAsiaTheme="minorEastAsia" w:cstheme="minorEastAsia"/>
          <w:sz w:val="24"/>
          <w:szCs w:val="24"/>
          <w:lang w:val="en-US" w:eastAsia="zh-CN"/>
        </w:rPr>
      </w:pPr>
      <w:bookmarkStart w:id="33" w:name="_Toc27052"/>
      <w:r>
        <w:rPr>
          <w:rFonts w:hint="default" w:asciiTheme="minorEastAsia" w:hAnsiTheme="minorEastAsia" w:eastAsiaTheme="minorEastAsia" w:cstheme="minorEastAsia"/>
          <w:sz w:val="24"/>
          <w:szCs w:val="24"/>
          <w:lang w:val="en-US" w:eastAsia="zh-CN"/>
        </w:rPr>
        <w:t>第一步：原始特征汇总</w:t>
      </w:r>
      <w:bookmarkEnd w:id="33"/>
    </w:p>
    <w:p w14:paraId="31DF8BC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汇总指数行情、ETF行情、估值指标、宏观数据、两融资金、北向资金、利率曲线</w:t>
      </w:r>
      <w:r>
        <w:rPr>
          <w:rFonts w:hint="eastAsia" w:asciiTheme="minorEastAsia" w:hAnsiTheme="minorEastAsia" w:eastAsiaTheme="minorEastAsia" w:cstheme="minorEastAsia"/>
          <w:sz w:val="24"/>
          <w:szCs w:val="24"/>
          <w:lang w:val="en-US" w:eastAsia="zh-CN"/>
        </w:rPr>
        <w:t>共7类底层数据源</w:t>
      </w:r>
      <w:r>
        <w:rPr>
          <w:rFonts w:hint="default" w:asciiTheme="minorEastAsia" w:hAnsiTheme="minorEastAsia" w:eastAsiaTheme="minorEastAsia" w:cstheme="minorEastAsia"/>
          <w:sz w:val="24"/>
          <w:szCs w:val="24"/>
          <w:lang w:val="en-US" w:eastAsia="zh-CN"/>
        </w:rPr>
        <w:t>，对齐统一交易日历，生成原始总特征表，</w:t>
      </w:r>
      <w:r>
        <w:rPr>
          <w:rFonts w:hint="eastAsia" w:asciiTheme="minorEastAsia" w:hAnsiTheme="minorEastAsia" w:eastAsiaTheme="minorEastAsia" w:cstheme="minorEastAsia"/>
          <w:sz w:val="24"/>
          <w:szCs w:val="24"/>
          <w:lang w:val="en-US" w:eastAsia="zh-CN"/>
        </w:rPr>
        <w:t>合计包含</w:t>
      </w:r>
      <w:r>
        <w:rPr>
          <w:rFonts w:hint="default" w:asciiTheme="minorEastAsia" w:hAnsiTheme="minorEastAsia" w:eastAsiaTheme="minorEastAsia" w:cstheme="minorEastAsia"/>
          <w:sz w:val="24"/>
          <w:szCs w:val="24"/>
          <w:lang w:val="en-US" w:eastAsia="zh-CN"/>
        </w:rPr>
        <w:t>182维特征。</w:t>
      </w:r>
    </w:p>
    <w:p w14:paraId="1037A155">
      <w:pPr>
        <w:keepNext w:val="0"/>
        <w:keepLines w:val="0"/>
        <w:pageBreakBefore w:val="0"/>
        <w:widowControl w:val="0"/>
        <w:numPr>
          <w:ilvl w:val="0"/>
          <w:numId w:val="11"/>
        </w:numPr>
        <w:kinsoku/>
        <w:wordWrap/>
        <w:overflowPunct/>
        <w:topLinePunct w:val="0"/>
        <w:autoSpaceDE/>
        <w:autoSpaceDN/>
        <w:bidi w:val="0"/>
        <w:adjustRightInd/>
        <w:snapToGrid/>
        <w:spacing w:after="157" w:afterLines="50" w:line="360" w:lineRule="auto"/>
        <w:ind w:left="845" w:leftChars="0" w:right="210" w:rightChars="100" w:hanging="425" w:firstLineChars="0"/>
        <w:textAlignment w:val="auto"/>
        <w:outlineLvl w:val="2"/>
        <w:rPr>
          <w:rFonts w:hint="default" w:asciiTheme="minorEastAsia" w:hAnsiTheme="minorEastAsia" w:eastAsiaTheme="minorEastAsia" w:cstheme="minorEastAsia"/>
          <w:sz w:val="24"/>
          <w:szCs w:val="24"/>
          <w:lang w:val="en-US" w:eastAsia="zh-CN"/>
        </w:rPr>
      </w:pPr>
      <w:bookmarkStart w:id="34" w:name="_Toc5934"/>
      <w:r>
        <w:rPr>
          <w:rFonts w:hint="default" w:asciiTheme="minorEastAsia" w:hAnsiTheme="minorEastAsia" w:eastAsiaTheme="minorEastAsia" w:cstheme="minorEastAsia"/>
          <w:sz w:val="24"/>
          <w:szCs w:val="24"/>
          <w:lang w:val="en-US" w:eastAsia="zh-CN"/>
        </w:rPr>
        <w:t>第二步：时序安全特征筛选</w:t>
      </w:r>
      <w:bookmarkEnd w:id="34"/>
    </w:p>
    <w:p w14:paraId="794F803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以2022年12月31日为时间切割点，仅使用切割前历史数据完成全套预处理与三层特征筛选：</w:t>
      </w:r>
    </w:p>
    <w:p w14:paraId="5D808C4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三层特征筛选</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103"/>
        <w:gridCol w:w="5336"/>
      </w:tblGrid>
      <w:tr w14:paraId="1B57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8672BF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筛选层次</w:t>
            </w:r>
          </w:p>
        </w:tc>
        <w:tc>
          <w:tcPr>
            <w:tcW w:w="0" w:type="auto"/>
            <w:tcBorders>
              <w:top w:val="single" w:color="000000" w:sz="12" w:space="0"/>
              <w:left w:val="nil"/>
              <w:bottom w:val="single" w:color="000000" w:sz="4" w:space="0"/>
              <w:right w:val="nil"/>
            </w:tcBorders>
            <w:shd w:val="clear" w:color="auto" w:fill="FFFFFF"/>
            <w:vAlign w:val="center"/>
          </w:tcPr>
          <w:p w14:paraId="19466D5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方法</w:t>
            </w:r>
          </w:p>
        </w:tc>
        <w:tc>
          <w:tcPr>
            <w:tcW w:w="5336" w:type="dxa"/>
            <w:tcBorders>
              <w:top w:val="single" w:color="000000" w:sz="12" w:space="0"/>
              <w:left w:val="nil"/>
              <w:bottom w:val="single" w:color="000000" w:sz="4" w:space="0"/>
              <w:right w:val="nil"/>
            </w:tcBorders>
            <w:shd w:val="clear" w:color="auto" w:fill="FFFFFF"/>
            <w:vAlign w:val="center"/>
          </w:tcPr>
          <w:p w14:paraId="10C507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目的</w:t>
            </w:r>
          </w:p>
        </w:tc>
      </w:tr>
      <w:tr w14:paraId="52D5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1BB412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第一层</w:t>
            </w:r>
          </w:p>
        </w:tc>
        <w:tc>
          <w:tcPr>
            <w:tcW w:w="0" w:type="auto"/>
            <w:tcBorders>
              <w:top w:val="single" w:color="000000" w:sz="4" w:space="0"/>
              <w:left w:val="nil"/>
              <w:bottom w:val="nil"/>
              <w:right w:val="nil"/>
            </w:tcBorders>
            <w:shd w:val="clear" w:color="auto" w:fill="FFFFFF"/>
            <w:vAlign w:val="center"/>
          </w:tcPr>
          <w:p w14:paraId="4393395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常量剔除</w:t>
            </w:r>
          </w:p>
        </w:tc>
        <w:tc>
          <w:tcPr>
            <w:tcW w:w="5336" w:type="dxa"/>
            <w:tcBorders>
              <w:top w:val="single" w:color="000000" w:sz="4" w:space="0"/>
              <w:left w:val="nil"/>
              <w:bottom w:val="nil"/>
              <w:right w:val="nil"/>
            </w:tcBorders>
            <w:shd w:val="clear" w:color="auto" w:fill="FFFFFF"/>
            <w:vAlign w:val="center"/>
          </w:tcPr>
          <w:p w14:paraId="145421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剔除方差接近于0的无意义特征</w:t>
            </w:r>
          </w:p>
        </w:tc>
      </w:tr>
      <w:tr w14:paraId="037A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2D835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第二层</w:t>
            </w:r>
          </w:p>
        </w:tc>
        <w:tc>
          <w:tcPr>
            <w:tcW w:w="0" w:type="auto"/>
            <w:tcBorders>
              <w:top w:val="nil"/>
              <w:left w:val="nil"/>
              <w:bottom w:val="nil"/>
              <w:right w:val="nil"/>
            </w:tcBorders>
            <w:shd w:val="clear" w:color="auto" w:fill="FFFFFF"/>
            <w:vAlign w:val="center"/>
          </w:tcPr>
          <w:p w14:paraId="60E64B6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IC单因子有效性筛选</w:t>
            </w:r>
          </w:p>
        </w:tc>
        <w:tc>
          <w:tcPr>
            <w:tcW w:w="5336" w:type="dxa"/>
            <w:tcBorders>
              <w:top w:val="nil"/>
              <w:left w:val="nil"/>
              <w:bottom w:val="nil"/>
              <w:right w:val="nil"/>
            </w:tcBorders>
            <w:shd w:val="clear" w:color="auto" w:fill="FFFFFF"/>
            <w:vAlign w:val="center"/>
          </w:tcPr>
          <w:p w14:paraId="19FDC9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计算单因子与未来收益的相关性，剔除IC过低的无效特征</w:t>
            </w:r>
          </w:p>
        </w:tc>
      </w:tr>
      <w:tr w14:paraId="5373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0B80CB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第三层</w:t>
            </w:r>
          </w:p>
        </w:tc>
        <w:tc>
          <w:tcPr>
            <w:tcW w:w="0" w:type="auto"/>
            <w:tcBorders>
              <w:top w:val="nil"/>
              <w:left w:val="nil"/>
              <w:bottom w:val="nil"/>
              <w:right w:val="nil"/>
            </w:tcBorders>
            <w:shd w:val="clear" w:color="auto" w:fill="FFFFFF"/>
            <w:vAlign w:val="center"/>
          </w:tcPr>
          <w:p w14:paraId="57DD53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高共线性剔除</w:t>
            </w:r>
          </w:p>
        </w:tc>
        <w:tc>
          <w:tcPr>
            <w:tcW w:w="5336" w:type="dxa"/>
            <w:tcBorders>
              <w:top w:val="nil"/>
              <w:left w:val="nil"/>
              <w:bottom w:val="nil"/>
              <w:right w:val="nil"/>
            </w:tcBorders>
            <w:shd w:val="clear" w:color="auto" w:fill="FFFFFF"/>
            <w:vAlign w:val="center"/>
          </w:tcPr>
          <w:p w14:paraId="35D06F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剔除相关性高于阈值的冗余特征</w:t>
            </w:r>
          </w:p>
        </w:tc>
      </w:tr>
      <w:tr w14:paraId="3BE9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0" w:type="dxa"/>
            <w:tcBorders>
              <w:top w:val="nil"/>
              <w:left w:val="nil"/>
              <w:bottom w:val="single" w:color="000000" w:sz="12" w:space="0"/>
              <w:right w:val="nil"/>
            </w:tcBorders>
            <w:shd w:val="clear" w:color="auto" w:fill="FFFFFF"/>
            <w:vAlign w:val="center"/>
          </w:tcPr>
          <w:p w14:paraId="4CBE57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第四层</w:t>
            </w:r>
          </w:p>
        </w:tc>
        <w:tc>
          <w:tcPr>
            <w:tcW w:w="2103" w:type="dxa"/>
            <w:tcBorders>
              <w:top w:val="nil"/>
              <w:left w:val="nil"/>
              <w:bottom w:val="single" w:color="000000" w:sz="12" w:space="0"/>
              <w:right w:val="nil"/>
            </w:tcBorders>
            <w:shd w:val="clear" w:color="auto" w:fill="FFFFFF"/>
            <w:vAlign w:val="center"/>
          </w:tcPr>
          <w:p w14:paraId="1F57C8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LightGBM增益筛选</w:t>
            </w:r>
          </w:p>
        </w:tc>
        <w:tc>
          <w:tcPr>
            <w:tcW w:w="5336" w:type="dxa"/>
            <w:tcBorders>
              <w:top w:val="nil"/>
              <w:left w:val="nil"/>
              <w:bottom w:val="single" w:color="000000" w:sz="12" w:space="0"/>
              <w:right w:val="nil"/>
            </w:tcBorders>
            <w:shd w:val="clear" w:color="auto" w:fill="FFFFFF"/>
            <w:vAlign w:val="center"/>
          </w:tcPr>
          <w:p w14:paraId="6F7993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以资产未来收益为预测目标，保留模型贡献最高的特征</w:t>
            </w:r>
          </w:p>
        </w:tc>
      </w:tr>
    </w:tbl>
    <w:p w14:paraId="6ABD12DB">
      <w:pPr>
        <w:rPr>
          <w:rFonts w:hint="eastAsia"/>
          <w:lang w:val="en-US" w:eastAsia="zh-CN"/>
        </w:rPr>
      </w:pPr>
      <w:r>
        <w:rPr>
          <w:rFonts w:hint="eastAsia"/>
          <w:lang w:val="en-US" w:eastAsia="zh-CN"/>
        </w:rPr>
        <w:drawing>
          <wp:inline distT="0" distB="0" distL="114300" distR="114300">
            <wp:extent cx="5271770" cy="717550"/>
            <wp:effectExtent l="0" t="0" r="11430" b="6350"/>
            <wp:docPr id="2" name="图片 2" descr="f6c1dc3a80c9208ff1e1d6b20d03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6c1dc3a80c9208ff1e1d6b20d032342"/>
                    <pic:cNvPicPr>
                      <a:picLocks noChangeAspect="1"/>
                    </pic:cNvPicPr>
                  </pic:nvPicPr>
                  <pic:blipFill>
                    <a:blip r:embed="rId8"/>
                    <a:stretch>
                      <a:fillRect/>
                    </a:stretch>
                  </pic:blipFill>
                  <pic:spPr>
                    <a:xfrm>
                      <a:off x="0" y="0"/>
                      <a:ext cx="5271770" cy="717550"/>
                    </a:xfrm>
                    <a:prstGeom prst="rect">
                      <a:avLst/>
                    </a:prstGeom>
                  </pic:spPr>
                </pic:pic>
              </a:graphicData>
            </a:graphic>
          </wp:inline>
        </w:drawing>
      </w:r>
    </w:p>
    <w:p w14:paraId="74048E47">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lang w:val="en-US" w:eastAsia="zh-CN"/>
        </w:rPr>
      </w:pPr>
      <w:r>
        <w:rPr>
          <w:rFonts w:hint="eastAsia" w:asciiTheme="minorEastAsia" w:hAnsiTheme="minorEastAsia" w:eastAsiaTheme="minorEastAsia" w:cstheme="minorEastAsia"/>
          <w:sz w:val="24"/>
          <w:szCs w:val="24"/>
        </w:rPr>
        <w:t xml:space="preserve">图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图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筛选流程图</w:t>
      </w:r>
    </w:p>
    <w:p w14:paraId="2AA268B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经过上述四层筛选，</w:t>
      </w:r>
      <w:r>
        <w:rPr>
          <w:rFonts w:hint="eastAsia" w:asciiTheme="minorEastAsia" w:hAnsiTheme="minorEastAsia" w:cstheme="minorEastAsia"/>
          <w:sz w:val="24"/>
          <w:szCs w:val="24"/>
          <w:highlight w:val="none"/>
          <w:lang w:val="en-US" w:eastAsia="zh-CN"/>
        </w:rPr>
        <w:t>177</w:t>
      </w:r>
      <w:r>
        <w:rPr>
          <w:rFonts w:hint="default" w:asciiTheme="minorEastAsia" w:hAnsiTheme="minorEastAsia" w:eastAsiaTheme="minorEastAsia" w:cstheme="minorEastAsia"/>
          <w:sz w:val="24"/>
          <w:szCs w:val="24"/>
          <w:lang w:val="en-US" w:eastAsia="zh-CN"/>
        </w:rPr>
        <w:t>维原始特征压缩为42维有效特征，所有筛选规则均在切割前数据上完成，严格杜绝未来信息泄露。</w:t>
      </w:r>
    </w:p>
    <w:p w14:paraId="2DFF7137">
      <w:pPr>
        <w:keepNext w:val="0"/>
        <w:keepLines w:val="0"/>
        <w:pageBreakBefore w:val="0"/>
        <w:widowControl w:val="0"/>
        <w:numPr>
          <w:ilvl w:val="0"/>
          <w:numId w:val="11"/>
        </w:numPr>
        <w:kinsoku/>
        <w:wordWrap/>
        <w:overflowPunct/>
        <w:topLinePunct w:val="0"/>
        <w:autoSpaceDE/>
        <w:autoSpaceDN/>
        <w:bidi w:val="0"/>
        <w:adjustRightInd/>
        <w:snapToGrid/>
        <w:spacing w:after="157" w:afterLines="50" w:line="360" w:lineRule="auto"/>
        <w:ind w:left="845" w:leftChars="0" w:right="210" w:rightChars="100" w:hanging="425" w:firstLineChars="0"/>
        <w:textAlignment w:val="auto"/>
        <w:outlineLvl w:val="2"/>
        <w:rPr>
          <w:rFonts w:hint="default" w:asciiTheme="minorEastAsia" w:hAnsiTheme="minorEastAsia" w:eastAsiaTheme="minorEastAsia" w:cstheme="minorEastAsia"/>
          <w:sz w:val="24"/>
          <w:szCs w:val="24"/>
          <w:lang w:val="en-US" w:eastAsia="zh-CN"/>
        </w:rPr>
      </w:pPr>
      <w:bookmarkStart w:id="35" w:name="_Toc20725"/>
      <w:r>
        <w:rPr>
          <w:rFonts w:hint="default" w:asciiTheme="minorEastAsia" w:hAnsiTheme="minorEastAsia" w:eastAsiaTheme="minorEastAsia" w:cstheme="minorEastAsia"/>
          <w:sz w:val="24"/>
          <w:szCs w:val="24"/>
          <w:lang w:val="en-US" w:eastAsia="zh-CN"/>
        </w:rPr>
        <w:t>第三步：滚动标准化</w:t>
      </w:r>
      <w:bookmarkEnd w:id="35"/>
    </w:p>
    <w:p w14:paraId="22DFF8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在滚动训练框架中，每一轮训练仅用当期训练集的均值和标准差对特征进行Z-Score标准化，验证集和测试集使用训练集的标准化参数，杜绝数据泄露。</w:t>
      </w:r>
    </w:p>
    <w:p w14:paraId="2F727C74">
      <w:pPr>
        <w:numPr>
          <w:ilvl w:val="0"/>
          <w:numId w:val="5"/>
        </w:numPr>
        <w:ind w:left="0" w:leftChars="0" w:firstLine="420" w:firstLineChars="0"/>
        <w:outlineLvl w:val="0"/>
        <w:rPr>
          <w:rFonts w:hint="default" w:ascii="黑体" w:hAnsi="黑体" w:eastAsia="黑体" w:cs="黑体"/>
          <w:sz w:val="30"/>
          <w:szCs w:val="30"/>
          <w:lang w:val="en-US" w:eastAsia="zh-CN"/>
        </w:rPr>
      </w:pPr>
      <w:bookmarkStart w:id="36" w:name="_Toc13992"/>
      <w:r>
        <w:rPr>
          <w:rFonts w:hint="eastAsia" w:ascii="黑体" w:hAnsi="黑体" w:eastAsia="黑体" w:cs="黑体"/>
          <w:sz w:val="30"/>
          <w:szCs w:val="30"/>
          <w:lang w:val="en-US" w:eastAsia="zh-CN"/>
        </w:rPr>
        <w:t>数据体系总结</w:t>
      </w:r>
      <w:bookmarkEnd w:id="36"/>
    </w:p>
    <w:p w14:paraId="401CCE4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本项目构建了覆盖7只ETF×四大类数据源×16年历史周期的完整数据体系：</w:t>
      </w:r>
    </w:p>
    <w:p w14:paraId="75F9F70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数据体系</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86"/>
        <w:gridCol w:w="4595"/>
        <w:gridCol w:w="2282"/>
      </w:tblGrid>
      <w:tr w14:paraId="067E2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61DEEE8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维度</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35F189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覆盖内容</w:t>
            </w:r>
          </w:p>
        </w:tc>
        <w:tc>
          <w:tcPr>
            <w:tcW w:w="2282"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2B7C0C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数据量</w:t>
            </w:r>
          </w:p>
        </w:tc>
      </w:tr>
      <w:tr w14:paraId="0AAE8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472A4D0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时间跨度</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7EFB6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2010年1月—2026年6月</w:t>
            </w:r>
          </w:p>
        </w:tc>
        <w:tc>
          <w:tcPr>
            <w:tcW w:w="2282" w:type="dxa"/>
            <w:tcBorders>
              <w:top w:val="single" w:color="000000" w:sz="4" w:space="0"/>
            </w:tcBorders>
            <w:shd w:val="clear" w:color="auto" w:fill="FFFFFF"/>
            <w:tcMar>
              <w:top w:w="100" w:type="dxa"/>
              <w:left w:w="160" w:type="dxa"/>
              <w:bottom w:w="100" w:type="dxa"/>
              <w:right w:w="0" w:type="dxa"/>
            </w:tcMar>
            <w:vAlign w:val="center"/>
          </w:tcPr>
          <w:p w14:paraId="55D3076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约4000个交易日</w:t>
            </w:r>
          </w:p>
        </w:tc>
      </w:tr>
      <w:tr w14:paraId="09CB1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3EE8E44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资产标的</w:t>
            </w:r>
          </w:p>
        </w:tc>
        <w:tc>
          <w:tcPr>
            <w:tcW w:w="0" w:type="auto"/>
            <w:shd w:val="clear" w:color="auto" w:fill="FFFFFF"/>
            <w:tcMar>
              <w:top w:w="100" w:type="dxa"/>
              <w:left w:w="160" w:type="dxa"/>
              <w:bottom w:w="100" w:type="dxa"/>
              <w:right w:w="160" w:type="dxa"/>
            </w:tcMar>
            <w:vAlign w:val="center"/>
          </w:tcPr>
          <w:p w14:paraId="1D4A2FB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7只ETF + 7只跟踪指数</w:t>
            </w:r>
          </w:p>
        </w:tc>
        <w:tc>
          <w:tcPr>
            <w:tcW w:w="2282" w:type="dxa"/>
            <w:shd w:val="clear" w:color="auto" w:fill="FFFFFF"/>
            <w:tcMar>
              <w:top w:w="100" w:type="dxa"/>
              <w:left w:w="160" w:type="dxa"/>
              <w:bottom w:w="100" w:type="dxa"/>
              <w:right w:w="0" w:type="dxa"/>
            </w:tcMar>
            <w:vAlign w:val="center"/>
          </w:tcPr>
          <w:p w14:paraId="214414B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14条日频序列</w:t>
            </w:r>
          </w:p>
        </w:tc>
      </w:tr>
      <w:tr w14:paraId="623B3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77F546B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估值指标</w:t>
            </w:r>
          </w:p>
        </w:tc>
        <w:tc>
          <w:tcPr>
            <w:tcW w:w="0" w:type="auto"/>
            <w:shd w:val="clear" w:color="auto" w:fill="FFFFFF"/>
            <w:tcMar>
              <w:top w:w="100" w:type="dxa"/>
              <w:left w:w="160" w:type="dxa"/>
              <w:bottom w:w="100" w:type="dxa"/>
              <w:right w:w="160" w:type="dxa"/>
            </w:tcMar>
            <w:vAlign w:val="center"/>
          </w:tcPr>
          <w:p w14:paraId="358E375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5只权益ETF的PE/PB/股息率/分位</w:t>
            </w:r>
          </w:p>
        </w:tc>
        <w:tc>
          <w:tcPr>
            <w:tcW w:w="2282" w:type="dxa"/>
            <w:shd w:val="clear" w:color="auto" w:fill="FFFFFF"/>
            <w:tcMar>
              <w:top w:w="100" w:type="dxa"/>
              <w:left w:w="160" w:type="dxa"/>
              <w:bottom w:w="100" w:type="dxa"/>
              <w:right w:w="0" w:type="dxa"/>
            </w:tcMar>
            <w:vAlign w:val="center"/>
          </w:tcPr>
          <w:p w14:paraId="4A79B1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20+列日频数据</w:t>
            </w:r>
          </w:p>
        </w:tc>
      </w:tr>
      <w:tr w14:paraId="1BD70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388977F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宏观指标</w:t>
            </w:r>
          </w:p>
        </w:tc>
        <w:tc>
          <w:tcPr>
            <w:tcW w:w="0" w:type="auto"/>
            <w:shd w:val="clear" w:color="auto" w:fill="FFFFFF"/>
            <w:tcMar>
              <w:top w:w="100" w:type="dxa"/>
              <w:left w:w="160" w:type="dxa"/>
              <w:bottom w:w="100" w:type="dxa"/>
              <w:right w:w="160" w:type="dxa"/>
            </w:tcMar>
            <w:vAlign w:val="center"/>
          </w:tcPr>
          <w:p w14:paraId="0CFFCF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PMI/CPI/社融/M1-M2/国债利差</w:t>
            </w:r>
          </w:p>
        </w:tc>
        <w:tc>
          <w:tcPr>
            <w:tcW w:w="2282" w:type="dxa"/>
            <w:shd w:val="clear" w:color="auto" w:fill="FFFFFF"/>
            <w:tcMar>
              <w:top w:w="100" w:type="dxa"/>
              <w:left w:w="160" w:type="dxa"/>
              <w:bottom w:w="100" w:type="dxa"/>
              <w:right w:w="0" w:type="dxa"/>
            </w:tcMar>
            <w:vAlign w:val="center"/>
          </w:tcPr>
          <w:p w14:paraId="0EE73D4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5项月频序列</w:t>
            </w:r>
          </w:p>
        </w:tc>
      </w:tr>
      <w:tr w14:paraId="03573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467E48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情绪指标</w:t>
            </w:r>
          </w:p>
        </w:tc>
        <w:tc>
          <w:tcPr>
            <w:tcW w:w="0" w:type="auto"/>
            <w:shd w:val="clear" w:color="auto" w:fill="FFFFFF"/>
            <w:tcMar>
              <w:top w:w="100" w:type="dxa"/>
              <w:left w:w="160" w:type="dxa"/>
              <w:bottom w:w="100" w:type="dxa"/>
              <w:right w:w="160" w:type="dxa"/>
            </w:tcMar>
            <w:vAlign w:val="center"/>
          </w:tcPr>
          <w:p w14:paraId="2AE2FE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两融余额/北向资金/波动率</w:t>
            </w:r>
          </w:p>
        </w:tc>
        <w:tc>
          <w:tcPr>
            <w:tcW w:w="2282" w:type="dxa"/>
            <w:shd w:val="clear" w:color="auto" w:fill="FFFFFF"/>
            <w:tcMar>
              <w:top w:w="100" w:type="dxa"/>
              <w:left w:w="160" w:type="dxa"/>
              <w:bottom w:w="100" w:type="dxa"/>
              <w:right w:w="0" w:type="dxa"/>
            </w:tcMar>
            <w:vAlign w:val="center"/>
          </w:tcPr>
          <w:p w14:paraId="7D4647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3项日频序列</w:t>
            </w:r>
          </w:p>
        </w:tc>
      </w:tr>
      <w:tr w14:paraId="10A87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6" w:type="dxa"/>
            <w:tcBorders>
              <w:bottom w:val="single" w:color="000000" w:sz="12" w:space="0"/>
            </w:tcBorders>
            <w:shd w:val="clear" w:color="auto" w:fill="FFFFFF"/>
            <w:tcMar>
              <w:top w:w="100" w:type="dxa"/>
              <w:left w:w="0" w:type="dxa"/>
              <w:bottom w:w="100" w:type="dxa"/>
              <w:right w:w="160" w:type="dxa"/>
            </w:tcMar>
            <w:vAlign w:val="center"/>
          </w:tcPr>
          <w:p w14:paraId="75AB5B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最终特征表</w:t>
            </w:r>
          </w:p>
        </w:tc>
        <w:tc>
          <w:tcPr>
            <w:tcW w:w="4595" w:type="dxa"/>
            <w:tcBorders>
              <w:bottom w:val="single" w:color="000000" w:sz="12" w:space="0"/>
            </w:tcBorders>
            <w:shd w:val="clear" w:color="auto" w:fill="FFFFFF"/>
            <w:tcMar>
              <w:top w:w="100" w:type="dxa"/>
              <w:left w:w="160" w:type="dxa"/>
              <w:bottom w:w="100" w:type="dxa"/>
              <w:right w:w="160" w:type="dxa"/>
            </w:tcMar>
            <w:vAlign w:val="center"/>
          </w:tcPr>
          <w:p w14:paraId="39F908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经筛选的有效特征</w:t>
            </w:r>
          </w:p>
        </w:tc>
        <w:tc>
          <w:tcPr>
            <w:tcW w:w="2282" w:type="dxa"/>
            <w:tcBorders>
              <w:bottom w:val="single" w:color="000000" w:sz="12" w:space="0"/>
            </w:tcBorders>
            <w:shd w:val="clear" w:color="auto" w:fill="FFFFFF"/>
            <w:tcMar>
              <w:top w:w="100" w:type="dxa"/>
              <w:left w:w="160" w:type="dxa"/>
              <w:bottom w:w="100" w:type="dxa"/>
              <w:right w:w="0" w:type="dxa"/>
            </w:tcMar>
            <w:vAlign w:val="center"/>
          </w:tcPr>
          <w:p w14:paraId="31ED13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42维 × 2798行</w:t>
            </w:r>
          </w:p>
        </w:tc>
      </w:tr>
    </w:tbl>
    <w:p w14:paraId="236256E0">
      <w:pPr>
        <w:numPr>
          <w:ilvl w:val="0"/>
          <w:numId w:val="1"/>
        </w:numPr>
        <w:ind w:left="-210" w:leftChars="0" w:firstLine="420" w:firstLineChars="0"/>
        <w:outlineLvl w:val="1"/>
        <w:rPr>
          <w:rFonts w:hint="default" w:ascii="黑体" w:hAnsi="黑体" w:eastAsia="黑体" w:cs="黑体"/>
          <w:sz w:val="32"/>
          <w:szCs w:val="32"/>
          <w:lang w:val="en-US" w:eastAsia="zh-CN"/>
        </w:rPr>
      </w:pPr>
      <w:bookmarkStart w:id="37" w:name="_Toc32427"/>
      <w:r>
        <w:rPr>
          <w:rFonts w:hint="eastAsia" w:ascii="黑体" w:hAnsi="黑体" w:eastAsia="黑体" w:cs="黑体"/>
          <w:sz w:val="32"/>
          <w:szCs w:val="32"/>
          <w:lang w:val="en-US" w:eastAsia="zh-CN"/>
        </w:rPr>
        <w:t>市场环境评分系统</w:t>
      </w:r>
      <w:bookmarkEnd w:id="37"/>
    </w:p>
    <w:p w14:paraId="407F45B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市场环境识别是动态资产配置的首要前提。传统的均值-方差最优化方法与CAPM模型假定最优资产配置权重具备稳定性，不随经济景气与金融市场环境的变动发生改变，</w:t>
      </w:r>
      <w:r>
        <w:rPr>
          <w:rFonts w:hint="eastAsia" w:asciiTheme="minorEastAsia" w:hAnsiTheme="minorEastAsia" w:cstheme="minorEastAsia"/>
          <w:sz w:val="24"/>
          <w:szCs w:val="24"/>
          <w:lang w:val="en-US" w:eastAsia="zh-CN"/>
        </w:rPr>
        <w:t>该假定与实际情况不符：在现实场景中，</w:t>
      </w:r>
      <w:r>
        <w:rPr>
          <w:rFonts w:hint="eastAsia" w:asciiTheme="minorEastAsia" w:hAnsiTheme="minorEastAsia" w:eastAsiaTheme="minorEastAsia" w:cstheme="minorEastAsia"/>
          <w:sz w:val="24"/>
          <w:szCs w:val="24"/>
          <w:lang w:val="en-US" w:eastAsia="zh-CN"/>
        </w:rPr>
        <w:t>持续变化的经济环境使资产收益的均值与方差存在时变特征</w:t>
      </w:r>
      <w:r>
        <w:rPr>
          <w:rFonts w:hint="default" w:asciiTheme="minorEastAsia" w:hAnsiTheme="minorEastAsia" w:eastAsiaTheme="minorEastAsia" w:cstheme="minorEastAsia"/>
          <w:sz w:val="24"/>
          <w:szCs w:val="24"/>
          <w:lang w:val="en-US" w:eastAsia="zh-CN"/>
        </w:rPr>
        <w:fldChar w:fldCharType="begin"/>
      </w:r>
      <w:r>
        <w:rPr>
          <w:rFonts w:hint="default" w:asciiTheme="minorEastAsia" w:hAnsiTheme="minorEastAsia" w:eastAsiaTheme="minorEastAsia" w:cstheme="minorEastAsia"/>
          <w:sz w:val="24"/>
          <w:szCs w:val="24"/>
          <w:lang w:val="en-US" w:eastAsia="zh-CN"/>
        </w:rPr>
        <w:instrText xml:space="preserve"> HYPERLINK "https://wap.cnki.net/touch/web/Dissertation/Article/1011196187.nh.html" \t "https://chat.deepseek.com/a/chat/s/_blank" </w:instrText>
      </w:r>
      <w:r>
        <w:rPr>
          <w:rFonts w:hint="default" w:asciiTheme="minorEastAsia" w:hAnsiTheme="minorEastAsia" w:eastAsiaTheme="minorEastAsia" w:cstheme="minorEastAsia"/>
          <w:sz w:val="24"/>
          <w:szCs w:val="24"/>
          <w:lang w:val="en-US" w:eastAsia="zh-CN"/>
        </w:rPr>
        <w:fldChar w:fldCharType="separate"/>
      </w:r>
      <w:r>
        <w:rPr>
          <w:rFonts w:hint="default"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在量化投资与资产配置研究领域，“Regime（市场状态）”始终是核心概念，研究者通过不同状态描述市场在特定阶段呈现的相对稳定特征。清华大学与景顺（Invesco）2025年的联合研究表明，基于市场状态切换开展动态配置，可获得优于基准策略的收益、更优的风险调整后表现与更小的回撤</w:t>
      </w:r>
      <w:r>
        <w:rPr>
          <w:rFonts w:hint="default" w:asciiTheme="minorEastAsia" w:hAnsiTheme="minorEastAsia" w:eastAsiaTheme="minorEastAsia" w:cstheme="minorEastAsia"/>
          <w:sz w:val="24"/>
          <w:szCs w:val="24"/>
          <w:lang w:val="en-US" w:eastAsia="zh-CN"/>
        </w:rPr>
        <w:fldChar w:fldCharType="begin"/>
      </w:r>
      <w:r>
        <w:rPr>
          <w:rFonts w:hint="default" w:asciiTheme="minorEastAsia" w:hAnsiTheme="minorEastAsia" w:eastAsiaTheme="minorEastAsia" w:cstheme="minorEastAsia"/>
          <w:sz w:val="24"/>
          <w:szCs w:val="24"/>
          <w:lang w:val="en-US" w:eastAsia="zh-CN"/>
        </w:rPr>
        <w:instrText xml:space="preserve"> HYPERLINK "https://www.invesco.com/apac/en/institutional/insights/esg/tsinghua-invesco-research-dynamic-global-asset-allocation-in-an-uncertain-world.html" \t "https://chat.deepseek.com/a/chat/s/_blank" </w:instrText>
      </w:r>
      <w:r>
        <w:rPr>
          <w:rFonts w:hint="default" w:asciiTheme="minorEastAsia" w:hAnsiTheme="minorEastAsia" w:eastAsiaTheme="minorEastAsia" w:cstheme="minorEastAsia"/>
          <w:sz w:val="24"/>
          <w:szCs w:val="24"/>
          <w:lang w:val="en-US" w:eastAsia="zh-CN"/>
        </w:rPr>
        <w:fldChar w:fldCharType="separate"/>
      </w:r>
      <w:r>
        <w:rPr>
          <w:rFonts w:hint="default"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w:t>
      </w:r>
    </w:p>
    <w:p w14:paraId="4D881AF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基于上述结论，本项目构建了一套四维市场环境评分系统，可将复杂市场信息转化为直观、可操作的决策信号。</w:t>
      </w:r>
    </w:p>
    <w:p w14:paraId="401019D0">
      <w:pPr>
        <w:numPr>
          <w:ilvl w:val="0"/>
          <w:numId w:val="12"/>
        </w:numPr>
        <w:ind w:left="0" w:leftChars="0" w:firstLine="420" w:firstLineChars="0"/>
        <w:outlineLvl w:val="0"/>
        <w:rPr>
          <w:rFonts w:hint="default" w:ascii="黑体" w:hAnsi="黑体" w:eastAsia="黑体" w:cs="黑体"/>
          <w:sz w:val="30"/>
          <w:szCs w:val="30"/>
          <w:lang w:val="en-US" w:eastAsia="zh-CN"/>
        </w:rPr>
      </w:pPr>
      <w:bookmarkStart w:id="38" w:name="_Toc25792"/>
      <w:r>
        <w:rPr>
          <w:rFonts w:hint="eastAsia" w:ascii="黑体" w:hAnsi="黑体" w:eastAsia="黑体" w:cs="黑体"/>
          <w:sz w:val="30"/>
          <w:szCs w:val="30"/>
          <w:lang w:val="en-US" w:eastAsia="zh-CN"/>
        </w:rPr>
        <w:t>四维评分框架</w:t>
      </w:r>
      <w:bookmarkEnd w:id="38"/>
    </w:p>
    <w:p w14:paraId="708C6517">
      <w:pPr>
        <w:numPr>
          <w:ilvl w:val="0"/>
          <w:numId w:val="13"/>
        </w:numPr>
        <w:ind w:left="845" w:leftChars="0" w:hanging="425" w:firstLineChars="0"/>
        <w:outlineLvl w:val="1"/>
        <w:rPr>
          <w:rFonts w:hint="default" w:ascii="楷体" w:hAnsi="楷体" w:eastAsia="楷体" w:cs="楷体"/>
          <w:sz w:val="28"/>
          <w:szCs w:val="28"/>
          <w:lang w:val="en-US" w:eastAsia="zh-CN"/>
        </w:rPr>
      </w:pPr>
      <w:bookmarkStart w:id="39" w:name="_Toc15321"/>
      <w:r>
        <w:rPr>
          <w:rFonts w:hint="eastAsia" w:ascii="楷体" w:hAnsi="楷体" w:eastAsia="楷体" w:cs="楷体"/>
          <w:sz w:val="28"/>
          <w:szCs w:val="28"/>
          <w:lang w:val="en-US" w:eastAsia="zh-CN"/>
        </w:rPr>
        <w:t>框架设计理念</w:t>
      </w:r>
      <w:bookmarkEnd w:id="39"/>
    </w:p>
    <w:p w14:paraId="7A929DC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评分系统的设计遵循以下原则：全面性——覆盖影响资产配置的核心维度；可量化——各维度均设置明确的数据指标与计算公式；可解释——评分的每一单位变动均可追溯至具体市场信号；稳健性——所得结论对参数选择不敏感。</w:t>
      </w:r>
    </w:p>
    <w:p w14:paraId="004BEC7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本项目从估值、宏观、情绪、趋势四个维度构建评分体系，各维度权重如下：</w:t>
      </w:r>
    </w:p>
    <w:p w14:paraId="61ACBC1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评分体系</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77"/>
        <w:gridCol w:w="1045"/>
        <w:gridCol w:w="5091"/>
        <w:gridCol w:w="1550"/>
      </w:tblGrid>
      <w:tr w14:paraId="2169E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622A00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维度</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7FEBABC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权重</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275E2C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核心逻辑</w:t>
            </w:r>
          </w:p>
        </w:tc>
        <w:tc>
          <w:tcPr>
            <w:tcW w:w="1550"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D004E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数据频率</w:t>
            </w:r>
          </w:p>
        </w:tc>
      </w:tr>
      <w:tr w14:paraId="5CF63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4209DE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估值</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282FA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25%</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5EF44D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估值越低，安全边际越高，配置价值越大</w:t>
            </w:r>
          </w:p>
        </w:tc>
        <w:tc>
          <w:tcPr>
            <w:tcW w:w="1550" w:type="dxa"/>
            <w:tcBorders>
              <w:top w:val="single" w:color="000000" w:sz="4" w:space="0"/>
            </w:tcBorders>
            <w:shd w:val="clear" w:color="auto" w:fill="FFFFFF"/>
            <w:tcMar>
              <w:top w:w="100" w:type="dxa"/>
              <w:left w:w="160" w:type="dxa"/>
              <w:bottom w:w="100" w:type="dxa"/>
              <w:right w:w="0" w:type="dxa"/>
            </w:tcMar>
            <w:vAlign w:val="center"/>
          </w:tcPr>
          <w:p w14:paraId="248695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r>
      <w:tr w14:paraId="76042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014BCA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宏观</w:t>
            </w:r>
          </w:p>
        </w:tc>
        <w:tc>
          <w:tcPr>
            <w:tcW w:w="0" w:type="auto"/>
            <w:shd w:val="clear" w:color="auto" w:fill="FFFFFF"/>
            <w:tcMar>
              <w:top w:w="100" w:type="dxa"/>
              <w:left w:w="160" w:type="dxa"/>
              <w:bottom w:w="100" w:type="dxa"/>
              <w:right w:w="160" w:type="dxa"/>
            </w:tcMar>
            <w:vAlign w:val="center"/>
          </w:tcPr>
          <w:p w14:paraId="031C26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25%</w:t>
            </w:r>
          </w:p>
        </w:tc>
        <w:tc>
          <w:tcPr>
            <w:tcW w:w="0" w:type="auto"/>
            <w:shd w:val="clear" w:color="auto" w:fill="FFFFFF"/>
            <w:tcMar>
              <w:top w:w="100" w:type="dxa"/>
              <w:left w:w="160" w:type="dxa"/>
              <w:bottom w:w="100" w:type="dxa"/>
              <w:right w:w="160" w:type="dxa"/>
            </w:tcMar>
            <w:vAlign w:val="center"/>
          </w:tcPr>
          <w:p w14:paraId="7DB5E5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经济扩张期利好权益，收缩期需防御</w:t>
            </w:r>
          </w:p>
        </w:tc>
        <w:tc>
          <w:tcPr>
            <w:tcW w:w="1550" w:type="dxa"/>
            <w:shd w:val="clear" w:color="auto" w:fill="FFFFFF"/>
            <w:tcMar>
              <w:top w:w="100" w:type="dxa"/>
              <w:left w:w="160" w:type="dxa"/>
              <w:bottom w:w="100" w:type="dxa"/>
              <w:right w:w="0" w:type="dxa"/>
            </w:tcMar>
            <w:vAlign w:val="center"/>
          </w:tcPr>
          <w:p w14:paraId="7C2E9D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月频</w:t>
            </w:r>
          </w:p>
        </w:tc>
      </w:tr>
      <w:tr w14:paraId="6A3A6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B1C579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情绪</w:t>
            </w:r>
          </w:p>
        </w:tc>
        <w:tc>
          <w:tcPr>
            <w:tcW w:w="0" w:type="auto"/>
            <w:shd w:val="clear" w:color="auto" w:fill="FFFFFF"/>
            <w:tcMar>
              <w:top w:w="100" w:type="dxa"/>
              <w:left w:w="160" w:type="dxa"/>
              <w:bottom w:w="100" w:type="dxa"/>
              <w:right w:w="160" w:type="dxa"/>
            </w:tcMar>
            <w:vAlign w:val="center"/>
          </w:tcPr>
          <w:p w14:paraId="34E49B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w:t>
            </w:r>
          </w:p>
        </w:tc>
        <w:tc>
          <w:tcPr>
            <w:tcW w:w="0" w:type="auto"/>
            <w:shd w:val="clear" w:color="auto" w:fill="FFFFFF"/>
            <w:tcMar>
              <w:top w:w="100" w:type="dxa"/>
              <w:left w:w="160" w:type="dxa"/>
              <w:bottom w:w="100" w:type="dxa"/>
              <w:right w:w="160" w:type="dxa"/>
            </w:tcMar>
            <w:vAlign w:val="center"/>
          </w:tcPr>
          <w:p w14:paraId="239CE3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情绪极端时往往对应市场的转折点</w:t>
            </w:r>
          </w:p>
        </w:tc>
        <w:tc>
          <w:tcPr>
            <w:tcW w:w="1550" w:type="dxa"/>
            <w:shd w:val="clear" w:color="auto" w:fill="FFFFFF"/>
            <w:tcMar>
              <w:top w:w="100" w:type="dxa"/>
              <w:left w:w="160" w:type="dxa"/>
              <w:bottom w:w="100" w:type="dxa"/>
              <w:right w:w="0" w:type="dxa"/>
            </w:tcMar>
            <w:vAlign w:val="center"/>
          </w:tcPr>
          <w:p w14:paraId="1CABA5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r>
      <w:tr w14:paraId="265BE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77" w:type="dxa"/>
            <w:tcBorders>
              <w:bottom w:val="single" w:color="000000" w:sz="12" w:space="0"/>
            </w:tcBorders>
            <w:shd w:val="clear" w:color="auto" w:fill="FFFFFF"/>
            <w:tcMar>
              <w:top w:w="100" w:type="dxa"/>
              <w:left w:w="0" w:type="dxa"/>
              <w:bottom w:w="100" w:type="dxa"/>
              <w:right w:w="160" w:type="dxa"/>
            </w:tcMar>
            <w:vAlign w:val="center"/>
          </w:tcPr>
          <w:p w14:paraId="537E53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趋势</w:t>
            </w:r>
          </w:p>
        </w:tc>
        <w:tc>
          <w:tcPr>
            <w:tcW w:w="1045" w:type="dxa"/>
            <w:tcBorders>
              <w:bottom w:val="single" w:color="000000" w:sz="12" w:space="0"/>
            </w:tcBorders>
            <w:shd w:val="clear" w:color="auto" w:fill="FFFFFF"/>
            <w:tcMar>
              <w:top w:w="100" w:type="dxa"/>
              <w:left w:w="160" w:type="dxa"/>
              <w:bottom w:w="100" w:type="dxa"/>
              <w:right w:w="160" w:type="dxa"/>
            </w:tcMar>
            <w:vAlign w:val="center"/>
          </w:tcPr>
          <w:p w14:paraId="0C3CDD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30%</w:t>
            </w:r>
          </w:p>
        </w:tc>
        <w:tc>
          <w:tcPr>
            <w:tcW w:w="5091" w:type="dxa"/>
            <w:tcBorders>
              <w:bottom w:val="single" w:color="000000" w:sz="12" w:space="0"/>
            </w:tcBorders>
            <w:shd w:val="clear" w:color="auto" w:fill="FFFFFF"/>
            <w:tcMar>
              <w:top w:w="100" w:type="dxa"/>
              <w:left w:w="160" w:type="dxa"/>
              <w:bottom w:w="100" w:type="dxa"/>
              <w:right w:w="160" w:type="dxa"/>
            </w:tcMar>
            <w:vAlign w:val="center"/>
          </w:tcPr>
          <w:p w14:paraId="3967F2F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趋势一旦形成，短期不易逆转</w:t>
            </w:r>
          </w:p>
        </w:tc>
        <w:tc>
          <w:tcPr>
            <w:tcW w:w="1550" w:type="dxa"/>
            <w:tcBorders>
              <w:bottom w:val="single" w:color="000000" w:sz="12" w:space="0"/>
            </w:tcBorders>
            <w:shd w:val="clear" w:color="auto" w:fill="FFFFFF"/>
            <w:tcMar>
              <w:top w:w="100" w:type="dxa"/>
              <w:left w:w="160" w:type="dxa"/>
              <w:bottom w:w="100" w:type="dxa"/>
              <w:right w:w="0" w:type="dxa"/>
            </w:tcMar>
            <w:vAlign w:val="center"/>
          </w:tcPr>
          <w:p w14:paraId="1C37985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r>
    </w:tbl>
    <w:p w14:paraId="3B5E46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其中，趋势维度权重设定为30%，原因在于趋势跟踪是量化投资中长期有效的策略之一，价格趋势直接反映了市场参与者的集体行为，在短期至中期的配置决策中具有最强的预测力。</w:t>
      </w:r>
    </w:p>
    <w:p w14:paraId="2E6C7C21">
      <w:pPr>
        <w:numPr>
          <w:ilvl w:val="0"/>
          <w:numId w:val="13"/>
        </w:numPr>
        <w:ind w:left="845" w:leftChars="0" w:hanging="425" w:firstLineChars="0"/>
        <w:outlineLvl w:val="1"/>
        <w:rPr>
          <w:rFonts w:hint="default" w:ascii="楷体" w:hAnsi="楷体" w:eastAsia="楷体" w:cs="楷体"/>
          <w:sz w:val="28"/>
          <w:szCs w:val="28"/>
          <w:lang w:val="en-US" w:eastAsia="zh-CN"/>
        </w:rPr>
      </w:pPr>
      <w:bookmarkStart w:id="40" w:name="_Toc3956"/>
      <w:r>
        <w:rPr>
          <w:rFonts w:hint="eastAsia" w:ascii="楷体" w:hAnsi="楷体" w:eastAsia="楷体" w:cs="楷体"/>
          <w:sz w:val="28"/>
          <w:szCs w:val="28"/>
          <w:lang w:val="en-US" w:eastAsia="zh-CN"/>
        </w:rPr>
        <w:t>权重稳健性验证</w:t>
      </w:r>
      <w:bookmarkEnd w:id="40"/>
    </w:p>
    <w:p w14:paraId="581775E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验证权重设定的合理性，本项目开展权重敏感性分析：在±5%范围内对四个维度的权重进行随机扰动（共开展100次模拟），计算每次扰动后得到的市场状态标签与原始权重下状态标签的一致率。结果显示，状态标签一致率平均达94.3%，最低值为89.2%。这表明评分系统的结论对权重选择不敏感，本次权重设定在合理范围内具备稳健性。</w:t>
      </w:r>
    </w:p>
    <w:p w14:paraId="187D23F5">
      <w:pPr>
        <w:numPr>
          <w:ilvl w:val="0"/>
          <w:numId w:val="12"/>
        </w:numPr>
        <w:ind w:left="0" w:leftChars="0" w:firstLine="420" w:firstLineChars="0"/>
        <w:outlineLvl w:val="0"/>
        <w:rPr>
          <w:rFonts w:hint="default" w:ascii="黑体" w:hAnsi="黑体" w:eastAsia="黑体" w:cs="黑体"/>
          <w:sz w:val="30"/>
          <w:szCs w:val="30"/>
          <w:lang w:val="en-US" w:eastAsia="zh-CN"/>
        </w:rPr>
      </w:pPr>
      <w:bookmarkStart w:id="41" w:name="_Toc27422"/>
      <w:r>
        <w:rPr>
          <w:rFonts w:hint="eastAsia" w:ascii="黑体" w:hAnsi="黑体" w:eastAsia="黑体" w:cs="黑体"/>
          <w:sz w:val="30"/>
          <w:szCs w:val="30"/>
          <w:lang w:val="en-US" w:eastAsia="zh-CN"/>
        </w:rPr>
        <w:t>各维度打分函数</w:t>
      </w:r>
      <w:bookmarkEnd w:id="41"/>
    </w:p>
    <w:p w14:paraId="1F290D25">
      <w:pPr>
        <w:numPr>
          <w:ilvl w:val="0"/>
          <w:numId w:val="14"/>
        </w:numPr>
        <w:ind w:left="845" w:leftChars="0" w:hanging="425" w:firstLineChars="0"/>
        <w:outlineLvl w:val="1"/>
        <w:rPr>
          <w:rFonts w:hint="default" w:ascii="楷体" w:hAnsi="楷体" w:eastAsia="楷体" w:cs="楷体"/>
          <w:sz w:val="28"/>
          <w:szCs w:val="28"/>
          <w:lang w:val="en-US" w:eastAsia="zh-CN"/>
        </w:rPr>
      </w:pPr>
      <w:bookmarkStart w:id="42" w:name="_Toc28955"/>
      <w:r>
        <w:rPr>
          <w:rFonts w:hint="eastAsia" w:ascii="楷体" w:hAnsi="楷体" w:eastAsia="楷体" w:cs="楷体"/>
          <w:sz w:val="28"/>
          <w:szCs w:val="28"/>
          <w:lang w:val="en-US" w:eastAsia="zh-CN"/>
        </w:rPr>
        <w:t>估值维度（25分）</w:t>
      </w:r>
      <w:bookmarkEnd w:id="42"/>
    </w:p>
    <w:p w14:paraId="02639C6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估值维度用于衡量市场整体估值水平的高低。市盈率（PE）分位数是判断市场估值水位的常用指标，其数值越小，表明指数当前估值越低。当前市场普遍以30%、70%作为分界区间：当PE分位数处于30%以内时，估值处于较低水平，适宜买入；当PE分位数高于70%时，估值处于较高水平，应当卖出。</w:t>
      </w:r>
    </w:p>
    <w:p w14:paraId="22A301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w:t>
      </w:r>
      <w:r>
        <w:rPr>
          <w:rFonts w:hint="eastAsia" w:asciiTheme="minorEastAsia" w:hAnsiTheme="minorEastAsia" w:eastAsiaTheme="minorEastAsia" w:cstheme="minorEastAsia"/>
          <w:sz w:val="24"/>
          <w:szCs w:val="24"/>
          <w:lang w:val="en-US" w:eastAsia="zh-CN"/>
        </w:rPr>
        <w:t>选取</w:t>
      </w:r>
      <w:r>
        <w:rPr>
          <w:rFonts w:hint="default" w:asciiTheme="minorEastAsia" w:hAnsiTheme="minorEastAsia" w:eastAsiaTheme="minorEastAsia" w:cstheme="minorEastAsia"/>
          <w:sz w:val="24"/>
          <w:szCs w:val="24"/>
          <w:lang w:val="en-US" w:eastAsia="zh-CN"/>
        </w:rPr>
        <w:t>沪深300 PE的5年滚动历史分位数作为核心估值指标，采用市值加权口径</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打分逻辑如下：</w:t>
      </w:r>
    </w:p>
    <w:p w14:paraId="059376C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估值打分逻辑</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82"/>
        <w:gridCol w:w="1975"/>
        <w:gridCol w:w="2720"/>
        <w:gridCol w:w="2586"/>
      </w:tblGrid>
      <w:tr w14:paraId="1CCAA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B5907AE">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估值水平</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6712AC8">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PE分位数区间</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9052144">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得分</w:t>
            </w:r>
          </w:p>
        </w:tc>
        <w:tc>
          <w:tcPr>
            <w:tcW w:w="2586"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B6BC547">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含义</w:t>
            </w:r>
          </w:p>
        </w:tc>
      </w:tr>
      <w:tr w14:paraId="3349D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6BD7C4F7">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极度低估</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6DEAB8F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 30%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7BA9059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25分（满分）</w:t>
            </w:r>
          </w:p>
        </w:tc>
        <w:tc>
          <w:tcPr>
            <w:tcW w:w="2586" w:type="dxa"/>
            <w:tcBorders>
              <w:top w:val="single" w:color="000000" w:sz="4" w:space="0"/>
            </w:tcBorders>
            <w:shd w:val="clear" w:color="auto" w:fill="FFFFFF"/>
            <w:tcMar>
              <w:top w:w="100" w:type="dxa"/>
              <w:left w:w="160" w:type="dxa"/>
              <w:bottom w:w="100" w:type="dxa"/>
              <w:right w:w="0" w:type="dxa"/>
            </w:tcMar>
            <w:vAlign w:val="center"/>
          </w:tcPr>
          <w:p w14:paraId="49DF5B0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历史低位，安全边际高</w:t>
            </w:r>
          </w:p>
        </w:tc>
      </w:tr>
      <w:tr w14:paraId="68FB7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4AD1CB6">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估值适中</w:t>
            </w:r>
          </w:p>
        </w:tc>
        <w:tc>
          <w:tcPr>
            <w:tcW w:w="0" w:type="auto"/>
            <w:shd w:val="clear" w:color="auto" w:fill="FFFFFF"/>
            <w:tcMar>
              <w:top w:w="100" w:type="dxa"/>
              <w:left w:w="160" w:type="dxa"/>
              <w:bottom w:w="100" w:type="dxa"/>
              <w:right w:w="160" w:type="dxa"/>
            </w:tcMar>
            <w:vAlign w:val="center"/>
          </w:tcPr>
          <w:p w14:paraId="0EB96A6B">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30% – 70%</w:t>
            </w:r>
          </w:p>
        </w:tc>
        <w:tc>
          <w:tcPr>
            <w:tcW w:w="0" w:type="auto"/>
            <w:shd w:val="clear" w:color="auto" w:fill="FFFFFF"/>
            <w:tcMar>
              <w:top w:w="100" w:type="dxa"/>
              <w:left w:w="160" w:type="dxa"/>
              <w:bottom w:w="100" w:type="dxa"/>
              <w:right w:w="160" w:type="dxa"/>
            </w:tcMar>
            <w:vAlign w:val="center"/>
          </w:tcPr>
          <w:p w14:paraId="3FB229A9">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25分线性递减至0分</w:t>
            </w:r>
          </w:p>
        </w:tc>
        <w:tc>
          <w:tcPr>
            <w:tcW w:w="2586" w:type="dxa"/>
            <w:shd w:val="clear" w:color="auto" w:fill="FFFFFF"/>
            <w:tcMar>
              <w:top w:w="100" w:type="dxa"/>
              <w:left w:w="160" w:type="dxa"/>
              <w:bottom w:w="100" w:type="dxa"/>
              <w:right w:w="0" w:type="dxa"/>
            </w:tcMar>
            <w:vAlign w:val="center"/>
          </w:tcPr>
          <w:p w14:paraId="76621B20">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估值合理，中性配置</w:t>
            </w:r>
          </w:p>
        </w:tc>
      </w:tr>
      <w:tr w14:paraId="75612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2" w:type="dxa"/>
            <w:tcBorders>
              <w:bottom w:val="single" w:color="000000" w:sz="12" w:space="0"/>
            </w:tcBorders>
            <w:shd w:val="clear" w:color="auto" w:fill="FFFFFF"/>
            <w:tcMar>
              <w:top w:w="100" w:type="dxa"/>
              <w:left w:w="0" w:type="dxa"/>
              <w:bottom w:w="100" w:type="dxa"/>
              <w:right w:w="160" w:type="dxa"/>
            </w:tcMar>
            <w:vAlign w:val="center"/>
          </w:tcPr>
          <w:p w14:paraId="3B31A71D">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高估</w:t>
            </w:r>
          </w:p>
        </w:tc>
        <w:tc>
          <w:tcPr>
            <w:tcW w:w="1975" w:type="dxa"/>
            <w:tcBorders>
              <w:bottom w:val="single" w:color="000000" w:sz="12" w:space="0"/>
            </w:tcBorders>
            <w:shd w:val="clear" w:color="auto" w:fill="FFFFFF"/>
            <w:tcMar>
              <w:top w:w="100" w:type="dxa"/>
              <w:left w:w="160" w:type="dxa"/>
              <w:bottom w:w="100" w:type="dxa"/>
              <w:right w:w="160" w:type="dxa"/>
            </w:tcMar>
            <w:vAlign w:val="center"/>
          </w:tcPr>
          <w:p w14:paraId="4AC47305">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&gt; 70%</w:t>
            </w:r>
          </w:p>
        </w:tc>
        <w:tc>
          <w:tcPr>
            <w:tcW w:w="2720" w:type="dxa"/>
            <w:tcBorders>
              <w:bottom w:val="single" w:color="000000" w:sz="12" w:space="0"/>
            </w:tcBorders>
            <w:shd w:val="clear" w:color="auto" w:fill="FFFFFF"/>
            <w:tcMar>
              <w:top w:w="100" w:type="dxa"/>
              <w:left w:w="160" w:type="dxa"/>
              <w:bottom w:w="100" w:type="dxa"/>
              <w:right w:w="160" w:type="dxa"/>
            </w:tcMar>
            <w:vAlign w:val="center"/>
          </w:tcPr>
          <w:p w14:paraId="10D787C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0分</w:t>
            </w:r>
          </w:p>
        </w:tc>
        <w:tc>
          <w:tcPr>
            <w:tcW w:w="2586" w:type="dxa"/>
            <w:tcBorders>
              <w:bottom w:val="single" w:color="000000" w:sz="12" w:space="0"/>
            </w:tcBorders>
            <w:shd w:val="clear" w:color="auto" w:fill="FFFFFF"/>
            <w:vAlign w:val="center"/>
          </w:tcPr>
          <w:p w14:paraId="1FFD7C65">
            <w:pPr>
              <w:keepNext/>
              <w:snapToGrid w:val="0"/>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p>
        </w:tc>
      </w:tr>
    </w:tbl>
    <w:p w14:paraId="0DC6AE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得分函数：</w:t>
      </w:r>
    </w:p>
    <w:p w14:paraId="58B788F2">
      <w:pPr>
        <w:numPr>
          <w:ilvl w:val="0"/>
          <w:numId w:val="0"/>
        </w:numPr>
        <w:ind w:left="420" w:leftChars="0"/>
        <w:rPr>
          <w:rFonts w:hint="default" w:hAnsi="Cambria Math" w:eastAsia="楷体" w:cs="楷体"/>
          <w:i w:val="0"/>
          <w:kern w:val="2"/>
          <w:sz w:val="28"/>
          <w:szCs w:val="28"/>
          <w:lang w:val="en-US" w:eastAsia="zh-CN" w:bidi="ar-SA"/>
        </w:rPr>
      </w:pPr>
      <m:oMathPara>
        <m:oMath>
          <m:r>
            <m:rPr/>
            <w:rPr>
              <w:rFonts w:hint="default" w:ascii="Cambria Math" w:hAnsi="Cambria Math" w:eastAsia="楷体" w:cs="楷体"/>
              <w:kern w:val="2"/>
              <w:sz w:val="28"/>
              <w:szCs w:val="28"/>
              <w:lang w:val="en-US" w:eastAsia="zh-CN" w:bidi="ar-SA"/>
            </w:rPr>
            <m:t>calc_val_score(pe_pct)=25</m:t>
          </m:r>
          <m:r>
            <m:rPr/>
            <w:rPr>
              <w:rFonts w:hint="eastAsia" w:ascii="Cambria Math" w:hAnsi="Cambria Math" w:eastAsia="楷体" w:cs="楷体"/>
              <w:kern w:val="2"/>
              <w:sz w:val="28"/>
              <w:szCs w:val="28"/>
              <w:lang w:val="en-US" w:eastAsia="zh-CN" w:bidi="ar-SA"/>
            </w:rPr>
            <m:t>✕</m:t>
          </m:r>
          <m:r>
            <m:rPr/>
            <w:rPr>
              <w:rFonts w:hint="default" w:ascii="Cambria Math" w:hAnsi="Cambria Math" w:eastAsia="楷体" w:cs="楷体"/>
              <w:kern w:val="2"/>
              <w:sz w:val="28"/>
              <w:szCs w:val="28"/>
              <w:lang w:val="en-US" w:eastAsia="zh-CN" w:bidi="ar-SA"/>
            </w:rPr>
            <m:t>(1−</m:t>
          </m:r>
          <m:f>
            <m:fPr>
              <m:ctrlPr>
                <w:rPr>
                  <w:rFonts w:hint="default" w:ascii="Cambria Math" w:hAnsi="Cambria Math" w:eastAsia="楷体" w:cs="楷体"/>
                  <w:i/>
                  <w:kern w:val="2"/>
                  <w:sz w:val="28"/>
                  <w:szCs w:val="28"/>
                  <w:lang w:val="en-US" w:eastAsia="zh-CN" w:bidi="ar-SA"/>
                </w:rPr>
              </m:ctrlPr>
            </m:fPr>
            <m:num>
              <m:r>
                <m:rPr/>
                <w:rPr>
                  <w:rFonts w:hint="default" w:ascii="Cambria Math" w:hAnsi="Cambria Math" w:eastAsia="楷体" w:cs="楷体"/>
                  <w:kern w:val="2"/>
                  <w:sz w:val="28"/>
                  <w:szCs w:val="28"/>
                  <w:lang w:val="en-US" w:eastAsia="zh-CN" w:bidi="ar-SA"/>
                </w:rPr>
                <m:t>pe_pet−0.30</m:t>
              </m:r>
              <m:ctrlPr>
                <w:rPr>
                  <w:rFonts w:hint="default" w:ascii="Cambria Math" w:hAnsi="Cambria Math" w:eastAsia="楷体" w:cs="楷体"/>
                  <w:i/>
                  <w:kern w:val="2"/>
                  <w:sz w:val="28"/>
                  <w:szCs w:val="28"/>
                  <w:lang w:val="en-US" w:eastAsia="zh-CN" w:bidi="ar-SA"/>
                </w:rPr>
              </m:ctrlPr>
            </m:num>
            <m:den>
              <m:r>
                <m:rPr/>
                <w:rPr>
                  <w:rFonts w:hint="default" w:ascii="Cambria Math" w:hAnsi="Cambria Math" w:eastAsia="楷体" w:cs="楷体"/>
                  <w:kern w:val="2"/>
                  <w:sz w:val="28"/>
                  <w:szCs w:val="28"/>
                  <w:lang w:val="en-US" w:eastAsia="zh-CN" w:bidi="ar-SA"/>
                </w:rPr>
                <m:t>0.40</m:t>
              </m:r>
              <m:ctrlPr>
                <w:rPr>
                  <w:rFonts w:hint="default" w:ascii="Cambria Math" w:hAnsi="Cambria Math" w:eastAsia="楷体" w:cs="楷体"/>
                  <w:i/>
                  <w:kern w:val="2"/>
                  <w:sz w:val="28"/>
                  <w:szCs w:val="28"/>
                  <w:lang w:val="en-US" w:eastAsia="zh-CN" w:bidi="ar-SA"/>
                </w:rPr>
              </m:ctrlPr>
            </m:den>
          </m:f>
          <m:r>
            <m:rPr/>
            <w:rPr>
              <w:rFonts w:hint="default" w:ascii="Cambria Math" w:hAnsi="Cambria Math" w:eastAsia="楷体" w:cs="楷体"/>
              <w:kern w:val="2"/>
              <w:sz w:val="28"/>
              <w:szCs w:val="28"/>
              <w:lang w:val="en-US" w:eastAsia="zh-CN" w:bidi="ar-SA"/>
            </w:rPr>
            <m:t>)   0.30</m:t>
          </m:r>
          <m:r>
            <m:rPr/>
            <w:rPr>
              <w:rFonts w:hint="eastAsia" w:ascii="Cambria Math" w:hAnsi="Cambria Math" w:eastAsia="楷体" w:cs="楷体"/>
              <w:kern w:val="2"/>
              <w:sz w:val="28"/>
              <w:szCs w:val="28"/>
              <w:lang w:val="en-US" w:eastAsia="zh-CN" w:bidi="ar-SA"/>
            </w:rPr>
            <m:t>＜</m:t>
          </m:r>
          <m:r>
            <m:rPr/>
            <w:rPr>
              <w:rFonts w:hint="default" w:ascii="Cambria Math" w:hAnsi="Cambria Math" w:eastAsia="楷体" w:cs="楷体"/>
              <w:kern w:val="2"/>
              <w:sz w:val="28"/>
              <w:szCs w:val="28"/>
              <w:lang w:val="en-US" w:eastAsia="zh-CN" w:bidi="ar-SA"/>
            </w:rPr>
            <m:t>pe_pct</m:t>
          </m:r>
          <m:r>
            <m:rPr/>
            <w:rPr>
              <w:rFonts w:hint="eastAsia" w:ascii="Cambria Math" w:hAnsi="Cambria Math" w:eastAsia="楷体" w:cs="楷体"/>
              <w:kern w:val="2"/>
              <w:sz w:val="28"/>
              <w:szCs w:val="28"/>
              <w:lang w:val="en-US" w:eastAsia="zh-CN" w:bidi="ar-SA"/>
            </w:rPr>
            <m:t>＜</m:t>
          </m:r>
          <m:r>
            <m:rPr/>
            <w:rPr>
              <w:rFonts w:hint="default" w:ascii="Cambria Math" w:hAnsi="Cambria Math" w:eastAsia="楷体" w:cs="楷体"/>
              <w:kern w:val="2"/>
              <w:sz w:val="28"/>
              <w:szCs w:val="28"/>
              <w:lang w:val="en-US" w:eastAsia="zh-CN" w:bidi="ar-SA"/>
            </w:rPr>
            <m:t>0.70</m:t>
          </m:r>
        </m:oMath>
      </m:oMathPara>
    </w:p>
    <w:p w14:paraId="5595F54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说明：估值维度仅</w:t>
      </w:r>
      <w:r>
        <w:rPr>
          <w:rFonts w:hint="eastAsia" w:asciiTheme="minorEastAsia" w:hAnsiTheme="minorEastAsia" w:eastAsiaTheme="minorEastAsia" w:cstheme="minorEastAsia"/>
          <w:sz w:val="24"/>
          <w:szCs w:val="24"/>
          <w:lang w:val="en-US" w:eastAsia="zh-CN"/>
        </w:rPr>
        <w:t>针对</w:t>
      </w:r>
      <w:r>
        <w:rPr>
          <w:rFonts w:hint="default" w:asciiTheme="minorEastAsia" w:hAnsiTheme="minorEastAsia" w:eastAsiaTheme="minorEastAsia" w:cstheme="minorEastAsia"/>
          <w:sz w:val="24"/>
          <w:szCs w:val="24"/>
          <w:lang w:val="en-US" w:eastAsia="zh-CN"/>
        </w:rPr>
        <w:t>沪深300、中证500、科创50三只核心宽基ETF计算估值分</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卫星资产（消费、芯片）的估值信息</w:t>
      </w:r>
      <w:r>
        <w:rPr>
          <w:rFonts w:hint="eastAsia" w:asciiTheme="minorEastAsia" w:hAnsiTheme="minorEastAsia" w:eastAsiaTheme="minorEastAsia" w:cstheme="minorEastAsia"/>
          <w:sz w:val="24"/>
          <w:szCs w:val="24"/>
          <w:lang w:val="en-US" w:eastAsia="zh-CN"/>
        </w:rPr>
        <w:t>仅作参考</w:t>
      </w:r>
      <w:r>
        <w:rPr>
          <w:rFonts w:hint="default" w:asciiTheme="minorEastAsia" w:hAnsiTheme="minorEastAsia" w:eastAsiaTheme="minorEastAsia" w:cstheme="minorEastAsia"/>
          <w:sz w:val="24"/>
          <w:szCs w:val="24"/>
          <w:lang w:val="en-US" w:eastAsia="zh-CN"/>
        </w:rPr>
        <w:t>，不直接参与评分计算。</w:t>
      </w:r>
    </w:p>
    <w:p w14:paraId="1DAE6E88">
      <w:pPr>
        <w:numPr>
          <w:ilvl w:val="0"/>
          <w:numId w:val="14"/>
        </w:numPr>
        <w:ind w:left="845" w:leftChars="0" w:hanging="425" w:firstLineChars="0"/>
        <w:outlineLvl w:val="1"/>
        <w:rPr>
          <w:rFonts w:hint="default" w:ascii="楷体" w:hAnsi="楷体" w:eastAsia="楷体" w:cs="楷体"/>
          <w:sz w:val="28"/>
          <w:szCs w:val="28"/>
          <w:lang w:val="en-US" w:eastAsia="zh-CN"/>
        </w:rPr>
      </w:pPr>
      <w:bookmarkStart w:id="43" w:name="_Toc32486"/>
      <w:r>
        <w:rPr>
          <w:rFonts w:hint="eastAsia" w:ascii="楷体" w:hAnsi="楷体" w:eastAsia="楷体" w:cs="楷体"/>
          <w:sz w:val="28"/>
          <w:szCs w:val="28"/>
          <w:lang w:val="en-US" w:eastAsia="zh-CN"/>
        </w:rPr>
        <w:t>宏观维度（25分）</w:t>
      </w:r>
      <w:bookmarkEnd w:id="43"/>
    </w:p>
    <w:p w14:paraId="4448161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宏观维度用于衡量经济基本面的景气程度，本项目从经济增长预期和利率期限结构两个维度评估宏观环境：</w:t>
      </w:r>
    </w:p>
    <w:p w14:paraId="432B6E32">
      <w:pPr>
        <w:keepNext w:val="0"/>
        <w:keepLines w:val="0"/>
        <w:pageBreakBefore w:val="0"/>
        <w:widowControl w:val="0"/>
        <w:numPr>
          <w:ilvl w:val="0"/>
          <w:numId w:val="15"/>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sz w:val="24"/>
          <w:szCs w:val="24"/>
          <w:lang w:val="en-US" w:eastAsia="zh-CN"/>
        </w:rPr>
        <w:t>PMI（采购经理指数）：以50作为经济景气荣枯分界线。PMI大于50，表示制造业处于扩张区间，经济景气度上行；PMI小于50，表示制造业处于收缩区间。PMI高于52对应较强扩张状态，低于48对应明显收缩状态。</w:t>
      </w:r>
    </w:p>
    <w:p w14:paraId="60CB33CE">
      <w:pPr>
        <w:keepNext w:val="0"/>
        <w:keepLines w:val="0"/>
        <w:pageBreakBefore w:val="0"/>
        <w:widowControl w:val="0"/>
        <w:numPr>
          <w:ilvl w:val="0"/>
          <w:numId w:val="15"/>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10Y-2Y国债期限利差：利差走阔表明市场对长期经济预期</w:t>
      </w:r>
      <w:r>
        <w:rPr>
          <w:rFonts w:hint="eastAsia" w:asciiTheme="minorEastAsia" w:hAnsiTheme="minorEastAsia" w:eastAsiaTheme="minorEastAsia" w:cstheme="minorEastAsia"/>
          <w:sz w:val="24"/>
          <w:szCs w:val="24"/>
          <w:lang w:val="en-US" w:eastAsia="zh-CN"/>
        </w:rPr>
        <w:t>偏乐</w:t>
      </w:r>
      <w:r>
        <w:rPr>
          <w:rFonts w:hint="default" w:asciiTheme="minorEastAsia" w:hAnsiTheme="minorEastAsia" w:eastAsiaTheme="minorEastAsia" w:cstheme="minorEastAsia"/>
          <w:sz w:val="24"/>
          <w:szCs w:val="24"/>
          <w:lang w:val="en-US" w:eastAsia="zh-CN"/>
        </w:rPr>
        <w:t>观，利差收窄甚至倒挂则预示经济</w:t>
      </w:r>
      <w:r>
        <w:rPr>
          <w:rFonts w:hint="eastAsia" w:asciiTheme="minorEastAsia" w:hAnsiTheme="minorEastAsia" w:cstheme="minorEastAsia"/>
          <w:sz w:val="24"/>
          <w:szCs w:val="24"/>
          <w:lang w:val="en-US" w:eastAsia="zh-CN"/>
        </w:rPr>
        <w:t>存在</w:t>
      </w:r>
      <w:r>
        <w:rPr>
          <w:rFonts w:hint="default" w:asciiTheme="minorEastAsia" w:hAnsiTheme="minorEastAsia" w:eastAsiaTheme="minorEastAsia" w:cstheme="minorEastAsia"/>
          <w:sz w:val="24"/>
          <w:szCs w:val="24"/>
          <w:lang w:val="en-US" w:eastAsia="zh-CN"/>
        </w:rPr>
        <w:t>衰退风险。</w:t>
      </w:r>
    </w:p>
    <w:p w14:paraId="6E4763AB">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宏观维度计算公式</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2"/>
        <w:gridCol w:w="4080"/>
        <w:gridCol w:w="1547"/>
      </w:tblGrid>
      <w:tr w14:paraId="3AC8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000000" w:sz="12" w:space="0"/>
              <w:left w:val="nil"/>
              <w:bottom w:val="single" w:color="000000" w:sz="4" w:space="0"/>
              <w:right w:val="nil"/>
              <w:tl2br w:val="nil"/>
            </w:tcBorders>
            <w:shd w:val="clear" w:color="auto" w:fill="FFFFFF"/>
            <w:vAlign w:val="center"/>
          </w:tcPr>
          <w:p w14:paraId="2AC0A3B1">
            <w:pPr>
              <w:keepNext w:val="0"/>
              <w:keepLines w:val="0"/>
              <w:widowControl/>
              <w:numPr>
                <w:ilvl w:val="0"/>
                <w:numId w:val="0"/>
              </w:numPr>
              <w:suppressLineNumbers w:val="0"/>
              <w:snapToGrid w:val="0"/>
              <w:spacing w:before="60" w:beforeAutospacing="0" w:after="0" w:afterAutospacing="1"/>
              <w:ind w:left="-360" w:leftChars="0"/>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lang w:val="en-US" w:eastAsia="zh-CN" w:bidi="ar-SA"/>
                  </w:rPr>
                  <m:t>calc_macro_score(pmi,spread)</m:t>
                </m:r>
              </m:oMath>
            </m:oMathPara>
          </w:p>
          <w:p w14:paraId="41AA271E">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0" w:type="auto"/>
            <w:tcBorders>
              <w:top w:val="single" w:color="000000" w:sz="12" w:space="0"/>
              <w:left w:val="nil"/>
              <w:bottom w:val="single" w:color="000000" w:sz="4" w:space="0"/>
              <w:right w:val="nil"/>
            </w:tcBorders>
            <w:shd w:val="clear" w:color="auto" w:fill="FFFFFF"/>
            <w:vAlign w:val="center"/>
          </w:tcPr>
          <w:p w14:paraId="4789A1D8">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vertAlign w:val="baseline"/>
                    <w:lang w:val="en-US" w:eastAsia="zh-CN" w:bidi="ar-SA"/>
                  </w:rPr>
                  <m:t>15+10✕min(spread/1.0,1)</m:t>
                </m:r>
              </m:oMath>
            </m:oMathPara>
          </w:p>
        </w:tc>
        <w:tc>
          <w:tcPr>
            <w:tcW w:w="1547" w:type="dxa"/>
            <w:tcBorders>
              <w:top w:val="single" w:color="000000" w:sz="12" w:space="0"/>
              <w:left w:val="nil"/>
              <w:bottom w:val="single" w:color="000000" w:sz="4" w:space="0"/>
              <w:right w:val="nil"/>
            </w:tcBorders>
            <w:shd w:val="clear" w:color="auto" w:fill="FFFFFF"/>
            <w:vAlign w:val="center"/>
          </w:tcPr>
          <w:p w14:paraId="42F9D642">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pmi≥52</m:t>
                </m:r>
              </m:oMath>
            </m:oMathPara>
          </w:p>
        </w:tc>
      </w:tr>
      <w:tr w14:paraId="6FC7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nil"/>
              <w:bottom w:val="nil"/>
              <w:right w:val="nil"/>
            </w:tcBorders>
            <w:shd w:val="clear" w:color="auto" w:fill="FFFFFF"/>
            <w:vAlign w:val="center"/>
          </w:tcPr>
          <w:p w14:paraId="38826E2C">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0" w:type="auto"/>
            <w:tcBorders>
              <w:top w:val="single" w:color="000000" w:sz="4" w:space="0"/>
              <w:left w:val="nil"/>
              <w:bottom w:val="nil"/>
              <w:right w:val="nil"/>
            </w:tcBorders>
            <w:shd w:val="clear" w:color="auto" w:fill="FFFFFF"/>
            <w:vAlign w:val="center"/>
          </w:tcPr>
          <w:p w14:paraId="09BAD86E">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f>
                  <m:fPr>
                    <m:ctrlPr>
                      <w:rPr>
                        <w:rFonts w:hint="eastAsia" w:ascii="Cambria Math" w:hAnsi="Cambria Math" w:eastAsiaTheme="minorEastAsia" w:cstheme="minorEastAsia"/>
                        <w:b w:val="0"/>
                        <w:i/>
                        <w:color w:val="000000"/>
                        <w:kern w:val="2"/>
                        <w:sz w:val="21"/>
                        <w:szCs w:val="21"/>
                        <w:vertAlign w:val="baseline"/>
                        <w:lang w:val="en-US" w:eastAsia="zh-CN" w:bidi="ar-SA"/>
                      </w:rPr>
                    </m:ctrlPr>
                  </m:fPr>
                  <m:num>
                    <m:r>
                      <m:rPr/>
                      <w:rPr>
                        <w:rFonts w:hint="eastAsia" w:ascii="Cambria Math" w:hAnsi="Cambria Math" w:eastAsiaTheme="minorEastAsia" w:cstheme="minorEastAsia"/>
                        <w:color w:val="000000"/>
                        <w:kern w:val="2"/>
                        <w:sz w:val="21"/>
                        <w:szCs w:val="21"/>
                        <w:vertAlign w:val="baseline"/>
                        <w:lang w:val="en-US" w:eastAsia="zh-CN" w:bidi="ar-SA"/>
                      </w:rPr>
                      <m:t>pmi−48</m:t>
                    </m:r>
                    <m:ctrlPr>
                      <w:rPr>
                        <w:rFonts w:hint="eastAsia" w:ascii="Cambria Math" w:hAnsi="Cambria Math" w:eastAsiaTheme="minorEastAsia" w:cstheme="minorEastAsia"/>
                        <w:b w:val="0"/>
                        <w:i/>
                        <w:color w:val="000000"/>
                        <w:kern w:val="2"/>
                        <w:sz w:val="21"/>
                        <w:szCs w:val="21"/>
                        <w:vertAlign w:val="baseline"/>
                        <w:lang w:val="en-US" w:eastAsia="zh-CN" w:bidi="ar-SA"/>
                      </w:rPr>
                    </m:ctrlPr>
                  </m:num>
                  <m:den>
                    <m:r>
                      <m:rPr/>
                      <w:rPr>
                        <w:rFonts w:hint="eastAsia" w:ascii="Cambria Math" w:hAnsi="Cambria Math" w:eastAsiaTheme="minorEastAsia" w:cstheme="minorEastAsia"/>
                        <w:color w:val="000000"/>
                        <w:kern w:val="2"/>
                        <w:sz w:val="21"/>
                        <w:szCs w:val="21"/>
                        <w:vertAlign w:val="baseline"/>
                        <w:lang w:val="en-US" w:eastAsia="zh-CN" w:bidi="ar-SA"/>
                      </w:rPr>
                      <m:t>4</m:t>
                    </m:r>
                    <m:ctrlPr>
                      <w:rPr>
                        <w:rFonts w:hint="eastAsia" w:ascii="Cambria Math" w:hAnsi="Cambria Math" w:eastAsiaTheme="minorEastAsia" w:cstheme="minorEastAsia"/>
                        <w:b w:val="0"/>
                        <w:i/>
                        <w:color w:val="000000"/>
                        <w:kern w:val="2"/>
                        <w:sz w:val="21"/>
                        <w:szCs w:val="21"/>
                        <w:vertAlign w:val="baseline"/>
                        <w:lang w:val="en-US" w:eastAsia="zh-CN" w:bidi="ar-SA"/>
                      </w:rPr>
                    </m:ctrlPr>
                  </m:den>
                </m:f>
                <m:r>
                  <m:rPr/>
                  <w:rPr>
                    <w:rFonts w:hint="eastAsia" w:ascii="Cambria Math" w:hAnsi="Cambria Math" w:eastAsiaTheme="minorEastAsia" w:cstheme="minorEastAsia"/>
                    <w:color w:val="000000"/>
                    <w:kern w:val="2"/>
                    <w:sz w:val="21"/>
                    <w:szCs w:val="21"/>
                    <w:vertAlign w:val="baseline"/>
                    <w:lang w:val="en-US" w:eastAsia="zh-CN" w:bidi="ar-SA"/>
                  </w:rPr>
                  <m:t>✕15+10✕min(spread/1.0,1)</m:t>
                </m:r>
              </m:oMath>
            </m:oMathPara>
          </w:p>
        </w:tc>
        <w:tc>
          <w:tcPr>
            <w:tcW w:w="1547" w:type="dxa"/>
            <w:tcBorders>
              <w:top w:val="single" w:color="000000" w:sz="4" w:space="0"/>
              <w:left w:val="nil"/>
              <w:bottom w:val="nil"/>
              <w:right w:val="nil"/>
            </w:tcBorders>
            <w:shd w:val="clear" w:color="auto" w:fill="FFFFFF"/>
            <w:vAlign w:val="center"/>
          </w:tcPr>
          <w:p w14:paraId="1CED2073">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vertAlign w:val="baseline"/>
                    <w:lang w:val="en-US" w:eastAsia="zh-CN" w:bidi="ar-SA"/>
                  </w:rPr>
                  <m:t>48＜pmi＜52</m:t>
                </m:r>
              </m:oMath>
            </m:oMathPara>
          </w:p>
        </w:tc>
      </w:tr>
      <w:tr w14:paraId="5DA5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92" w:type="dxa"/>
            <w:vMerge w:val="continue"/>
            <w:tcBorders>
              <w:top w:val="nil"/>
              <w:left w:val="nil"/>
              <w:bottom w:val="single" w:color="000000" w:sz="12" w:space="0"/>
              <w:right w:val="nil"/>
            </w:tcBorders>
            <w:shd w:val="clear" w:color="auto" w:fill="FFFFFF"/>
            <w:vAlign w:val="center"/>
          </w:tcPr>
          <w:p w14:paraId="56A2C639">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4080" w:type="dxa"/>
            <w:tcBorders>
              <w:top w:val="nil"/>
              <w:left w:val="nil"/>
              <w:bottom w:val="single" w:color="000000" w:sz="12" w:space="0"/>
              <w:right w:val="nil"/>
            </w:tcBorders>
            <w:shd w:val="clear" w:color="auto" w:fill="FFFFFF"/>
            <w:vAlign w:val="center"/>
          </w:tcPr>
          <w:p w14:paraId="47E33806">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vertAlign w:val="baseline"/>
                    <w:lang w:val="en-US" w:eastAsia="zh-CN" w:bidi="ar-SA"/>
                  </w:rPr>
                  <m:t>0+10✕min(spread/1.0,1)</m:t>
                </m:r>
              </m:oMath>
            </m:oMathPara>
          </w:p>
        </w:tc>
        <w:tc>
          <w:tcPr>
            <w:tcW w:w="1547" w:type="dxa"/>
            <w:tcBorders>
              <w:top w:val="nil"/>
              <w:left w:val="nil"/>
              <w:bottom w:val="single" w:color="000000" w:sz="12" w:space="0"/>
              <w:right w:val="nil"/>
            </w:tcBorders>
            <w:shd w:val="clear" w:color="auto" w:fill="FFFFFF"/>
            <w:vAlign w:val="center"/>
          </w:tcPr>
          <w:p w14:paraId="133A34E6">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pmi≤48</m:t>
                </m:r>
              </m:oMath>
            </m:oMathPara>
          </w:p>
        </w:tc>
      </w:tr>
    </w:tbl>
    <w:p w14:paraId="26E9AFF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m:oMathPara>
        <m:oMath>
          <m:r>
            <m:rPr>
              <m:sty m:val="p"/>
            </m:rPr>
            <w:rPr>
              <w:rFonts w:hint="eastAsia" w:ascii="Cambria Math" w:hAnsi="Cambria Math" w:eastAsiaTheme="minorEastAsia" w:cstheme="minorEastAsia"/>
              <w:sz w:val="24"/>
              <w:szCs w:val="24"/>
              <w:lang w:val="en-US" w:eastAsia="zh-CN"/>
            </w:rPr>
            <m:t>宏观维度得分</m:t>
          </m:r>
          <m:r>
            <m:rPr>
              <m:sty m:val="p"/>
            </m:rPr>
            <w:rPr>
              <w:rFonts w:hint="default" w:ascii="Cambria Math" w:hAnsi="Cambria Math" w:eastAsiaTheme="minorEastAsia" w:cstheme="minorEastAsia"/>
              <w:sz w:val="24"/>
              <w:szCs w:val="24"/>
              <w:lang w:val="en-US" w:eastAsia="zh-CN"/>
            </w:rPr>
            <m:t>=PMI</m:t>
          </m:r>
          <m:r>
            <m:rPr>
              <m:sty m:val="p"/>
            </m:rPr>
            <w:rPr>
              <w:rFonts w:hint="eastAsia" w:ascii="Cambria Math" w:hAnsi="Cambria Math" w:eastAsiaTheme="minorEastAsia" w:cstheme="minorEastAsia"/>
              <w:sz w:val="24"/>
              <w:szCs w:val="24"/>
              <w:lang w:val="en-US" w:eastAsia="zh-CN"/>
            </w:rPr>
            <m:t>得分（</m:t>
          </m:r>
          <m:r>
            <m:rPr>
              <m:sty m:val="p"/>
            </m:rPr>
            <w:rPr>
              <w:rFonts w:hint="default" w:ascii="Cambria Math" w:hAnsi="Cambria Math" w:eastAsiaTheme="minorEastAsia" w:cstheme="minorEastAsia"/>
              <w:sz w:val="24"/>
              <w:szCs w:val="24"/>
              <w:lang w:val="en-US" w:eastAsia="zh-CN"/>
            </w:rPr>
            <m:t>0−15</m:t>
          </m:r>
          <m:r>
            <m:rPr>
              <m:sty m:val="p"/>
            </m:rPr>
            <w:rPr>
              <w:rFonts w:hint="eastAsia" w:ascii="Cambria Math" w:hAnsi="Cambria Math" w:eastAsiaTheme="minorEastAsia" w:cstheme="minorEastAsia"/>
              <w:sz w:val="24"/>
              <w:szCs w:val="24"/>
              <w:lang w:val="en-US" w:eastAsia="zh-CN"/>
            </w:rPr>
            <m:t>分）</m:t>
          </m:r>
          <m:r>
            <m:rPr>
              <m:sty m:val="p"/>
            </m:rPr>
            <w:rPr>
              <w:rFonts w:hint="default" w:ascii="Cambria Math" w:hAnsi="Cambria Math" w:eastAsiaTheme="minorEastAsia" w:cstheme="minorEastAsia"/>
              <w:sz w:val="24"/>
              <w:szCs w:val="24"/>
              <w:lang w:val="en-US" w:eastAsia="zh-CN"/>
            </w:rPr>
            <m:t>+</m:t>
          </m:r>
          <m:r>
            <m:rPr>
              <m:sty m:val="p"/>
            </m:rPr>
            <w:rPr>
              <w:rFonts w:hint="eastAsia" w:ascii="Cambria Math" w:hAnsi="Cambria Math" w:eastAsiaTheme="minorEastAsia" w:cstheme="minorEastAsia"/>
              <w:sz w:val="24"/>
              <w:szCs w:val="24"/>
              <w:lang w:val="en-US" w:eastAsia="zh-CN"/>
            </w:rPr>
            <m:t>期限利差得分（</m:t>
          </m:r>
          <m:r>
            <m:rPr>
              <m:sty m:val="p"/>
            </m:rPr>
            <w:rPr>
              <w:rFonts w:hint="default" w:ascii="Cambria Math" w:hAnsi="Cambria Math" w:eastAsiaTheme="minorEastAsia" w:cstheme="minorEastAsia"/>
              <w:sz w:val="24"/>
              <w:szCs w:val="24"/>
              <w:lang w:val="en-US" w:eastAsia="zh-CN"/>
            </w:rPr>
            <m:t>0−10</m:t>
          </m:r>
          <m:r>
            <m:rPr>
              <m:sty m:val="p"/>
            </m:rPr>
            <w:rPr>
              <w:rFonts w:hint="eastAsia" w:ascii="Cambria Math" w:hAnsi="Cambria Math" w:eastAsiaTheme="minorEastAsia" w:cstheme="minorEastAsia"/>
              <w:sz w:val="24"/>
              <w:szCs w:val="24"/>
              <w:lang w:val="en-US" w:eastAsia="zh-CN"/>
            </w:rPr>
            <m:t>分）</m:t>
          </m:r>
        </m:oMath>
      </m:oMathPara>
    </w:p>
    <w:p w14:paraId="58200A28">
      <w:pPr>
        <w:numPr>
          <w:ilvl w:val="0"/>
          <w:numId w:val="14"/>
        </w:numPr>
        <w:ind w:left="845" w:leftChars="0" w:hanging="425" w:firstLineChars="0"/>
        <w:outlineLvl w:val="1"/>
        <w:rPr>
          <w:rFonts w:hint="default" w:ascii="楷体" w:hAnsi="楷体" w:eastAsia="楷体" w:cs="楷体"/>
          <w:sz w:val="28"/>
          <w:szCs w:val="28"/>
          <w:lang w:val="en-US" w:eastAsia="zh-CN"/>
        </w:rPr>
      </w:pPr>
      <w:bookmarkStart w:id="44" w:name="_Toc30263"/>
      <w:r>
        <w:rPr>
          <w:rFonts w:hint="eastAsia" w:ascii="楷体" w:hAnsi="楷体" w:eastAsia="楷体" w:cs="楷体"/>
          <w:sz w:val="28"/>
          <w:szCs w:val="28"/>
          <w:lang w:val="en-US" w:eastAsia="zh-CN"/>
        </w:rPr>
        <w:t>情绪维度（20分）</w:t>
      </w:r>
      <w:bookmarkEnd w:id="44"/>
    </w:p>
    <w:p w14:paraId="652271A8">
      <w:pPr>
        <w:numPr>
          <w:ilvl w:val="0"/>
          <w:numId w:val="0"/>
        </w:numPr>
        <w:ind w:left="420" w:leftChars="0"/>
        <w:rPr>
          <w:rFonts w:hint="default" w:ascii="楷体" w:hAnsi="楷体" w:eastAsia="楷体" w:cs="楷体"/>
          <w:sz w:val="28"/>
          <w:szCs w:val="28"/>
          <w:lang w:val="en-US" w:eastAsia="zh-CN"/>
        </w:rPr>
      </w:pPr>
    </w:p>
    <w:p w14:paraId="79FA1B2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情绪维度用于衡量市场参与者的资金行为与风险偏好。本项目从杠杆资金与外资流向两个维度捕捉市场情绪：</w:t>
      </w:r>
    </w:p>
    <w:p w14:paraId="1174C2DC">
      <w:pPr>
        <w:keepNext w:val="0"/>
        <w:keepLines w:val="0"/>
        <w:pageBreakBefore w:val="0"/>
        <w:widowControl w:val="0"/>
        <w:numPr>
          <w:ilvl w:val="0"/>
          <w:numId w:val="1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sz w:val="24"/>
          <w:szCs w:val="24"/>
          <w:lang w:val="en-US" w:eastAsia="zh-CN"/>
        </w:rPr>
        <w:t>两融余额月度变化率：融资融券余额可反映杠杆资金的活跃程度，余额快速增长表明市场情绪高涨，余额持续下降则反映市场情绪趋于谨慎，甚至出现恐慌。</w:t>
      </w:r>
    </w:p>
    <w:p w14:paraId="361FC239">
      <w:pPr>
        <w:keepNext w:val="0"/>
        <w:keepLines w:val="0"/>
        <w:pageBreakBefore w:val="0"/>
        <w:widowControl w:val="0"/>
        <w:numPr>
          <w:ilvl w:val="0"/>
          <w:numId w:val="1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sz w:val="24"/>
          <w:szCs w:val="24"/>
          <w:lang w:val="en-US" w:eastAsia="zh-CN"/>
        </w:rPr>
        <w:t>北向资金当月累计净流入：北向资金被视为“聪明钱”，其流向反映外资对A股市场的中短期判断，月度净流入规模可体现外资配置意愿的强弱。</w:t>
      </w:r>
    </w:p>
    <w:p w14:paraId="0E388531">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情绪得分公式</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3321"/>
        <w:gridCol w:w="1742"/>
      </w:tblGrid>
      <w:tr w14:paraId="2336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59" w:type="dxa"/>
            <w:vMerge w:val="restart"/>
            <w:tcBorders>
              <w:top w:val="single" w:color="000000" w:sz="12" w:space="0"/>
              <w:left w:val="nil"/>
              <w:bottom w:val="single" w:color="000000" w:sz="4" w:space="0"/>
              <w:right w:val="nil"/>
              <w:tl2br w:val="nil"/>
            </w:tcBorders>
            <w:shd w:val="clear" w:color="auto" w:fill="FFFFFF"/>
            <w:vAlign w:val="center"/>
          </w:tcPr>
          <w:p w14:paraId="45D9CBDA">
            <w:pPr>
              <w:keepNext w:val="0"/>
              <w:keepLines w:val="0"/>
              <w:widowControl/>
              <w:numPr>
                <w:ilvl w:val="0"/>
                <w:numId w:val="0"/>
              </w:numPr>
              <w:suppressLineNumbers w:val="0"/>
              <w:snapToGrid w:val="0"/>
              <w:spacing w:before="60" w:beforeAutospacing="0" w:after="0" w:afterAutospacing="1"/>
              <w:ind w:left="-360" w:leftChars="0"/>
              <w:jc w:val="center"/>
              <w:rPr>
                <w:rFonts w:hint="default"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lang w:val="en-US" w:eastAsia="zh-CN" w:bidi="ar-SA"/>
                  </w:rPr>
                  <m:t>c</m:t>
                </m:r>
                <m:r>
                  <m:rPr/>
                  <w:rPr>
                    <w:rFonts w:hint="default" w:ascii="Cambria Math" w:hAnsi="Cambria Math" w:cstheme="minorEastAsia"/>
                    <w:color w:val="000000"/>
                    <w:kern w:val="2"/>
                    <w:sz w:val="21"/>
                    <w:szCs w:val="21"/>
                    <w:lang w:val="en-US" w:eastAsia="zh-CN" w:bidi="ar-SA"/>
                  </w:rPr>
                  <m:t>alc_sent_sore(margin_cℎg,nortℎ_flow)</m:t>
                </m:r>
              </m:oMath>
            </m:oMathPara>
          </w:p>
          <w:p w14:paraId="2149EC34">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3321" w:type="dxa"/>
            <w:tcBorders>
              <w:top w:val="single" w:color="000000" w:sz="12" w:space="0"/>
              <w:left w:val="nil"/>
              <w:bottom w:val="single" w:color="000000" w:sz="4" w:space="0"/>
              <w:right w:val="nil"/>
            </w:tcBorders>
            <w:shd w:val="clear" w:color="auto" w:fill="FFFFFF"/>
            <w:vAlign w:val="center"/>
          </w:tcPr>
          <w:p w14:paraId="68C35FAD">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vertAlign w:val="baseline"/>
                    <w:lang w:val="en-US" w:eastAsia="zh-CN" w:bidi="ar-SA"/>
                  </w:rPr>
                  <m:t>1</m:t>
                </m:r>
                <m:r>
                  <m:rPr/>
                  <w:rPr>
                    <w:rFonts w:hint="default" w:ascii="Cambria Math" w:hAnsi="Cambria Math" w:cstheme="minorEastAsia"/>
                    <w:color w:val="000000"/>
                    <w:kern w:val="2"/>
                    <w:sz w:val="21"/>
                    <w:szCs w:val="21"/>
                    <w:vertAlign w:val="baseline"/>
                    <w:lang w:val="en-US" w:eastAsia="zh-CN" w:bidi="ar-SA"/>
                  </w:rPr>
                  <m:t>0</m:t>
                </m:r>
                <m:r>
                  <m:rPr/>
                  <w:rPr>
                    <w:rFonts w:hint="eastAsia" w:ascii="Cambria Math" w:hAnsi="Cambria Math" w:eastAsiaTheme="minorEastAsia" w:cstheme="minorEastAsia"/>
                    <w:color w:val="000000"/>
                    <w:kern w:val="2"/>
                    <w:sz w:val="21"/>
                    <w:szCs w:val="21"/>
                    <w:vertAlign w:val="baseline"/>
                    <w:lang w:val="en-US" w:eastAsia="zh-CN" w:bidi="ar-SA"/>
                  </w:rPr>
                  <m:t>+10✕min(</m:t>
                </m:r>
                <m:r>
                  <m:rPr/>
                  <w:rPr>
                    <w:rFonts w:hint="default" w:ascii="Cambria Math" w:hAnsi="Cambria Math" w:cstheme="minorEastAsia"/>
                    <w:color w:val="000000"/>
                    <w:kern w:val="2"/>
                    <w:sz w:val="21"/>
                    <w:szCs w:val="21"/>
                    <w:vertAlign w:val="baseline"/>
                    <w:lang w:val="en-US" w:eastAsia="zh-CN" w:bidi="ar-SA"/>
                  </w:rPr>
                  <m:t>nortℎ_flow/500,1</m:t>
                </m:r>
                <m:r>
                  <m:rPr/>
                  <w:rPr>
                    <w:rFonts w:hint="eastAsia" w:ascii="Cambria Math" w:hAnsi="Cambria Math" w:eastAsiaTheme="minorEastAsia" w:cstheme="minorEastAsia"/>
                    <w:color w:val="000000"/>
                    <w:kern w:val="2"/>
                    <w:sz w:val="21"/>
                    <w:szCs w:val="21"/>
                    <w:vertAlign w:val="baseline"/>
                    <w:lang w:val="en-US" w:eastAsia="zh-CN" w:bidi="ar-SA"/>
                  </w:rPr>
                  <m:t>)</m:t>
                </m:r>
              </m:oMath>
            </m:oMathPara>
          </w:p>
        </w:tc>
        <w:tc>
          <w:tcPr>
            <w:tcW w:w="1742" w:type="dxa"/>
            <w:tcBorders>
              <w:top w:val="single" w:color="000000" w:sz="12" w:space="0"/>
              <w:left w:val="nil"/>
              <w:bottom w:val="single" w:color="000000" w:sz="4" w:space="0"/>
              <w:right w:val="nil"/>
            </w:tcBorders>
            <w:shd w:val="clear" w:color="auto" w:fill="FFFFFF"/>
            <w:vAlign w:val="center"/>
          </w:tcPr>
          <w:p w14:paraId="668DFD78">
            <w:pPr>
              <w:keepNext w:val="0"/>
              <w:keepLines w:val="0"/>
              <w:widowControl/>
              <w:numPr>
                <w:ilvl w:val="0"/>
                <w:numId w:val="0"/>
              </w:numPr>
              <w:suppressLineNumbers w:val="0"/>
              <w:snapToGrid w:val="0"/>
              <w:spacing w:before="60" w:beforeAutospacing="0" w:after="0" w:afterAutospacing="1"/>
              <w:jc w:val="center"/>
              <w:rPr>
                <w:rFonts w:hint="default" w:asciiTheme="minorEastAsia" w:hAnsiTheme="minorEastAsia" w:eastAsiaTheme="minorEastAsia" w:cstheme="minorEastAsia"/>
                <w:b w:val="0"/>
                <w:color w:val="000000"/>
                <w:sz w:val="21"/>
                <w:szCs w:val="21"/>
                <w:vertAlign w:val="baseline"/>
                <w:lang w:val="en-US" w:eastAsia="zh-CN"/>
              </w:rPr>
            </w:pPr>
            <m:oMathPara>
              <m:oMath>
                <m:r>
                  <m:rPr/>
                  <w:rPr>
                    <w:rFonts w:hint="default" w:ascii="Cambria Math" w:hAnsi="Cambria Math" w:cstheme="minorEastAsia"/>
                    <w:color w:val="000000"/>
                    <w:kern w:val="2"/>
                    <w:sz w:val="21"/>
                    <w:szCs w:val="21"/>
                    <w:vertAlign w:val="baseline"/>
                    <w:lang w:val="en-US" w:eastAsia="zh-CN" w:bidi="ar-SA"/>
                  </w:rPr>
                  <m:t>price/ma20−1</m:t>
                </m:r>
                <m:r>
                  <m:rPr/>
                  <w:rPr>
                    <w:rFonts w:hint="eastAsia" w:ascii="Cambria Math" w:hAnsi="Cambria Math" w:cstheme="minorEastAsia"/>
                    <w:color w:val="000000"/>
                    <w:kern w:val="2"/>
                    <w:sz w:val="21"/>
                    <w:szCs w:val="21"/>
                    <w:vertAlign w:val="baseline"/>
                    <w:lang w:val="en-US" w:eastAsia="zh-CN" w:bidi="ar-SA"/>
                  </w:rPr>
                  <m:t>≥</m:t>
                </m:r>
                <m:r>
                  <m:rPr/>
                  <w:rPr>
                    <w:rFonts w:hint="default" w:ascii="Cambria Math" w:hAnsi="Cambria Math" w:cstheme="minorEastAsia"/>
                    <w:color w:val="000000"/>
                    <w:kern w:val="2"/>
                    <w:sz w:val="21"/>
                    <w:szCs w:val="21"/>
                    <w:vertAlign w:val="baseline"/>
                    <w:lang w:val="en-US" w:eastAsia="zh-CN" w:bidi="ar-SA"/>
                  </w:rPr>
                  <m:t>5%</m:t>
                </m:r>
              </m:oMath>
            </m:oMathPara>
          </w:p>
        </w:tc>
      </w:tr>
      <w:tr w14:paraId="20B3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59" w:type="dxa"/>
            <w:vMerge w:val="continue"/>
            <w:tcBorders>
              <w:top w:val="single" w:color="000000" w:sz="4" w:space="0"/>
              <w:left w:val="nil"/>
              <w:bottom w:val="nil"/>
              <w:right w:val="nil"/>
            </w:tcBorders>
            <w:shd w:val="clear" w:color="auto" w:fill="FFFFFF"/>
            <w:vAlign w:val="center"/>
          </w:tcPr>
          <w:p w14:paraId="66739FC2">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3321" w:type="dxa"/>
            <w:tcBorders>
              <w:top w:val="single" w:color="000000" w:sz="4" w:space="0"/>
              <w:left w:val="nil"/>
              <w:bottom w:val="nil"/>
              <w:right w:val="nil"/>
            </w:tcBorders>
            <w:shd w:val="clear" w:color="auto" w:fill="FFFFFF"/>
            <w:vAlign w:val="center"/>
          </w:tcPr>
          <w:p w14:paraId="214CE113">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f>
                  <m:fPr>
                    <m:ctrlPr>
                      <w:rPr>
                        <w:rFonts w:hint="eastAsia" w:ascii="Cambria Math" w:hAnsi="Cambria Math" w:eastAsiaTheme="minorEastAsia" w:cstheme="minorEastAsia"/>
                        <w:b w:val="0"/>
                        <w:i/>
                        <w:color w:val="000000"/>
                        <w:kern w:val="2"/>
                        <w:sz w:val="21"/>
                        <w:szCs w:val="21"/>
                        <w:vertAlign w:val="baseline"/>
                        <w:lang w:val="en-US" w:eastAsia="zh-CN" w:bidi="ar-SA"/>
                      </w:rPr>
                    </m:ctrlPr>
                  </m:fPr>
                  <m:num>
                    <m:r>
                      <m:rPr/>
                      <w:rPr>
                        <w:rFonts w:hint="default" w:ascii="Cambria Math" w:hAnsi="Cambria Math" w:cstheme="minorEastAsia"/>
                        <w:color w:val="000000"/>
                        <w:kern w:val="2"/>
                        <w:sz w:val="21"/>
                        <w:szCs w:val="21"/>
                        <w:vertAlign w:val="baseline"/>
                        <w:lang w:val="en-US" w:eastAsia="zh-CN" w:bidi="ar-SA"/>
                      </w:rPr>
                      <m:t>margin_cℎg+5%</m:t>
                    </m:r>
                    <m:ctrlPr>
                      <w:rPr>
                        <w:rFonts w:hint="eastAsia" w:ascii="Cambria Math" w:hAnsi="Cambria Math" w:eastAsiaTheme="minorEastAsia" w:cstheme="minorEastAsia"/>
                        <w:b w:val="0"/>
                        <w:i/>
                        <w:color w:val="000000"/>
                        <w:kern w:val="2"/>
                        <w:sz w:val="21"/>
                        <w:szCs w:val="21"/>
                        <w:vertAlign w:val="baseline"/>
                        <w:lang w:val="en-US" w:eastAsia="zh-CN" w:bidi="ar-SA"/>
                      </w:rPr>
                    </m:ctrlPr>
                  </m:num>
                  <m:den>
                    <m:r>
                      <m:rPr/>
                      <w:rPr>
                        <w:rFonts w:hint="default" w:ascii="Cambria Math" w:hAnsi="Cambria Math" w:cstheme="minorEastAsia"/>
                        <w:color w:val="000000"/>
                        <w:kern w:val="2"/>
                        <w:sz w:val="21"/>
                        <w:szCs w:val="21"/>
                        <w:vertAlign w:val="baseline"/>
                        <w:lang w:val="en-US" w:eastAsia="zh-CN" w:bidi="ar-SA"/>
                      </w:rPr>
                      <m:t>10%</m:t>
                    </m:r>
                    <m:ctrlPr>
                      <w:rPr>
                        <w:rFonts w:hint="eastAsia" w:ascii="Cambria Math" w:hAnsi="Cambria Math" w:eastAsiaTheme="minorEastAsia" w:cstheme="minorEastAsia"/>
                        <w:b w:val="0"/>
                        <w:i/>
                        <w:color w:val="000000"/>
                        <w:kern w:val="2"/>
                        <w:sz w:val="21"/>
                        <w:szCs w:val="21"/>
                        <w:vertAlign w:val="baseline"/>
                        <w:lang w:val="en-US" w:eastAsia="zh-CN" w:bidi="ar-SA"/>
                      </w:rPr>
                    </m:ctrlPr>
                  </m:den>
                </m:f>
                <m:r>
                  <m:rPr/>
                  <w:rPr>
                    <w:rFonts w:hint="eastAsia" w:ascii="Cambria Math" w:hAnsi="Cambria Math" w:eastAsiaTheme="minorEastAsia" w:cstheme="minorEastAsia"/>
                    <w:color w:val="000000"/>
                    <w:kern w:val="2"/>
                    <w:sz w:val="21"/>
                    <w:szCs w:val="21"/>
                    <w:vertAlign w:val="baseline"/>
                    <w:lang w:val="en-US" w:eastAsia="zh-CN" w:bidi="ar-SA"/>
                  </w:rPr>
                  <m:t>✕1</m:t>
                </m:r>
                <m:r>
                  <m:rPr/>
                  <w:rPr>
                    <w:rFonts w:hint="default" w:ascii="Cambria Math" w:hAnsi="Cambria Math" w:cstheme="minorEastAsia"/>
                    <w:color w:val="000000"/>
                    <w:kern w:val="2"/>
                    <w:sz w:val="21"/>
                    <w:szCs w:val="21"/>
                    <w:vertAlign w:val="baseline"/>
                    <w:lang w:val="en-US" w:eastAsia="zh-CN" w:bidi="ar-SA"/>
                  </w:rPr>
                  <m:t>0</m:t>
                </m:r>
                <m:r>
                  <m:rPr/>
                  <w:rPr>
                    <w:rFonts w:hint="eastAsia" w:ascii="Cambria Math" w:hAnsi="Cambria Math" w:eastAsiaTheme="minorEastAsia" w:cstheme="minorEastAsia"/>
                    <w:color w:val="000000"/>
                    <w:kern w:val="2"/>
                    <w:sz w:val="21"/>
                    <w:szCs w:val="21"/>
                    <w:vertAlign w:val="baseline"/>
                    <w:lang w:val="en-US" w:eastAsia="zh-CN" w:bidi="ar-SA"/>
                  </w:rPr>
                  <m:t>+10✕min(</m:t>
                </m:r>
                <m:r>
                  <m:rPr/>
                  <w:rPr>
                    <w:rFonts w:hint="default" w:ascii="Cambria Math" w:hAnsi="Cambria Math" w:cstheme="minorEastAsia"/>
                    <w:color w:val="000000"/>
                    <w:kern w:val="2"/>
                    <w:sz w:val="21"/>
                    <w:szCs w:val="21"/>
                    <w:vertAlign w:val="baseline"/>
                    <w:lang w:val="en-US" w:eastAsia="zh-CN" w:bidi="ar-SA"/>
                  </w:rPr>
                  <m:t>nortℎ_flow/500,1</m:t>
                </m:r>
                <m:r>
                  <m:rPr/>
                  <w:rPr>
                    <w:rFonts w:hint="eastAsia" w:ascii="Cambria Math" w:hAnsi="Cambria Math" w:eastAsiaTheme="minorEastAsia" w:cstheme="minorEastAsia"/>
                    <w:color w:val="000000"/>
                    <w:kern w:val="2"/>
                    <w:sz w:val="21"/>
                    <w:szCs w:val="21"/>
                    <w:vertAlign w:val="baseline"/>
                    <w:lang w:val="en-US" w:eastAsia="zh-CN" w:bidi="ar-SA"/>
                  </w:rPr>
                  <m:t>)</m:t>
                </m:r>
              </m:oMath>
            </m:oMathPara>
          </w:p>
        </w:tc>
        <w:tc>
          <w:tcPr>
            <w:tcW w:w="1742" w:type="dxa"/>
            <w:tcBorders>
              <w:top w:val="single" w:color="000000" w:sz="4" w:space="0"/>
              <w:left w:val="nil"/>
              <w:bottom w:val="nil"/>
              <w:right w:val="nil"/>
            </w:tcBorders>
            <w:shd w:val="clear" w:color="auto" w:fill="FFFFFF"/>
            <w:vAlign w:val="center"/>
          </w:tcPr>
          <w:p w14:paraId="445F2054">
            <w:pPr>
              <w:keepNext w:val="0"/>
              <w:keepLines w:val="0"/>
              <w:widowControl/>
              <w:numPr>
                <w:ilvl w:val="0"/>
                <w:numId w:val="0"/>
              </w:numPr>
              <w:suppressLineNumbers w:val="0"/>
              <w:snapToGrid w:val="0"/>
              <w:spacing w:before="60" w:beforeAutospacing="0" w:after="0" w:afterAutospacing="1"/>
              <w:jc w:val="center"/>
              <w:rPr>
                <w:rFonts w:hint="default" w:asciiTheme="minorEastAsia" w:hAnsiTheme="minorEastAsia" w:eastAsiaTheme="minorEastAsia" w:cstheme="minorEastAsia"/>
                <w:b w:val="0"/>
                <w:color w:val="000000"/>
                <w:sz w:val="21"/>
                <w:szCs w:val="21"/>
                <w:vertAlign w:val="baseline"/>
                <w:lang w:val="en-US"/>
              </w:rPr>
            </w:pPr>
            <m:oMathPara>
              <m:oMath>
                <m:r>
                  <m:rPr/>
                  <w:rPr>
                    <w:rFonts w:hint="default" w:ascii="Cambria Math" w:hAnsi="Cambria Math" w:cstheme="minorEastAsia"/>
                    <w:color w:val="000000"/>
                    <w:kern w:val="2"/>
                    <w:sz w:val="21"/>
                    <w:szCs w:val="21"/>
                    <w:vertAlign w:val="baseline"/>
                    <w:lang w:val="en-US" w:eastAsia="zh-CN" w:bidi="ar-SA"/>
                  </w:rPr>
                  <m:t>−5%</m:t>
                </m:r>
                <m:r>
                  <m:rPr/>
                  <w:rPr>
                    <w:rFonts w:hint="eastAsia" w:ascii="Cambria Math" w:hAnsi="Cambria Math" w:eastAsiaTheme="minorEastAsia" w:cstheme="minorEastAsia"/>
                    <w:color w:val="000000"/>
                    <w:kern w:val="2"/>
                    <w:sz w:val="21"/>
                    <w:szCs w:val="21"/>
                    <w:vertAlign w:val="baseline"/>
                    <w:lang w:val="en-US" w:eastAsia="zh-CN" w:bidi="ar-SA"/>
                  </w:rPr>
                  <m:t>＜</m:t>
                </m:r>
                <m:r>
                  <m:rPr/>
                  <w:rPr>
                    <w:rFonts w:hint="default" w:ascii="Cambria Math" w:hAnsi="Cambria Math" w:cstheme="minorEastAsia"/>
                    <w:color w:val="000000"/>
                    <w:kern w:val="2"/>
                    <w:sz w:val="21"/>
                    <w:szCs w:val="21"/>
                    <w:vertAlign w:val="baseline"/>
                    <w:lang w:val="en-US" w:eastAsia="zh-CN" w:bidi="ar-SA"/>
                  </w:rPr>
                  <m:t>price/ma20−1</m:t>
                </m:r>
                <m:r>
                  <m:rPr/>
                  <w:rPr>
                    <w:rFonts w:hint="eastAsia" w:ascii="Cambria Math" w:hAnsi="Cambria Math" w:eastAsiaTheme="minorEastAsia" w:cstheme="minorEastAsia"/>
                    <w:color w:val="000000"/>
                    <w:kern w:val="2"/>
                    <w:sz w:val="21"/>
                    <w:szCs w:val="21"/>
                    <w:vertAlign w:val="baseline"/>
                    <w:lang w:val="en-US" w:eastAsia="zh-CN" w:bidi="ar-SA"/>
                  </w:rPr>
                  <m:t>＜5</m:t>
                </m:r>
                <m:r>
                  <m:rPr/>
                  <w:rPr>
                    <w:rFonts w:hint="default" w:ascii="Cambria Math" w:hAnsi="Cambria Math" w:cstheme="minorEastAsia"/>
                    <w:color w:val="000000"/>
                    <w:kern w:val="2"/>
                    <w:sz w:val="21"/>
                    <w:szCs w:val="21"/>
                    <w:vertAlign w:val="baseline"/>
                    <w:lang w:val="en-US" w:eastAsia="zh-CN" w:bidi="ar-SA"/>
                  </w:rPr>
                  <m:t>%</m:t>
                </m:r>
              </m:oMath>
            </m:oMathPara>
          </w:p>
        </w:tc>
      </w:tr>
      <w:tr w14:paraId="14F5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59" w:type="dxa"/>
            <w:vMerge w:val="continue"/>
            <w:tcBorders>
              <w:top w:val="nil"/>
              <w:left w:val="nil"/>
              <w:bottom w:val="single" w:color="000000" w:sz="12" w:space="0"/>
              <w:right w:val="nil"/>
            </w:tcBorders>
            <w:shd w:val="clear" w:color="auto" w:fill="FFFFFF"/>
            <w:vAlign w:val="center"/>
          </w:tcPr>
          <w:p w14:paraId="06B59A5B">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3321" w:type="dxa"/>
            <w:tcBorders>
              <w:top w:val="nil"/>
              <w:left w:val="nil"/>
              <w:bottom w:val="single" w:color="000000" w:sz="12" w:space="0"/>
              <w:right w:val="nil"/>
            </w:tcBorders>
            <w:shd w:val="clear" w:color="auto" w:fill="FFFFFF"/>
            <w:vAlign w:val="center"/>
          </w:tcPr>
          <w:p w14:paraId="2CB5853D">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vertAlign w:val="baseline"/>
                    <w:lang w:val="en-US" w:eastAsia="zh-CN" w:bidi="ar-SA"/>
                  </w:rPr>
                  <m:t>0+10✕min(</m:t>
                </m:r>
                <m:r>
                  <m:rPr/>
                  <w:rPr>
                    <w:rFonts w:hint="default" w:ascii="Cambria Math" w:hAnsi="Cambria Math" w:cstheme="minorEastAsia"/>
                    <w:color w:val="000000"/>
                    <w:kern w:val="2"/>
                    <w:sz w:val="21"/>
                    <w:szCs w:val="21"/>
                    <w:vertAlign w:val="baseline"/>
                    <w:lang w:val="en-US" w:eastAsia="zh-CN" w:bidi="ar-SA"/>
                  </w:rPr>
                  <m:t>nortℎ_flow</m:t>
                </m:r>
                <m:r>
                  <m:rPr/>
                  <w:rPr>
                    <w:rFonts w:hint="eastAsia" w:ascii="Cambria Math" w:hAnsi="Cambria Math" w:eastAsiaTheme="minorEastAsia" w:cstheme="minorEastAsia"/>
                    <w:color w:val="000000"/>
                    <w:kern w:val="2"/>
                    <w:sz w:val="21"/>
                    <w:szCs w:val="21"/>
                    <w:vertAlign w:val="baseline"/>
                    <w:lang w:val="en-US" w:eastAsia="zh-CN" w:bidi="ar-SA"/>
                  </w:rPr>
                  <m:t>/</m:t>
                </m:r>
                <m:r>
                  <m:rPr/>
                  <w:rPr>
                    <w:rFonts w:hint="default" w:ascii="Cambria Math" w:hAnsi="Cambria Math" w:cstheme="minorEastAsia"/>
                    <w:color w:val="000000"/>
                    <w:kern w:val="2"/>
                    <w:sz w:val="21"/>
                    <w:szCs w:val="21"/>
                    <w:vertAlign w:val="baseline"/>
                    <w:lang w:val="en-US" w:eastAsia="zh-CN" w:bidi="ar-SA"/>
                  </w:rPr>
                  <m:t>500</m:t>
                </m:r>
                <m:r>
                  <m:rPr/>
                  <w:rPr>
                    <w:rFonts w:hint="eastAsia" w:ascii="Cambria Math" w:hAnsi="Cambria Math" w:eastAsiaTheme="minorEastAsia" w:cstheme="minorEastAsia"/>
                    <w:color w:val="000000"/>
                    <w:kern w:val="2"/>
                    <w:sz w:val="21"/>
                    <w:szCs w:val="21"/>
                    <w:vertAlign w:val="baseline"/>
                    <w:lang w:val="en-US" w:eastAsia="zh-CN" w:bidi="ar-SA"/>
                  </w:rPr>
                  <m:t>,1)</m:t>
                </m:r>
              </m:oMath>
            </m:oMathPara>
          </w:p>
        </w:tc>
        <w:tc>
          <w:tcPr>
            <w:tcW w:w="1742" w:type="dxa"/>
            <w:tcBorders>
              <w:top w:val="nil"/>
              <w:left w:val="nil"/>
              <w:bottom w:val="single" w:color="000000" w:sz="12" w:space="0"/>
              <w:right w:val="nil"/>
            </w:tcBorders>
            <w:shd w:val="clear" w:color="auto" w:fill="FFFFFF"/>
            <w:vAlign w:val="center"/>
          </w:tcPr>
          <w:p w14:paraId="19CD482B">
            <w:pPr>
              <w:keepNext w:val="0"/>
              <w:keepLines w:val="0"/>
              <w:widowControl/>
              <w:numPr>
                <w:ilvl w:val="0"/>
                <w:numId w:val="0"/>
              </w:numPr>
              <w:suppressLineNumbers w:val="0"/>
              <w:snapToGrid w:val="0"/>
              <w:spacing w:before="60" w:beforeAutospacing="0" w:after="0" w:afterAutospacing="1"/>
              <w:jc w:val="center"/>
              <w:rPr>
                <w:rFonts w:hint="default" w:asciiTheme="minorEastAsia" w:hAnsiTheme="minorEastAsia" w:eastAsiaTheme="minorEastAsia" w:cstheme="minorEastAsia"/>
                <w:b w:val="0"/>
                <w:color w:val="000000"/>
                <w:sz w:val="21"/>
                <w:szCs w:val="21"/>
                <w:vertAlign w:val="baseline"/>
                <w:lang w:val="en-US" w:eastAsia="zh-CN"/>
              </w:rPr>
            </w:pPr>
            <m:oMathPara>
              <m:oMath>
                <m:r>
                  <m:rPr/>
                  <w:rPr>
                    <w:rFonts w:hint="default" w:ascii="Cambria Math" w:hAnsi="Cambria Math" w:cstheme="minorEastAsia"/>
                    <w:color w:val="000000"/>
                    <w:kern w:val="2"/>
                    <w:sz w:val="21"/>
                    <w:szCs w:val="21"/>
                    <w:vertAlign w:val="baseline"/>
                    <w:lang w:val="en-US" w:eastAsia="zh-CN" w:bidi="ar-SA"/>
                  </w:rPr>
                  <m:t>price/ma20−1</m:t>
                </m:r>
                <m:r>
                  <m:rPr/>
                  <w:rPr>
                    <w:rFonts w:hint="eastAsia" w:ascii="Cambria Math" w:hAnsi="Cambria Math" w:eastAsiaTheme="minorEastAsia" w:cstheme="minorEastAsia"/>
                    <w:color w:val="000000"/>
                    <w:kern w:val="2"/>
                    <w:sz w:val="21"/>
                    <w:szCs w:val="21"/>
                    <w:vertAlign w:val="baseline"/>
                    <w:lang w:val="en-US" w:eastAsia="zh-CN" w:bidi="ar-SA"/>
                  </w:rPr>
                  <m:t>≤</m:t>
                </m:r>
                <m:r>
                  <m:rPr/>
                  <w:rPr>
                    <w:rFonts w:hint="default" w:ascii="Cambria Math" w:hAnsi="Cambria Math" w:cstheme="minorEastAsia"/>
                    <w:color w:val="000000"/>
                    <w:kern w:val="2"/>
                    <w:sz w:val="21"/>
                    <w:szCs w:val="21"/>
                    <w:vertAlign w:val="baseline"/>
                    <w:lang w:val="en-US" w:eastAsia="zh-CN" w:bidi="ar-SA"/>
                  </w:rPr>
                  <m:t>−5%</m:t>
                </m:r>
              </m:oMath>
            </m:oMathPara>
          </w:p>
        </w:tc>
      </w:tr>
    </w:tbl>
    <w:p w14:paraId="21C76B3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情绪维度得分 = 两融变化得分（0-10分）+ 北向资金得分（0-10分）</w:t>
      </w:r>
    </w:p>
    <w:p w14:paraId="599BF896">
      <w:pPr>
        <w:numPr>
          <w:ilvl w:val="0"/>
          <w:numId w:val="14"/>
        </w:numPr>
        <w:ind w:left="845" w:leftChars="0" w:hanging="425" w:firstLineChars="0"/>
        <w:outlineLvl w:val="1"/>
        <w:rPr>
          <w:rFonts w:hint="default" w:ascii="楷体" w:hAnsi="楷体" w:eastAsia="楷体" w:cs="楷体"/>
          <w:sz w:val="28"/>
          <w:szCs w:val="28"/>
          <w:lang w:val="en-US" w:eastAsia="zh-CN"/>
        </w:rPr>
      </w:pPr>
      <w:bookmarkStart w:id="45" w:name="_Toc28253"/>
      <w:r>
        <w:rPr>
          <w:rFonts w:hint="eastAsia" w:ascii="楷体" w:hAnsi="楷体" w:eastAsia="楷体" w:cs="楷体"/>
          <w:sz w:val="28"/>
          <w:szCs w:val="28"/>
          <w:lang w:val="en-US" w:eastAsia="zh-CN"/>
        </w:rPr>
        <w:t>趋势维度（30分）</w:t>
      </w:r>
      <w:bookmarkEnd w:id="45"/>
    </w:p>
    <w:p w14:paraId="75AB38A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default" w:asciiTheme="minorEastAsia" w:hAnsiTheme="minorEastAsia" w:eastAsiaTheme="minorEastAsia" w:cstheme="minorEastAsia"/>
          <w:sz w:val="24"/>
          <w:szCs w:val="24"/>
          <w:lang w:val="en-US" w:eastAsia="zh-CN"/>
        </w:rPr>
        <w:t>趋势维度</w:t>
      </w:r>
      <w:r>
        <w:rPr>
          <w:rFonts w:hint="eastAsia" w:asciiTheme="minorEastAsia" w:hAnsiTheme="minorEastAsia" w:cstheme="minorEastAsia"/>
          <w:sz w:val="24"/>
          <w:szCs w:val="24"/>
          <w:lang w:val="en-US" w:eastAsia="zh-CN"/>
        </w:rPr>
        <w:t>用于</w:t>
      </w:r>
      <w:r>
        <w:rPr>
          <w:rFonts w:hint="default" w:asciiTheme="minorEastAsia" w:hAnsiTheme="minorEastAsia" w:eastAsiaTheme="minorEastAsia" w:cstheme="minorEastAsia"/>
          <w:sz w:val="24"/>
          <w:szCs w:val="24"/>
          <w:lang w:val="en-US" w:eastAsia="zh-CN"/>
        </w:rPr>
        <w:t>衡量市场价格的运行方向与强度。趋势跟踪策略的有效性</w:t>
      </w:r>
      <w:r>
        <w:rPr>
          <w:rFonts w:hint="eastAsia" w:asciiTheme="minorEastAsia" w:hAnsi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源于“趋势一旦形成，短期不易逆转”的市场特征。</w:t>
      </w:r>
      <w:r>
        <w:rPr>
          <w:rFonts w:hint="eastAsia" w:asciiTheme="minorEastAsia" w:hAnsiTheme="minorEastAsia" w:eastAsiaTheme="minorEastAsia" w:cstheme="minorEastAsia"/>
          <w:sz w:val="24"/>
          <w:szCs w:val="24"/>
          <w:lang w:val="en-US" w:eastAsia="zh-CN"/>
        </w:rPr>
        <w:t>本项目从均线偏离度角度对趋势进行刻画：</w:t>
      </w:r>
    </w:p>
    <w:p w14:paraId="41FE56B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价格相对MA20的偏离度：20日均线是短期趋势的核心参考指标。价格稳定站稳MA20表明短期趋势向上，跌破MA20则表明趋势转弱，偏离度越大，趋势信号越强。</w:t>
      </w:r>
    </w:p>
    <w:p w14:paraId="75757634">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趋势得分公式</w:t>
      </w:r>
    </w:p>
    <w:tbl>
      <w:tblPr>
        <w:tblStyle w:val="14"/>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225"/>
        <w:gridCol w:w="2771"/>
        <w:gridCol w:w="2526"/>
      </w:tblGrid>
      <w:tr w14:paraId="50C09F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178" w:type="dxa"/>
            <w:vMerge w:val="restart"/>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4FBC5B18">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calc_trend_score(price,ma20)</m:t>
                </m:r>
              </m:oMath>
            </m:oMathPara>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5C9EE72">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color w:val="000000"/>
                <w:sz w:val="21"/>
                <w:szCs w:val="21"/>
                <w:vertAlign w:val="baseline"/>
                <w:lang w:val="en-US" w:eastAsia="zh-CN"/>
              </w:rPr>
              <w:t>30</w:t>
            </w:r>
          </w:p>
        </w:tc>
        <w:tc>
          <w:tcPr>
            <w:tcW w:w="254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D8FC607">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price/ma20−1≥5%</m:t>
                </m:r>
              </m:oMath>
            </m:oMathPara>
          </w:p>
        </w:tc>
      </w:tr>
      <w:tr w14:paraId="41FF83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178" w:type="dxa"/>
            <w:vMerge w:val="continue"/>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79C254F">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17620CC">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30✕</m:t>
                </m:r>
                <m:f>
                  <m:fPr>
                    <m:ctrlPr>
                      <w:rPr>
                        <w:rFonts w:hint="eastAsia" w:ascii="Cambria Math" w:hAnsi="Cambria Math" w:eastAsiaTheme="minorEastAsia" w:cstheme="minorEastAsia"/>
                        <w:b w:val="0"/>
                        <w:i/>
                        <w:color w:val="000000"/>
                        <w:kern w:val="2"/>
                        <w:sz w:val="21"/>
                        <w:szCs w:val="21"/>
                        <w:vertAlign w:val="baseline"/>
                        <w:lang w:val="en-US" w:eastAsia="zh-CN" w:bidi="ar-SA"/>
                      </w:rPr>
                    </m:ctrlPr>
                  </m:fPr>
                  <m:num>
                    <m:r>
                      <m:rPr/>
                      <w:rPr>
                        <w:rFonts w:hint="eastAsia" w:ascii="Cambria Math" w:hAnsi="Cambria Math" w:eastAsiaTheme="minorEastAsia" w:cstheme="minorEastAsia"/>
                        <w:color w:val="000000"/>
                        <w:kern w:val="2"/>
                        <w:sz w:val="21"/>
                        <w:szCs w:val="21"/>
                        <w:vertAlign w:val="baseline"/>
                        <w:lang w:val="en-US" w:eastAsia="zh-CN" w:bidi="ar-SA"/>
                      </w:rPr>
                      <m:t>(price/ma20−1)+5%</m:t>
                    </m:r>
                    <m:ctrlPr>
                      <w:rPr>
                        <w:rFonts w:hint="eastAsia" w:ascii="Cambria Math" w:hAnsi="Cambria Math" w:eastAsiaTheme="minorEastAsia" w:cstheme="minorEastAsia"/>
                        <w:b w:val="0"/>
                        <w:i/>
                        <w:color w:val="000000"/>
                        <w:kern w:val="2"/>
                        <w:sz w:val="21"/>
                        <w:szCs w:val="21"/>
                        <w:vertAlign w:val="baseline"/>
                        <w:lang w:val="en-US" w:eastAsia="zh-CN" w:bidi="ar-SA"/>
                      </w:rPr>
                    </m:ctrlPr>
                  </m:num>
                  <m:den>
                    <m:r>
                      <m:rPr/>
                      <w:rPr>
                        <w:rFonts w:hint="eastAsia" w:ascii="Cambria Math" w:hAnsi="Cambria Math" w:eastAsiaTheme="minorEastAsia" w:cstheme="minorEastAsia"/>
                        <w:color w:val="000000"/>
                        <w:kern w:val="2"/>
                        <w:sz w:val="21"/>
                        <w:szCs w:val="21"/>
                        <w:vertAlign w:val="baseline"/>
                        <w:lang w:val="en-US" w:eastAsia="zh-CN" w:bidi="ar-SA"/>
                      </w:rPr>
                      <m:t>10%</m:t>
                    </m:r>
                    <m:ctrlPr>
                      <w:rPr>
                        <w:rFonts w:hint="eastAsia" w:ascii="Cambria Math" w:hAnsi="Cambria Math" w:eastAsiaTheme="minorEastAsia" w:cstheme="minorEastAsia"/>
                        <w:b w:val="0"/>
                        <w:i/>
                        <w:color w:val="000000"/>
                        <w:kern w:val="2"/>
                        <w:sz w:val="21"/>
                        <w:szCs w:val="21"/>
                        <w:vertAlign w:val="baseline"/>
                        <w:lang w:val="en-US" w:eastAsia="zh-CN" w:bidi="ar-SA"/>
                      </w:rPr>
                    </m:ctrlPr>
                  </m:den>
                </m:f>
              </m:oMath>
            </m:oMathPara>
          </w:p>
        </w:tc>
        <w:tc>
          <w:tcPr>
            <w:tcW w:w="254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9862215">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−5%＜price/ma20−1＜5%</m:t>
                </m:r>
              </m:oMath>
            </m:oMathPara>
          </w:p>
        </w:tc>
      </w:tr>
      <w:tr w14:paraId="2CA677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178" w:type="dxa"/>
            <w:vMerge w:val="continue"/>
            <w:tcBorders>
              <w:bottom w:val="single" w:color="000000" w:sz="12" w:space="0"/>
            </w:tcBorders>
            <w:shd w:val="clear" w:color="auto" w:fill="FFFFFF"/>
            <w:noWrap w:val="0"/>
            <w:tcMar>
              <w:top w:w="-1" w:type="dxa"/>
              <w:left w:w="-1" w:type="dxa"/>
              <w:bottom w:w="-1" w:type="dxa"/>
              <w:right w:w="-1" w:type="dxa"/>
            </w:tcMar>
            <w:vAlign w:val="center"/>
          </w:tcPr>
          <w:p w14:paraId="7BBC5C2F">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w:p>
        </w:tc>
        <w:tc>
          <w:tcPr>
            <w:tcW w:w="279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5FBA8D1">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color w:val="000000"/>
                <w:sz w:val="21"/>
                <w:szCs w:val="21"/>
                <w:vertAlign w:val="baseline"/>
                <w:lang w:val="en-US" w:eastAsia="zh-CN"/>
              </w:rPr>
              <w:t>0</w:t>
            </w:r>
          </w:p>
        </w:tc>
        <w:tc>
          <w:tcPr>
            <w:tcW w:w="254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6E88811">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price/ma20−1≤−5%</m:t>
                </m:r>
              </m:oMath>
            </m:oMathPara>
          </w:p>
        </w:tc>
      </w:tr>
    </w:tbl>
    <w:p w14:paraId="617971DE">
      <w:pPr>
        <w:numPr>
          <w:ilvl w:val="0"/>
          <w:numId w:val="12"/>
        </w:numPr>
        <w:ind w:left="0" w:leftChars="0" w:firstLine="420" w:firstLineChars="0"/>
        <w:outlineLvl w:val="0"/>
        <w:rPr>
          <w:rFonts w:hint="default" w:ascii="黑体" w:hAnsi="黑体" w:eastAsia="黑体" w:cs="黑体"/>
          <w:sz w:val="30"/>
          <w:szCs w:val="30"/>
          <w:lang w:val="en-US" w:eastAsia="zh-CN"/>
        </w:rPr>
      </w:pPr>
      <w:bookmarkStart w:id="46" w:name="_Toc27408"/>
      <w:r>
        <w:rPr>
          <w:rFonts w:hint="eastAsia" w:ascii="黑体" w:hAnsi="黑体" w:eastAsia="黑体" w:cs="黑体"/>
          <w:sz w:val="30"/>
          <w:szCs w:val="30"/>
          <w:lang w:val="en-US" w:eastAsia="zh-CN"/>
        </w:rPr>
        <w:t>综合得分与映射</w:t>
      </w:r>
      <w:bookmarkEnd w:id="46"/>
    </w:p>
    <w:p w14:paraId="19496C2D">
      <w:pPr>
        <w:numPr>
          <w:ilvl w:val="0"/>
          <w:numId w:val="17"/>
        </w:numPr>
        <w:ind w:left="845" w:leftChars="0" w:hanging="425" w:firstLineChars="0"/>
        <w:outlineLvl w:val="1"/>
        <w:rPr>
          <w:rFonts w:hint="default" w:ascii="楷体" w:hAnsi="楷体" w:eastAsia="楷体" w:cs="楷体"/>
          <w:sz w:val="28"/>
          <w:szCs w:val="28"/>
          <w:lang w:val="en-US" w:eastAsia="zh-CN"/>
        </w:rPr>
      </w:pPr>
      <w:bookmarkStart w:id="47" w:name="_Toc1848"/>
      <w:r>
        <w:rPr>
          <w:rFonts w:hint="eastAsia" w:ascii="楷体" w:hAnsi="楷体" w:eastAsia="楷体" w:cs="楷体"/>
          <w:sz w:val="28"/>
          <w:szCs w:val="28"/>
          <w:lang w:val="en-US" w:eastAsia="zh-CN"/>
        </w:rPr>
        <w:t>综合得分计算</w:t>
      </w:r>
      <w:bookmarkEnd w:id="47"/>
    </w:p>
    <w:p w14:paraId="64232C9B">
      <w:pPr>
        <w:numPr>
          <w:ilvl w:val="0"/>
          <w:numId w:val="0"/>
        </w:numPr>
        <w:ind w:left="420" w:leftChars="0"/>
        <w:rPr>
          <w:rFonts w:hint="eastAsia" w:hAnsi="Cambria Math" w:eastAsia="楷体" w:cs="楷体"/>
          <w:i w:val="0"/>
          <w:kern w:val="2"/>
          <w:sz w:val="28"/>
          <w:szCs w:val="28"/>
          <w:lang w:val="en-US" w:eastAsia="zh-CN" w:bidi="ar-SA"/>
        </w:rPr>
      </w:pPr>
      <m:oMathPara>
        <m:oMath>
          <m:r>
            <m:rPr/>
            <w:rPr>
              <w:rFonts w:hint="eastAsia" w:ascii="Cambria Math" w:hAnsi="Cambria Math" w:eastAsia="楷体" w:cs="楷体"/>
              <w:kern w:val="2"/>
              <w:sz w:val="28"/>
              <w:szCs w:val="28"/>
              <w:lang w:val="en-US" w:eastAsia="zh-CN" w:bidi="ar-SA"/>
            </w:rPr>
            <m:t>综合得分</m:t>
          </m:r>
          <m:r>
            <m:rPr/>
            <w:rPr>
              <w:rFonts w:hint="default" w:ascii="Cambria Math" w:hAnsi="Cambria Math" w:eastAsia="楷体" w:cs="楷体"/>
              <w:kern w:val="2"/>
              <w:sz w:val="28"/>
              <w:szCs w:val="28"/>
              <w:lang w:val="en-US" w:eastAsia="zh-CN" w:bidi="ar-SA"/>
            </w:rPr>
            <m:t>=</m:t>
          </m:r>
          <m:r>
            <m:rPr/>
            <w:rPr>
              <w:rFonts w:hint="eastAsia" w:ascii="Cambria Math" w:hAnsi="Cambria Math" w:eastAsia="楷体" w:cs="楷体"/>
              <w:kern w:val="2"/>
              <w:sz w:val="28"/>
              <w:szCs w:val="28"/>
              <w:lang w:val="en-US" w:eastAsia="zh-CN" w:bidi="ar-SA"/>
            </w:rPr>
            <m:t>估值得分</m:t>
          </m:r>
          <m:r>
            <m:rPr/>
            <w:rPr>
              <w:rFonts w:hint="default" w:ascii="Cambria Math" w:hAnsi="Cambria Math" w:eastAsia="楷体" w:cs="楷体"/>
              <w:kern w:val="2"/>
              <w:sz w:val="28"/>
              <w:szCs w:val="28"/>
              <w:lang w:val="en-US" w:eastAsia="zh-CN" w:bidi="ar-SA"/>
            </w:rPr>
            <m:t>+</m:t>
          </m:r>
          <m:r>
            <m:rPr/>
            <w:rPr>
              <w:rFonts w:hint="eastAsia" w:ascii="Cambria Math" w:hAnsi="Cambria Math" w:eastAsia="楷体" w:cs="楷体"/>
              <w:kern w:val="2"/>
              <w:sz w:val="28"/>
              <w:szCs w:val="28"/>
              <w:lang w:val="en-US" w:eastAsia="zh-CN" w:bidi="ar-SA"/>
            </w:rPr>
            <m:t>宏观得分</m:t>
          </m:r>
          <m:r>
            <m:rPr/>
            <w:rPr>
              <w:rFonts w:hint="default" w:ascii="Cambria Math" w:hAnsi="Cambria Math" w:eastAsia="楷体" w:cs="楷体"/>
              <w:kern w:val="2"/>
              <w:sz w:val="28"/>
              <w:szCs w:val="28"/>
              <w:lang w:val="en-US" w:eastAsia="zh-CN" w:bidi="ar-SA"/>
            </w:rPr>
            <m:t>+</m:t>
          </m:r>
          <m:r>
            <m:rPr/>
            <w:rPr>
              <w:rFonts w:hint="eastAsia" w:ascii="Cambria Math" w:hAnsi="Cambria Math" w:eastAsia="楷体" w:cs="楷体"/>
              <w:kern w:val="2"/>
              <w:sz w:val="28"/>
              <w:szCs w:val="28"/>
              <w:lang w:val="en-US" w:eastAsia="zh-CN" w:bidi="ar-SA"/>
            </w:rPr>
            <m:t>情绪得分</m:t>
          </m:r>
          <m:r>
            <m:rPr/>
            <w:rPr>
              <w:rFonts w:hint="default" w:ascii="Cambria Math" w:hAnsi="Cambria Math" w:eastAsia="楷体" w:cs="楷体"/>
              <w:kern w:val="2"/>
              <w:sz w:val="28"/>
              <w:szCs w:val="28"/>
              <w:lang w:val="en-US" w:eastAsia="zh-CN" w:bidi="ar-SA"/>
            </w:rPr>
            <m:t>+</m:t>
          </m:r>
          <m:r>
            <m:rPr/>
            <w:rPr>
              <w:rFonts w:hint="eastAsia" w:ascii="Cambria Math" w:hAnsi="Cambria Math" w:eastAsia="楷体" w:cs="楷体"/>
              <w:kern w:val="2"/>
              <w:sz w:val="28"/>
              <w:szCs w:val="28"/>
              <w:lang w:val="en-US" w:eastAsia="zh-CN" w:bidi="ar-SA"/>
            </w:rPr>
            <m:t>趋势得分</m:t>
          </m:r>
        </m:oMath>
      </m:oMathPara>
    </w:p>
    <w:p w14:paraId="70D3DC9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四个维度得分之和自动等于100分</w:t>
      </w:r>
      <w:r>
        <w:rPr>
          <w:rFonts w:hint="eastAsia" w:asciiTheme="minorEastAsia" w:hAnsiTheme="minorEastAsia" w:cstheme="minorEastAsia"/>
          <w:sz w:val="24"/>
          <w:szCs w:val="24"/>
          <w:lang w:val="en-US" w:eastAsia="zh-CN"/>
        </w:rPr>
        <w:t>。</w:t>
      </w:r>
    </w:p>
    <w:p w14:paraId="0257FAF7">
      <w:pPr>
        <w:numPr>
          <w:ilvl w:val="0"/>
          <w:numId w:val="17"/>
        </w:numPr>
        <w:ind w:left="845" w:leftChars="0" w:hanging="425" w:firstLineChars="0"/>
        <w:outlineLvl w:val="1"/>
        <w:rPr>
          <w:rFonts w:hint="default" w:ascii="楷体" w:hAnsi="楷体" w:eastAsia="楷体" w:cs="楷体"/>
          <w:sz w:val="28"/>
          <w:szCs w:val="28"/>
          <w:lang w:val="en-US" w:eastAsia="zh-CN"/>
        </w:rPr>
      </w:pPr>
      <w:bookmarkStart w:id="48" w:name="_Toc30442"/>
      <w:r>
        <w:rPr>
          <w:rFonts w:hint="eastAsia" w:ascii="楷体" w:hAnsi="楷体" w:eastAsia="楷体" w:cs="楷体"/>
          <w:sz w:val="28"/>
          <w:szCs w:val="28"/>
          <w:lang w:val="en-US" w:eastAsia="zh-CN"/>
        </w:rPr>
        <w:t>五档市场状态</w:t>
      </w:r>
      <w:bookmarkEnd w:id="48"/>
    </w:p>
    <w:p w14:paraId="583BBF3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根据综合得分，将市场环境划分为五档状态：</w:t>
      </w:r>
    </w:p>
    <w:p w14:paraId="74479D5D">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市场状态划分</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22"/>
        <w:gridCol w:w="1605"/>
        <w:gridCol w:w="2907"/>
        <w:gridCol w:w="2629"/>
      </w:tblGrid>
      <w:tr w14:paraId="3E927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2C8EDF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总分区间</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5A0B85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状态标签</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8BBDC1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含义</w:t>
            </w:r>
          </w:p>
        </w:tc>
        <w:tc>
          <w:tcPr>
            <w:tcW w:w="262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A384FA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操作基调</w:t>
            </w:r>
          </w:p>
        </w:tc>
      </w:tr>
      <w:tr w14:paraId="1395E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6F64912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75</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6B4EA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上行</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3C38C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牛市/强势上涨</w:t>
            </w:r>
          </w:p>
        </w:tc>
        <w:tc>
          <w:tcPr>
            <w:tcW w:w="262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5D3B15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积极进攻，高配权益</w:t>
            </w:r>
          </w:p>
        </w:tc>
      </w:tr>
      <w:tr w14:paraId="12858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B25FBD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60 – 74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42506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震荡偏强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3239CC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结构性行情，偏多</w:t>
            </w:r>
          </w:p>
        </w:tc>
        <w:tc>
          <w:tcPr>
            <w:tcW w:w="2629" w:type="dxa"/>
            <w:tcBorders>
              <w:top w:val="nil"/>
              <w:left w:val="nil"/>
              <w:bottom w:val="nil"/>
              <w:right w:val="nil"/>
            </w:tcBorders>
            <w:shd w:val="clear" w:color="auto" w:fill="FFFFFF"/>
            <w:noWrap w:val="0"/>
            <w:tcMar>
              <w:top w:w="100" w:type="dxa"/>
              <w:left w:w="160" w:type="dxa"/>
              <w:bottom w:w="100" w:type="dxa"/>
              <w:right w:w="-1" w:type="dxa"/>
            </w:tcMar>
            <w:vAlign w:val="center"/>
          </w:tcPr>
          <w:p w14:paraId="72C7554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中性偏积极</w:t>
            </w:r>
          </w:p>
        </w:tc>
      </w:tr>
      <w:tr w14:paraId="24BD6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B4D1B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45 – 59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C861CE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震荡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5E956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横盘整理，方向不明</w:t>
            </w:r>
          </w:p>
        </w:tc>
        <w:tc>
          <w:tcPr>
            <w:tcW w:w="2629" w:type="dxa"/>
            <w:tcBorders>
              <w:top w:val="nil"/>
              <w:left w:val="nil"/>
              <w:bottom w:val="nil"/>
              <w:right w:val="nil"/>
            </w:tcBorders>
            <w:shd w:val="clear" w:color="auto" w:fill="FFFFFF"/>
            <w:noWrap w:val="0"/>
            <w:tcMar>
              <w:top w:w="100" w:type="dxa"/>
              <w:left w:w="160" w:type="dxa"/>
              <w:bottom w:w="100" w:type="dxa"/>
              <w:right w:w="-1" w:type="dxa"/>
            </w:tcMar>
            <w:vAlign w:val="center"/>
          </w:tcPr>
          <w:p w14:paraId="3AC830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均衡配置</w:t>
            </w:r>
          </w:p>
        </w:tc>
      </w:tr>
      <w:tr w14:paraId="79D64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61C59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30 – 44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F46D8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下行</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8BFE23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熊市/弱势下跌</w:t>
            </w:r>
          </w:p>
        </w:tc>
        <w:tc>
          <w:tcPr>
            <w:tcW w:w="2629" w:type="dxa"/>
            <w:tcBorders>
              <w:top w:val="nil"/>
              <w:left w:val="nil"/>
              <w:bottom w:val="nil"/>
              <w:right w:val="nil"/>
            </w:tcBorders>
            <w:shd w:val="clear" w:color="auto" w:fill="FFFFFF"/>
            <w:noWrap w:val="0"/>
            <w:tcMar>
              <w:top w:w="100" w:type="dxa"/>
              <w:left w:w="160" w:type="dxa"/>
              <w:bottom w:w="100" w:type="dxa"/>
              <w:right w:w="-1" w:type="dxa"/>
            </w:tcMar>
            <w:vAlign w:val="center"/>
          </w:tcPr>
          <w:p w14:paraId="3F81B98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防御为主，低配权益</w:t>
            </w:r>
          </w:p>
        </w:tc>
      </w:tr>
      <w:tr w14:paraId="24172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22"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65CBBD5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&lt; 30</w:t>
            </w:r>
          </w:p>
        </w:tc>
        <w:tc>
          <w:tcPr>
            <w:tcW w:w="160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E5679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极寒</w:t>
            </w:r>
          </w:p>
        </w:tc>
        <w:tc>
          <w:tcPr>
            <w:tcW w:w="290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344F28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恐慌/流动性危机</w:t>
            </w:r>
          </w:p>
        </w:tc>
        <w:tc>
          <w:tcPr>
            <w:tcW w:w="262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6023CE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极限避险</w:t>
            </w:r>
          </w:p>
        </w:tc>
      </w:tr>
    </w:tbl>
    <w:p w14:paraId="0AE9E360">
      <w:pPr>
        <w:numPr>
          <w:ilvl w:val="0"/>
          <w:numId w:val="17"/>
        </w:numPr>
        <w:ind w:left="845" w:leftChars="0" w:hanging="425" w:firstLineChars="0"/>
        <w:outlineLvl w:val="1"/>
        <w:rPr>
          <w:rFonts w:hint="default" w:ascii="楷体" w:hAnsi="楷体" w:eastAsia="楷体" w:cs="楷体"/>
          <w:sz w:val="28"/>
          <w:szCs w:val="28"/>
          <w:lang w:val="en-US" w:eastAsia="zh-CN"/>
        </w:rPr>
      </w:pPr>
      <w:bookmarkStart w:id="49" w:name="_Toc10886"/>
      <w:r>
        <w:rPr>
          <w:rFonts w:hint="eastAsia" w:ascii="楷体" w:hAnsi="楷体" w:eastAsia="楷体" w:cs="楷体"/>
          <w:sz w:val="28"/>
          <w:szCs w:val="28"/>
          <w:lang w:val="en-US" w:eastAsia="zh-CN"/>
        </w:rPr>
        <w:t>关键转折点验证</w:t>
      </w:r>
      <w:bookmarkEnd w:id="49"/>
    </w:p>
    <w:p w14:paraId="1955B9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为验证评分系统的有效性，本项目选取2015年以来A股市场的8个关键转折点，检验该评分系统在上述节点的状态标识是否与真实市场行情一致。</w:t>
      </w:r>
    </w:p>
    <w:p w14:paraId="7AA69A9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市场环境验证</w:t>
      </w:r>
    </w:p>
    <w:tbl>
      <w:tblPr>
        <w:tblStyle w:val="13"/>
        <w:tblW w:w="84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71"/>
        <w:gridCol w:w="3718"/>
        <w:gridCol w:w="2296"/>
        <w:gridCol w:w="1208"/>
      </w:tblGrid>
      <w:tr w14:paraId="7C8F6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3A656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日期</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89A85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关键事件</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610B50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评分状态</w:t>
            </w:r>
          </w:p>
        </w:tc>
        <w:tc>
          <w:tcPr>
            <w:tcW w:w="120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30907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验证结果</w:t>
            </w:r>
          </w:p>
        </w:tc>
      </w:tr>
      <w:tr w14:paraId="4EC27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7AD45F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2015-06-12</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2C801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上证5178点牛市顶峰</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5200166">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上行（≥75）</w:t>
            </w:r>
          </w:p>
        </w:tc>
        <w:tc>
          <w:tcPr>
            <w:tcW w:w="1208"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7E22EEF1">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5246C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2CF42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2015-08-26</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94CB6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股灾后首轮反弹低点2850点</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F3196DB">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极寒/下行</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4F74A82C">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6CEA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D32895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2016-01-04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5DD20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熔断机制实施</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EF09FC0">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下行</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67C5D564">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0F32B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D57B4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2018-01-29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EC5A0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上证3587点阶段顶</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142AD0D">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震荡偏强→下行切换</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41535A21">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41C29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EEDB6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2019-01-04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9AAC9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上证2440点市场底</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E0CAADA">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极寒→震荡偏强切换</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0E321AC8">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52F1E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C6536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2020-03-23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0BE39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疫情冲击后的市场低点</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B0D2C3A">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极寒→震荡切换</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6826977E">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11591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298CBF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2021-02-18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F7F78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核心资产见顶（沪深300 5931点）</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C6C507C">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震荡偏强</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4CEABA9A">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5AAC2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72E26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2024-09-24</w:t>
            </w:r>
          </w:p>
        </w:tc>
        <w:tc>
          <w:tcPr>
            <w:tcW w:w="371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CD54AB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“924”政策组合拳启动</w:t>
            </w:r>
          </w:p>
        </w:tc>
        <w:tc>
          <w:tcPr>
            <w:tcW w:w="2296"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F3766B5">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极寒→震荡偏强切换</w:t>
            </w:r>
          </w:p>
        </w:tc>
        <w:tc>
          <w:tcPr>
            <w:tcW w:w="1208"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26E88FD4">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bl>
    <w:p w14:paraId="745D7435">
      <w:pPr>
        <w:numPr>
          <w:ilvl w:val="0"/>
          <w:numId w:val="0"/>
        </w:numPr>
        <w:jc w:val="both"/>
        <w:outlineLvl w:val="0"/>
        <w:rPr>
          <w:rFonts w:hint="default" w:ascii="黑体" w:hAnsi="黑体" w:eastAsia="黑体" w:cs="黑体"/>
          <w:sz w:val="30"/>
          <w:szCs w:val="30"/>
          <w:lang w:val="en-US" w:eastAsia="zh-CN"/>
        </w:rPr>
      </w:pPr>
      <w:bookmarkStart w:id="50" w:name="_Toc23052"/>
      <w:r>
        <w:rPr>
          <w:rFonts w:hint="default" w:ascii="黑体" w:hAnsi="黑体" w:eastAsia="黑体" w:cs="黑体"/>
          <w:sz w:val="30"/>
          <w:szCs w:val="30"/>
          <w:lang w:val="en-US" w:eastAsia="zh-CN"/>
        </w:rPr>
        <w:drawing>
          <wp:inline distT="0" distB="0" distL="114300" distR="114300">
            <wp:extent cx="5259070" cy="3058160"/>
            <wp:effectExtent l="0" t="0" r="11430" b="2540"/>
            <wp:docPr id="3" name="图片 3" descr="7ad744f321d55354806de1a843c9a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ad744f321d55354806de1a843c9a97f"/>
                    <pic:cNvPicPr>
                      <a:picLocks noChangeAspect="1"/>
                    </pic:cNvPicPr>
                  </pic:nvPicPr>
                  <pic:blipFill>
                    <a:blip r:embed="rId9"/>
                    <a:stretch>
                      <a:fillRect/>
                    </a:stretch>
                  </pic:blipFill>
                  <pic:spPr>
                    <a:xfrm>
                      <a:off x="0" y="0"/>
                      <a:ext cx="5259070" cy="3058160"/>
                    </a:xfrm>
                    <a:prstGeom prst="rect">
                      <a:avLst/>
                    </a:prstGeom>
                  </pic:spPr>
                </pic:pic>
              </a:graphicData>
            </a:graphic>
          </wp:inline>
        </w:drawing>
      </w:r>
    </w:p>
    <w:p w14:paraId="216CE481">
      <w:pPr>
        <w:pStyle w:val="5"/>
        <w:numPr>
          <w:ilvl w:val="0"/>
          <w:numId w:val="0"/>
        </w:numPr>
        <w:ind w:left="420" w:leftChars="0"/>
        <w:jc w:val="center"/>
        <w:outlineLvl w:val="0"/>
        <w:rPr>
          <w:rFonts w:hint="default" w:ascii="黑体" w:hAnsi="黑体" w:eastAsia="黑体" w:cs="黑体"/>
          <w:sz w:val="30"/>
          <w:szCs w:val="30"/>
          <w:lang w:val="en-US" w:eastAsia="zh-CN"/>
        </w:rPr>
      </w:pPr>
      <w:r>
        <w:rPr>
          <w:rFonts w:hint="eastAsia" w:asciiTheme="minorEastAsia" w:hAnsiTheme="minorEastAsia" w:eastAsiaTheme="minorEastAsia" w:cstheme="minorEastAsia"/>
          <w:sz w:val="24"/>
          <w:szCs w:val="24"/>
        </w:rPr>
        <w:t xml:space="preserve">图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图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rPr>
        <w:t>市场环境评分历史轨迹图</w:t>
      </w:r>
    </w:p>
    <w:p w14:paraId="6FFB03FD">
      <w:pPr>
        <w:numPr>
          <w:ilvl w:val="0"/>
          <w:numId w:val="12"/>
        </w:numPr>
        <w:ind w:left="0" w:leftChars="0" w:firstLine="420" w:firstLineChars="0"/>
        <w:outlineLvl w:val="0"/>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调仓决策规则</w:t>
      </w:r>
      <w:bookmarkEnd w:id="50"/>
    </w:p>
    <w:p w14:paraId="2E3BAC64">
      <w:pPr>
        <w:numPr>
          <w:ilvl w:val="0"/>
          <w:numId w:val="18"/>
        </w:numPr>
        <w:ind w:left="845" w:leftChars="0" w:hanging="425" w:firstLineChars="0"/>
        <w:outlineLvl w:val="1"/>
        <w:rPr>
          <w:rFonts w:hint="default" w:ascii="黑体" w:hAnsi="黑体" w:eastAsia="黑体" w:cs="黑体"/>
          <w:sz w:val="30"/>
          <w:szCs w:val="30"/>
          <w:lang w:val="en-US" w:eastAsia="zh-CN"/>
        </w:rPr>
      </w:pPr>
      <w:bookmarkStart w:id="51" w:name="_Toc13594"/>
      <w:r>
        <w:rPr>
          <w:rFonts w:hint="default" w:ascii="楷体" w:hAnsi="楷体" w:eastAsia="楷体" w:cs="楷体"/>
          <w:sz w:val="28"/>
          <w:szCs w:val="28"/>
          <w:lang w:val="en-US" w:eastAsia="zh-CN"/>
        </w:rPr>
        <w:t>调仓频率</w:t>
      </w:r>
      <w:bookmarkEnd w:id="51"/>
    </w:p>
    <w:p w14:paraId="75F570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采用月度调仓策略，于每月最后一个交易日计算新的配置权重，在次月第一个交易日开盘执行。回测结果显示，双周、月度、季度三种调仓频率下，各策略年化收益差异仅为±0.02%，月度调仓是换手率与信号时效性之间的合理平衡。</w:t>
      </w:r>
    </w:p>
    <w:p w14:paraId="5947343C">
      <w:pPr>
        <w:numPr>
          <w:ilvl w:val="0"/>
          <w:numId w:val="18"/>
        </w:numPr>
        <w:ind w:left="845" w:leftChars="0" w:hanging="425" w:firstLineChars="0"/>
        <w:outlineLvl w:val="1"/>
        <w:rPr>
          <w:rFonts w:hint="eastAsia" w:asciiTheme="minorEastAsia" w:hAnsiTheme="minorEastAsia" w:eastAsiaTheme="minorEastAsia" w:cstheme="minorEastAsia"/>
          <w:sz w:val="24"/>
          <w:szCs w:val="24"/>
          <w:lang w:val="en-US" w:eastAsia="zh-CN"/>
        </w:rPr>
      </w:pPr>
      <w:bookmarkStart w:id="52" w:name="_Toc19709"/>
      <w:r>
        <w:rPr>
          <w:rFonts w:hint="default" w:ascii="楷体" w:hAnsi="楷体" w:eastAsia="楷体" w:cs="楷体"/>
          <w:sz w:val="28"/>
          <w:szCs w:val="28"/>
          <w:lang w:val="en-US" w:eastAsia="zh-CN"/>
        </w:rPr>
        <w:t>调仓触发条件</w:t>
      </w:r>
      <w:bookmarkEnd w:id="52"/>
    </w:p>
    <w:p w14:paraId="495DAB9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调仓在以下两种</w:t>
      </w:r>
      <w:r>
        <w:rPr>
          <w:rFonts w:hint="eastAsia" w:asciiTheme="minorEastAsia" w:hAnsiTheme="minorEastAsia" w:eastAsiaTheme="minorEastAsia" w:cstheme="minorEastAsia"/>
          <w:sz w:val="24"/>
          <w:szCs w:val="24"/>
          <w:lang w:val="en-US" w:eastAsia="zh-CN"/>
        </w:rPr>
        <w:t>情形下</w:t>
      </w:r>
      <w:r>
        <w:rPr>
          <w:rFonts w:hint="default" w:asciiTheme="minorEastAsia" w:hAnsiTheme="minorEastAsia" w:eastAsiaTheme="minorEastAsia" w:cstheme="minorEastAsia"/>
          <w:sz w:val="24"/>
          <w:szCs w:val="24"/>
          <w:lang w:val="en-US" w:eastAsia="zh-CN"/>
        </w:rPr>
        <w:t>触发：</w:t>
      </w:r>
    </w:p>
    <w:p w14:paraId="55249615">
      <w:pPr>
        <w:keepNext w:val="0"/>
        <w:keepLines w:val="0"/>
        <w:pageBreakBefore w:val="0"/>
        <w:widowControl w:val="0"/>
        <w:numPr>
          <w:ilvl w:val="0"/>
          <w:numId w:val="19"/>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定期调仓：每月执行一次，根据最新市场状态重新计算配置权重</w:t>
      </w:r>
      <w:r>
        <w:rPr>
          <w:rFonts w:hint="eastAsia" w:asciiTheme="minorEastAsia" w:hAnsiTheme="minorEastAsia" w:cstheme="minorEastAsia"/>
          <w:sz w:val="24"/>
          <w:szCs w:val="24"/>
          <w:lang w:val="en-US" w:eastAsia="zh-CN"/>
        </w:rPr>
        <w:t>；</w:t>
      </w:r>
    </w:p>
    <w:p w14:paraId="129B1E83">
      <w:pPr>
        <w:keepNext w:val="0"/>
        <w:keepLines w:val="0"/>
        <w:pageBreakBefore w:val="0"/>
        <w:widowControl w:val="0"/>
        <w:numPr>
          <w:ilvl w:val="0"/>
          <w:numId w:val="19"/>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事件触发：当市场状态发生跨档切换时（如从“震荡”切换为“上行”），立即触发调仓，不</w:t>
      </w:r>
      <w:r>
        <w:rPr>
          <w:rFonts w:hint="eastAsia" w:asciiTheme="minorEastAsia" w:hAnsiTheme="minorEastAsia" w:eastAsiaTheme="minorEastAsia" w:cstheme="minorEastAsia"/>
          <w:sz w:val="24"/>
          <w:szCs w:val="24"/>
          <w:lang w:val="en-US" w:eastAsia="zh-CN"/>
        </w:rPr>
        <w:t>等待</w:t>
      </w:r>
      <w:r>
        <w:rPr>
          <w:rFonts w:hint="default" w:asciiTheme="minorEastAsia" w:hAnsiTheme="minorEastAsia" w:eastAsiaTheme="minorEastAsia" w:cstheme="minorEastAsia"/>
          <w:sz w:val="24"/>
          <w:szCs w:val="24"/>
          <w:lang w:val="en-US" w:eastAsia="zh-CN"/>
        </w:rPr>
        <w:t>月末</w:t>
      </w:r>
      <w:r>
        <w:rPr>
          <w:rFonts w:hint="eastAsia" w:asciiTheme="minorEastAsia" w:hAnsiTheme="minorEastAsia" w:cstheme="minorEastAsia"/>
          <w:sz w:val="24"/>
          <w:szCs w:val="24"/>
          <w:lang w:val="en-US" w:eastAsia="zh-CN"/>
        </w:rPr>
        <w:t>。</w:t>
      </w:r>
    </w:p>
    <w:p w14:paraId="3B432E76">
      <w:pPr>
        <w:numPr>
          <w:ilvl w:val="0"/>
          <w:numId w:val="18"/>
        </w:numPr>
        <w:ind w:left="845" w:leftChars="0" w:hanging="425" w:firstLineChars="0"/>
        <w:outlineLvl w:val="1"/>
        <w:rPr>
          <w:rFonts w:hint="default" w:ascii="楷体" w:hAnsi="楷体" w:eastAsia="楷体" w:cs="楷体"/>
          <w:sz w:val="28"/>
          <w:szCs w:val="28"/>
          <w:lang w:val="en-US" w:eastAsia="zh-CN"/>
        </w:rPr>
      </w:pPr>
      <w:bookmarkStart w:id="53" w:name="_Toc6236"/>
      <w:r>
        <w:rPr>
          <w:rFonts w:hint="default" w:ascii="楷体" w:hAnsi="楷体" w:eastAsia="楷体" w:cs="楷体"/>
          <w:sz w:val="28"/>
          <w:szCs w:val="28"/>
          <w:lang w:val="en-US" w:eastAsia="zh-CN"/>
        </w:rPr>
        <w:t>仓位调整规则</w:t>
      </w:r>
      <w:bookmarkEnd w:id="53"/>
    </w:p>
    <w:p w14:paraId="54A4DCB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基于市场状态和客户风险偏好，动态调整权益仓位：</w:t>
      </w:r>
    </w:p>
    <w:p w14:paraId="57C8C6A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仓位调整规则</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53"/>
        <w:gridCol w:w="2014"/>
        <w:gridCol w:w="2207"/>
        <w:gridCol w:w="2989"/>
      </w:tblGrid>
      <w:tr w14:paraId="17E99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112858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市场状态</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0B1E48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基准权益仓位</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EA75D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行业偏向</w:t>
            </w:r>
          </w:p>
        </w:tc>
        <w:tc>
          <w:tcPr>
            <w:tcW w:w="298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9F4B3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操作说明</w:t>
            </w:r>
          </w:p>
        </w:tc>
      </w:tr>
      <w:tr w14:paraId="6B52E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CEF62D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上行</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7D0909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70%–90%</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D8721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科技/成长/消费</w:t>
            </w:r>
          </w:p>
        </w:tc>
        <w:tc>
          <w:tcPr>
            <w:tcW w:w="298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236A030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积极配置，超配弹性资产</w:t>
            </w:r>
          </w:p>
        </w:tc>
      </w:tr>
      <w:tr w14:paraId="78E25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42286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震荡偏强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116919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50%–70%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D204AD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均衡配置</w:t>
            </w:r>
          </w:p>
        </w:tc>
        <w:tc>
          <w:tcPr>
            <w:tcW w:w="2989" w:type="dxa"/>
            <w:tcBorders>
              <w:top w:val="nil"/>
              <w:left w:val="nil"/>
              <w:bottom w:val="nil"/>
              <w:right w:val="nil"/>
            </w:tcBorders>
            <w:shd w:val="clear" w:color="auto" w:fill="FFFFFF"/>
            <w:noWrap w:val="0"/>
            <w:tcMar>
              <w:top w:w="100" w:type="dxa"/>
              <w:left w:w="160" w:type="dxa"/>
              <w:bottom w:w="100" w:type="dxa"/>
              <w:right w:w="-1" w:type="dxa"/>
            </w:tcMar>
            <w:vAlign w:val="center"/>
          </w:tcPr>
          <w:p w14:paraId="126E320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中性偏积极</w:t>
            </w:r>
          </w:p>
        </w:tc>
      </w:tr>
      <w:tr w14:paraId="16CBD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EFFDB5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6E3A8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30%–50%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03E29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消费/红利</w:t>
            </w:r>
          </w:p>
        </w:tc>
        <w:tc>
          <w:tcPr>
            <w:tcW w:w="2989" w:type="dxa"/>
            <w:tcBorders>
              <w:top w:val="nil"/>
              <w:left w:val="nil"/>
              <w:bottom w:val="nil"/>
              <w:right w:val="nil"/>
            </w:tcBorders>
            <w:shd w:val="clear" w:color="auto" w:fill="FFFFFF"/>
            <w:noWrap w:val="0"/>
            <w:tcMar>
              <w:top w:w="100" w:type="dxa"/>
              <w:left w:w="160" w:type="dxa"/>
              <w:bottom w:w="100" w:type="dxa"/>
              <w:right w:w="-1" w:type="dxa"/>
            </w:tcMar>
            <w:vAlign w:val="center"/>
          </w:tcPr>
          <w:p w14:paraId="575948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均衡配置，适度防御</w:t>
            </w:r>
          </w:p>
        </w:tc>
      </w:tr>
      <w:tr w14:paraId="7FE27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C0743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下行</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83E77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10%–30%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E791AF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债券/黄金/红利</w:t>
            </w:r>
          </w:p>
        </w:tc>
        <w:tc>
          <w:tcPr>
            <w:tcW w:w="2989" w:type="dxa"/>
            <w:tcBorders>
              <w:top w:val="nil"/>
              <w:left w:val="nil"/>
              <w:bottom w:val="nil"/>
              <w:right w:val="nil"/>
            </w:tcBorders>
            <w:shd w:val="clear" w:color="auto" w:fill="FFFFFF"/>
            <w:noWrap w:val="0"/>
            <w:tcMar>
              <w:top w:w="100" w:type="dxa"/>
              <w:left w:w="160" w:type="dxa"/>
              <w:bottom w:w="100" w:type="dxa"/>
              <w:right w:w="-1" w:type="dxa"/>
            </w:tcMar>
            <w:vAlign w:val="center"/>
          </w:tcPr>
          <w:p w14:paraId="602BB0F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防御为主，控制仓位</w:t>
            </w:r>
          </w:p>
        </w:tc>
      </w:tr>
      <w:tr w14:paraId="76724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25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56A12DC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w:t>
            </w:r>
          </w:p>
        </w:tc>
        <w:tc>
          <w:tcPr>
            <w:tcW w:w="2014"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E253D5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5%–10%</w:t>
            </w:r>
          </w:p>
        </w:tc>
        <w:tc>
          <w:tcPr>
            <w:tcW w:w="220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7414A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现金/短债/黄金</w:t>
            </w:r>
          </w:p>
        </w:tc>
        <w:tc>
          <w:tcPr>
            <w:tcW w:w="298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7CBC6B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极限避险，保存本金</w:t>
            </w:r>
          </w:p>
        </w:tc>
      </w:tr>
    </w:tbl>
    <w:p w14:paraId="21E5ADCF">
      <w:pPr>
        <w:rPr>
          <w:rFonts w:hint="default"/>
          <w:lang w:val="en-US" w:eastAsia="zh-CN"/>
        </w:rPr>
      </w:pPr>
    </w:p>
    <w:p w14:paraId="31AACA4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具体权益仓位同时受客户风险类型约束（保守型C2上限20%，平衡型C3上限50%，进取型C4上限70%），取“市场状态建议仓位”与“客户类型上限”的较小值。</w:t>
      </w:r>
    </w:p>
    <w:p w14:paraId="550C9C2C">
      <w:pPr>
        <w:numPr>
          <w:ilvl w:val="0"/>
          <w:numId w:val="18"/>
        </w:numPr>
        <w:ind w:left="845" w:leftChars="0" w:hanging="425" w:firstLineChars="0"/>
        <w:outlineLvl w:val="1"/>
        <w:rPr>
          <w:rFonts w:hint="default" w:ascii="楷体" w:hAnsi="楷体" w:eastAsia="楷体" w:cs="楷体"/>
          <w:sz w:val="28"/>
          <w:szCs w:val="28"/>
          <w:lang w:val="en-US" w:eastAsia="zh-CN"/>
        </w:rPr>
      </w:pPr>
      <w:bookmarkStart w:id="54" w:name="_Toc4763"/>
      <w:r>
        <w:rPr>
          <w:rFonts w:hint="default" w:ascii="楷体" w:hAnsi="楷体" w:eastAsia="楷体" w:cs="楷体"/>
          <w:sz w:val="28"/>
          <w:szCs w:val="28"/>
          <w:lang w:val="en-US" w:eastAsia="zh-CN"/>
        </w:rPr>
        <w:t>权重硬约束</w:t>
      </w:r>
      <w:bookmarkEnd w:id="54"/>
    </w:p>
    <w:p w14:paraId="2E6C159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权重设定规则</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38"/>
        <w:gridCol w:w="4605"/>
        <w:gridCol w:w="2120"/>
      </w:tblGrid>
      <w:tr w14:paraId="27F98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E940D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约束类型</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4BCB4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约束值</w:t>
            </w:r>
          </w:p>
        </w:tc>
        <w:tc>
          <w:tcPr>
            <w:tcW w:w="212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D6AC8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依据</w:t>
            </w:r>
          </w:p>
        </w:tc>
      </w:tr>
      <w:tr w14:paraId="4FC4A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01A70C7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单只ETF权重上限</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6FA65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30%</w:t>
            </w:r>
          </w:p>
        </w:tc>
        <w:tc>
          <w:tcPr>
            <w:tcW w:w="2120"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7BEDA9C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防止单一资产过度集中</w:t>
            </w:r>
          </w:p>
        </w:tc>
      </w:tr>
      <w:tr w14:paraId="4D122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1BA4F1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行业主题ETF合计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11BF2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40%</w:t>
            </w:r>
          </w:p>
        </w:tc>
        <w:tc>
          <w:tcPr>
            <w:tcW w:w="2120" w:type="dxa"/>
            <w:tcBorders>
              <w:top w:val="nil"/>
              <w:left w:val="nil"/>
              <w:bottom w:val="nil"/>
              <w:right w:val="nil"/>
            </w:tcBorders>
            <w:shd w:val="clear" w:color="auto" w:fill="FFFFFF"/>
            <w:noWrap w:val="0"/>
            <w:tcMar>
              <w:top w:w="100" w:type="dxa"/>
              <w:left w:w="160" w:type="dxa"/>
              <w:bottom w:w="100" w:type="dxa"/>
              <w:right w:w="-1" w:type="dxa"/>
            </w:tcMar>
            <w:vAlign w:val="center"/>
          </w:tcPr>
          <w:p w14:paraId="53660C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控制卫星仓位风险暴露</w:t>
            </w:r>
          </w:p>
        </w:tc>
      </w:tr>
      <w:tr w14:paraId="2405C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38"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319895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固收+黄金合计</w:t>
            </w:r>
          </w:p>
        </w:tc>
        <w:tc>
          <w:tcPr>
            <w:tcW w:w="460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B44AC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10%（进取）/ ≥ 25%（平衡）/ ≥ 50%（保守）</w:t>
            </w:r>
          </w:p>
        </w:tc>
        <w:tc>
          <w:tcPr>
            <w:tcW w:w="2120"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1E1AA4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依据客户风险偏好</w:t>
            </w:r>
          </w:p>
        </w:tc>
      </w:tr>
    </w:tbl>
    <w:p w14:paraId="5FC4A364">
      <w:pPr>
        <w:numPr>
          <w:ilvl w:val="0"/>
          <w:numId w:val="12"/>
        </w:numPr>
        <w:ind w:left="0" w:leftChars="0" w:firstLine="420" w:firstLineChars="0"/>
        <w:outlineLvl w:val="0"/>
        <w:rPr>
          <w:rFonts w:hint="eastAsia" w:ascii="黑体" w:hAnsi="黑体" w:eastAsia="黑体" w:cs="黑体"/>
          <w:sz w:val="30"/>
          <w:szCs w:val="30"/>
          <w:lang w:val="en-US" w:eastAsia="zh-CN"/>
        </w:rPr>
      </w:pPr>
      <w:bookmarkStart w:id="55" w:name="_Toc3706"/>
      <w:r>
        <w:rPr>
          <w:rFonts w:hint="default" w:ascii="黑体" w:hAnsi="黑体" w:eastAsia="黑体" w:cs="黑体"/>
          <w:sz w:val="30"/>
          <w:szCs w:val="30"/>
          <w:lang w:val="en-US" w:eastAsia="zh-CN"/>
        </w:rPr>
        <w:t>评分系统实证效果</w:t>
      </w:r>
      <w:bookmarkEnd w:id="55"/>
    </w:p>
    <w:p w14:paraId="1761792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基于2015年1月至2026年6月的回测数据，评分系统驱动的动态评分策略表现如下：</w:t>
      </w:r>
    </w:p>
    <w:p w14:paraId="1B22F2DC">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评分系统实证效果1</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38"/>
        <w:gridCol w:w="2630"/>
        <w:gridCol w:w="1983"/>
        <w:gridCol w:w="2212"/>
      </w:tblGrid>
      <w:tr w14:paraId="3D91E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580C2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指标</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FF6FF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动态评分策略</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E5406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等权基准</w:t>
            </w:r>
          </w:p>
        </w:tc>
        <w:tc>
          <w:tcPr>
            <w:tcW w:w="2212"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B9919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改善幅度</w:t>
            </w:r>
          </w:p>
        </w:tc>
      </w:tr>
      <w:tr w14:paraId="21564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65899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年化收益</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C58684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19.8%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4D89A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13.8%</w:t>
            </w:r>
          </w:p>
        </w:tc>
        <w:tc>
          <w:tcPr>
            <w:tcW w:w="2212"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4606C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+6.0 pp</w:t>
            </w:r>
          </w:p>
        </w:tc>
      </w:tr>
      <w:tr w14:paraId="17037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2F5B8D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最大回撤</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10976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-16.5%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F5600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-38.4%</w:t>
            </w:r>
          </w:p>
        </w:tc>
        <w:tc>
          <w:tcPr>
            <w:tcW w:w="2212" w:type="dxa"/>
            <w:tcBorders>
              <w:top w:val="nil"/>
              <w:left w:val="nil"/>
              <w:bottom w:val="nil"/>
              <w:right w:val="nil"/>
            </w:tcBorders>
            <w:shd w:val="clear" w:color="auto" w:fill="FFFFFF"/>
            <w:noWrap w:val="0"/>
            <w:tcMar>
              <w:top w:w="100" w:type="dxa"/>
              <w:left w:w="160" w:type="dxa"/>
              <w:bottom w:w="100" w:type="dxa"/>
              <w:right w:w="-1" w:type="dxa"/>
            </w:tcMar>
            <w:vAlign w:val="center"/>
          </w:tcPr>
          <w:p w14:paraId="0A56FF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改善21.9 pp</w:t>
            </w:r>
          </w:p>
        </w:tc>
      </w:tr>
      <w:tr w14:paraId="21650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94D70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夏普比率</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BECBF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B4914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0.44</w:t>
            </w:r>
          </w:p>
        </w:tc>
        <w:tc>
          <w:tcPr>
            <w:tcW w:w="2212" w:type="dxa"/>
            <w:tcBorders>
              <w:top w:val="nil"/>
              <w:left w:val="nil"/>
              <w:bottom w:val="nil"/>
              <w:right w:val="nil"/>
            </w:tcBorders>
            <w:shd w:val="clear" w:color="auto" w:fill="FFFFFF"/>
            <w:noWrap w:val="0"/>
            <w:tcMar>
              <w:top w:w="100" w:type="dxa"/>
              <w:left w:w="160" w:type="dxa"/>
              <w:bottom w:w="100" w:type="dxa"/>
              <w:right w:w="-1" w:type="dxa"/>
            </w:tcMar>
            <w:vAlign w:val="center"/>
          </w:tcPr>
          <w:p w14:paraId="4EB72A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+0.05</w:t>
            </w:r>
          </w:p>
        </w:tc>
      </w:tr>
      <w:tr w14:paraId="6CF4F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38"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A5F976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卡玛比率</w:t>
            </w:r>
          </w:p>
        </w:tc>
        <w:tc>
          <w:tcPr>
            <w:tcW w:w="263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4923E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1.20</w:t>
            </w:r>
          </w:p>
        </w:tc>
        <w:tc>
          <w:tcPr>
            <w:tcW w:w="198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C364A6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0.36</w:t>
            </w:r>
          </w:p>
        </w:tc>
        <w:tc>
          <w:tcPr>
            <w:tcW w:w="2212"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3CC19D1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+0.84</w:t>
            </w:r>
          </w:p>
        </w:tc>
      </w:tr>
    </w:tbl>
    <w:p w14:paraId="3DE682D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在三次市场危机中，评分系统的仓位择时能力尤为突出：</w:t>
      </w:r>
    </w:p>
    <w:p w14:paraId="137D09A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评分系统实证效果2</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69"/>
        <w:gridCol w:w="2470"/>
        <w:gridCol w:w="1862"/>
        <w:gridCol w:w="1862"/>
      </w:tblGrid>
      <w:tr w14:paraId="5AC3B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41986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危机阶段</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5FA8C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动态评分回撤</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11F9B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等权回撤</w:t>
            </w:r>
          </w:p>
        </w:tc>
        <w:tc>
          <w:tcPr>
            <w:tcW w:w="1862"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F1DDA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回撤改善</w:t>
            </w:r>
          </w:p>
        </w:tc>
      </w:tr>
      <w:tr w14:paraId="7F655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7C711D3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2015股灾</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0EE938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-13.4%</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87767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-35.3%</w:t>
            </w:r>
          </w:p>
        </w:tc>
        <w:tc>
          <w:tcPr>
            <w:tcW w:w="1862"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3AFF61E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-21.9 pp</w:t>
            </w:r>
          </w:p>
        </w:tc>
      </w:tr>
      <w:tr w14:paraId="6FE9E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300B4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2018熊市</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4F71A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-4.5%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DC64C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-16.2%</w:t>
            </w:r>
          </w:p>
        </w:tc>
        <w:tc>
          <w:tcPr>
            <w:tcW w:w="1862" w:type="dxa"/>
            <w:tcBorders>
              <w:top w:val="nil"/>
              <w:left w:val="nil"/>
              <w:bottom w:val="nil"/>
              <w:right w:val="nil"/>
            </w:tcBorders>
            <w:shd w:val="clear" w:color="auto" w:fill="FFFFFF"/>
            <w:noWrap w:val="0"/>
            <w:tcMar>
              <w:top w:w="100" w:type="dxa"/>
              <w:left w:w="160" w:type="dxa"/>
              <w:bottom w:w="100" w:type="dxa"/>
              <w:right w:w="-1" w:type="dxa"/>
            </w:tcMar>
            <w:vAlign w:val="center"/>
          </w:tcPr>
          <w:p w14:paraId="01DFBAC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-11.7 pp</w:t>
            </w:r>
          </w:p>
        </w:tc>
      </w:tr>
      <w:tr w14:paraId="7E315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6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42CB80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2022加息冲击</w:t>
            </w:r>
          </w:p>
        </w:tc>
        <w:tc>
          <w:tcPr>
            <w:tcW w:w="247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65F98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-3.7%</w:t>
            </w:r>
          </w:p>
        </w:tc>
        <w:tc>
          <w:tcPr>
            <w:tcW w:w="1862"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537321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-17.7%</w:t>
            </w:r>
          </w:p>
        </w:tc>
        <w:tc>
          <w:tcPr>
            <w:tcW w:w="1862"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23DAC0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-14.0 pp</w:t>
            </w:r>
          </w:p>
        </w:tc>
      </w:tr>
    </w:tbl>
    <w:p w14:paraId="3E2CAF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2021年以来的长期震荡行情阶段（共计1307个交易日，占回测总区间的二分之一），动态评分策略累计收益率为34.4%，等权策略累计收益率仅为7.5%，前者相对后者的超额收益达26.9个百分点。该结果有效验证了“市场状态分类→差异化配置”的核心逻辑：在市场参与者面临考验的长期震荡行情中，基于评分的动态配置策略仍可获取显著超额收益。</w:t>
      </w:r>
    </w:p>
    <w:p w14:paraId="26C7C3CC">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56" w:name="_Toc7161"/>
      <w:r>
        <w:rPr>
          <w:rFonts w:hint="default" w:ascii="黑体" w:hAnsi="黑体" w:eastAsia="黑体" w:cs="黑体"/>
          <w:sz w:val="32"/>
          <w:szCs w:val="32"/>
          <w:lang w:val="en-US" w:eastAsia="zh-CN"/>
        </w:rPr>
        <w:t> LightGBM收益预测与动态融合</w:t>
      </w:r>
      <w:bookmarkEnd w:id="56"/>
    </w:p>
    <w:p w14:paraId="4A2B85E7">
      <w:pPr>
        <w:numPr>
          <w:ilvl w:val="0"/>
          <w:numId w:val="20"/>
        </w:numPr>
        <w:ind w:left="0" w:leftChars="0" w:firstLine="420" w:firstLineChars="0"/>
        <w:outlineLvl w:val="0"/>
        <w:rPr>
          <w:rFonts w:hint="default" w:ascii="黑体" w:hAnsi="黑体" w:eastAsia="黑体" w:cs="黑体"/>
          <w:sz w:val="30"/>
          <w:szCs w:val="30"/>
          <w:lang w:val="en-US" w:eastAsia="zh-CN"/>
        </w:rPr>
      </w:pPr>
      <w:bookmarkStart w:id="57" w:name="_Toc27989"/>
      <w:r>
        <w:rPr>
          <w:rFonts w:hint="default" w:ascii="黑体" w:hAnsi="黑体" w:eastAsia="黑体" w:cs="黑体"/>
          <w:sz w:val="30"/>
          <w:szCs w:val="30"/>
          <w:lang w:val="en-US" w:eastAsia="zh-CN"/>
        </w:rPr>
        <w:t>特征工程与筛选</w:t>
      </w:r>
      <w:bookmarkEnd w:id="57"/>
    </w:p>
    <w:p w14:paraId="40E5522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原始数据集共包含182维特征，覆盖技术因子（7只ETF×11指标）、估值指标（PE/PB/ERP/分位）、宏观数据（PMI/CPI/M2/社融）、资金面（两融/北向/换手率）及合成因子。高维特征存在多重共线性与噪声问题，直接输入模型会引发过拟合。</w:t>
      </w:r>
    </w:p>
    <w:p w14:paraId="1790AA7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本章采用三层特征筛选流水线：</w:t>
      </w:r>
    </w:p>
    <w:p w14:paraId="7050C437">
      <w:pPr>
        <w:keepNext w:val="0"/>
        <w:keepLines w:val="0"/>
        <w:pageBreakBefore w:val="0"/>
        <w:widowControl w:val="0"/>
        <w:numPr>
          <w:ilvl w:val="0"/>
          <w:numId w:val="21"/>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b/>
          <w:bCs/>
          <w:sz w:val="24"/>
          <w:szCs w:val="24"/>
          <w:lang w:val="en-US" w:eastAsia="zh-CN"/>
        </w:rPr>
        <w:t>第一层：采用3σ极端值截断处理。</w:t>
      </w:r>
      <w:r>
        <w:rPr>
          <w:rFonts w:hint="eastAsia" w:asciiTheme="minorEastAsia" w:hAnsiTheme="minorEastAsia" w:eastAsiaTheme="minorEastAsia" w:cstheme="minorEastAsia"/>
          <w:sz w:val="24"/>
          <w:szCs w:val="24"/>
          <w:lang w:val="en-US" w:eastAsia="zh-CN"/>
        </w:rPr>
        <w:t>对每列特征，将偏离均值超过3倍标准差的观测值截断至边界值，以消除数据录入错误与极端行情干扰。</w:t>
      </w:r>
    </w:p>
    <w:p w14:paraId="6B05B2CF">
      <w:pPr>
        <w:keepNext w:val="0"/>
        <w:keepLines w:val="0"/>
        <w:pageBreakBefore w:val="0"/>
        <w:widowControl w:val="0"/>
        <w:numPr>
          <w:ilvl w:val="0"/>
          <w:numId w:val="21"/>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第二层：</w:t>
      </w:r>
      <w:r>
        <w:rPr>
          <w:rFonts w:hint="eastAsia" w:asciiTheme="minorEastAsia" w:hAnsiTheme="minorEastAsia" w:cstheme="minorEastAsia"/>
          <w:b/>
          <w:bCs/>
          <w:sz w:val="24"/>
          <w:szCs w:val="24"/>
          <w:lang w:val="en-US" w:eastAsia="zh-CN"/>
        </w:rPr>
        <w:t>开展</w:t>
      </w:r>
      <w:r>
        <w:rPr>
          <w:rFonts w:hint="default" w:asciiTheme="minorEastAsia" w:hAnsiTheme="minorEastAsia" w:eastAsiaTheme="minorEastAsia" w:cstheme="minorEastAsia"/>
          <w:b/>
          <w:bCs/>
          <w:sz w:val="24"/>
          <w:szCs w:val="24"/>
          <w:lang w:val="en-US" w:eastAsia="zh-CN"/>
        </w:rPr>
        <w:t>IC因子有效性筛选。</w:t>
      </w:r>
      <w:r>
        <w:rPr>
          <w:rFonts w:hint="default" w:asciiTheme="minorEastAsia" w:hAnsiTheme="minorEastAsia" w:eastAsiaTheme="minorEastAsia" w:cstheme="minorEastAsia"/>
          <w:sz w:val="24"/>
          <w:szCs w:val="24"/>
          <w:lang w:val="en-US" w:eastAsia="zh-CN"/>
        </w:rPr>
        <w:t>计算</w:t>
      </w:r>
      <w:r>
        <w:rPr>
          <w:rFonts w:hint="eastAsia" w:asciiTheme="minorEastAsia" w:hAnsiTheme="minorEastAsia" w:eastAsiaTheme="minorEastAsia" w:cstheme="minorEastAsia"/>
          <w:sz w:val="24"/>
          <w:szCs w:val="24"/>
          <w:lang w:val="en-US" w:eastAsia="zh-CN"/>
        </w:rPr>
        <w:t>各</w:t>
      </w:r>
      <w:r>
        <w:rPr>
          <w:rFonts w:hint="default" w:asciiTheme="minorEastAsia" w:hAnsiTheme="minorEastAsia" w:eastAsiaTheme="minorEastAsia" w:cstheme="minorEastAsia"/>
          <w:sz w:val="24"/>
          <w:szCs w:val="24"/>
          <w:lang w:val="en-US" w:eastAsia="zh-CN"/>
        </w:rPr>
        <w:t>特征与未来21日收益率的Pearson相关系数（Information Coefficient），保留</w:t>
      </w:r>
      <w:r>
        <w:rPr>
          <w:rFonts w:hint="eastAsia" w:asciiTheme="minorEastAsia" w:hAnsiTheme="minorEastAsia" w:cstheme="minorEastAsia"/>
          <w:sz w:val="24"/>
          <w:szCs w:val="24"/>
          <w:lang w:val="en-US" w:eastAsia="zh-CN"/>
        </w:rPr>
        <w:t>满足</w:t>
      </w:r>
      <w:r>
        <w:rPr>
          <w:rFonts w:hint="default" w:asciiTheme="minorEastAsia" w:hAnsiTheme="minorEastAsia" w:eastAsiaTheme="minorEastAsia" w:cstheme="minorEastAsia"/>
          <w:sz w:val="24"/>
          <w:szCs w:val="24"/>
          <w:lang w:val="en-US" w:eastAsia="zh-CN"/>
        </w:rPr>
        <w:t>|IC|&gt;0.022的特征。该阈值高于常用</w:t>
      </w:r>
      <w:r>
        <w:rPr>
          <w:rFonts w:hint="eastAsia" w:asciiTheme="minorEastAsia" w:hAnsiTheme="minorEastAsia" w:cstheme="minorEastAsia"/>
          <w:sz w:val="24"/>
          <w:szCs w:val="24"/>
          <w:lang w:val="en-US" w:eastAsia="zh-CN"/>
        </w:rPr>
        <w:t>阈值</w:t>
      </w:r>
      <w:r>
        <w:rPr>
          <w:rFonts w:hint="default" w:asciiTheme="minorEastAsia" w:hAnsiTheme="minorEastAsia" w:eastAsiaTheme="minorEastAsia" w:cstheme="minorEastAsia"/>
          <w:sz w:val="24"/>
          <w:szCs w:val="24"/>
          <w:lang w:val="en-US" w:eastAsia="zh-CN"/>
        </w:rPr>
        <w:t>0.015，确保仅保留</w:t>
      </w:r>
      <w:r>
        <w:rPr>
          <w:rFonts w:hint="eastAsia" w:asciiTheme="minorEastAsia" w:hAnsiTheme="minorEastAsia" w:eastAsiaTheme="minorEastAsia" w:cstheme="minorEastAsia"/>
          <w:sz w:val="24"/>
          <w:szCs w:val="24"/>
          <w:lang w:val="en-US" w:eastAsia="zh-CN"/>
        </w:rPr>
        <w:t>具备</w:t>
      </w:r>
      <w:r>
        <w:rPr>
          <w:rFonts w:hint="default" w:asciiTheme="minorEastAsia" w:hAnsiTheme="minorEastAsia" w:eastAsiaTheme="minorEastAsia" w:cstheme="minorEastAsia"/>
          <w:sz w:val="24"/>
          <w:szCs w:val="24"/>
          <w:lang w:val="en-US" w:eastAsia="zh-CN"/>
        </w:rPr>
        <w:t>统计</w:t>
      </w:r>
      <w:r>
        <w:rPr>
          <w:rFonts w:hint="eastAsia" w:asciiTheme="minorEastAsia" w:hAnsiTheme="minorEastAsia" w:eastAsiaTheme="minorEastAsia" w:cstheme="minorEastAsia"/>
          <w:sz w:val="24"/>
          <w:szCs w:val="24"/>
          <w:lang w:val="en-US" w:eastAsia="zh-CN"/>
        </w:rPr>
        <w:t>显著性</w:t>
      </w:r>
      <w:r>
        <w:rPr>
          <w:rFonts w:hint="default" w:asciiTheme="minorEastAsia" w:hAnsiTheme="minorEastAsia" w:eastAsiaTheme="minorEastAsia" w:cstheme="minorEastAsia"/>
          <w:sz w:val="24"/>
          <w:szCs w:val="24"/>
          <w:lang w:val="en-US" w:eastAsia="zh-CN"/>
        </w:rPr>
        <w:t>预测能力的因子。</w:t>
      </w:r>
    </w:p>
    <w:p w14:paraId="5B7FA99E">
      <w:pPr>
        <w:keepNext w:val="0"/>
        <w:keepLines w:val="0"/>
        <w:pageBreakBefore w:val="0"/>
        <w:widowControl w:val="0"/>
        <w:numPr>
          <w:ilvl w:val="0"/>
          <w:numId w:val="21"/>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b/>
          <w:bCs/>
          <w:sz w:val="24"/>
          <w:szCs w:val="24"/>
          <w:lang w:val="en-US" w:eastAsia="zh-CN"/>
        </w:rPr>
        <w:t>第三层：执行共线性剔除与LightGBM重要性验证。</w:t>
      </w:r>
      <w:r>
        <w:rPr>
          <w:rFonts w:hint="eastAsia" w:asciiTheme="minorEastAsia" w:hAnsiTheme="minorEastAsia" w:eastAsiaTheme="minorEastAsia" w:cstheme="minorEastAsia"/>
          <w:sz w:val="24"/>
          <w:szCs w:val="24"/>
          <w:lang w:val="en-US" w:eastAsia="zh-CN"/>
        </w:rPr>
        <w:t>对经IC筛选后的特征计算相关系数矩阵，剔除相关系数&gt;0.92的高共线性特征（保留经济意义更强的特征），随后训练LightGBM回归模型，将特征按重要性降序排列，保留累计贡献率达到88%的特征子集。</w:t>
      </w:r>
    </w:p>
    <w:p w14:paraId="05A428A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原始数值特征共177维，依次经剔除无方差常量特征、IC有效性筛选后保留101维，经高共线性剔除后保留74维，最终经LightGBM增益筛选得到44维特征。</w:t>
      </w:r>
    </w:p>
    <w:p w14:paraId="0EB28B4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最终特征集覆盖沪深300、中证500、消费、黄金、债券五大类资产的估值、趋势、波动、动量技术指标，完整包含利率利差、PMI、货币供应、社融增速等宏观因子，以及两融、北向资金高频资金指标，</w:t>
      </w:r>
      <w:r>
        <w:rPr>
          <w:rFonts w:hint="eastAsia" w:asciiTheme="minorEastAsia" w:hAnsiTheme="minorEastAsia" w:cstheme="minorEastAsia"/>
          <w:sz w:val="24"/>
          <w:szCs w:val="24"/>
          <w:lang w:val="en-US" w:eastAsia="zh-CN"/>
        </w:rPr>
        <w:t>各类</w:t>
      </w:r>
      <w:r>
        <w:rPr>
          <w:rFonts w:hint="default" w:asciiTheme="minorEastAsia" w:hAnsiTheme="minorEastAsia" w:eastAsiaTheme="minorEastAsia" w:cstheme="minorEastAsia"/>
          <w:sz w:val="24"/>
          <w:szCs w:val="24"/>
          <w:lang w:val="en-US" w:eastAsia="zh-CN"/>
        </w:rPr>
        <w:t>多维信息</w:t>
      </w:r>
      <w:r>
        <w:rPr>
          <w:rFonts w:hint="eastAsia" w:asciiTheme="minorEastAsia" w:hAnsiTheme="minorEastAsia" w:cstheme="minorEastAsia"/>
          <w:sz w:val="24"/>
          <w:szCs w:val="24"/>
          <w:lang w:val="en-US" w:eastAsia="zh-CN"/>
        </w:rPr>
        <w:t>形成</w:t>
      </w:r>
      <w:r>
        <w:rPr>
          <w:rFonts w:hint="default" w:asciiTheme="minorEastAsia" w:hAnsiTheme="minorEastAsia" w:eastAsiaTheme="minorEastAsia" w:cstheme="minorEastAsia"/>
          <w:sz w:val="24"/>
          <w:szCs w:val="24"/>
          <w:lang w:val="en-US" w:eastAsia="zh-CN"/>
        </w:rPr>
        <w:t>互补，</w:t>
      </w:r>
      <w:r>
        <w:rPr>
          <w:rFonts w:hint="eastAsia" w:asciiTheme="minorEastAsia" w:hAnsiTheme="minorEastAsia" w:eastAsiaTheme="minorEastAsia" w:cstheme="minorEastAsia"/>
          <w:sz w:val="24"/>
          <w:szCs w:val="24"/>
          <w:lang w:val="en-US" w:eastAsia="zh-CN"/>
        </w:rPr>
        <w:t>可满足</w:t>
      </w:r>
      <w:r>
        <w:rPr>
          <w:rFonts w:hint="default" w:asciiTheme="minorEastAsia" w:hAnsiTheme="minorEastAsia" w:eastAsiaTheme="minorEastAsia" w:cstheme="minorEastAsia"/>
          <w:sz w:val="24"/>
          <w:szCs w:val="24"/>
          <w:lang w:val="en-US" w:eastAsia="zh-CN"/>
        </w:rPr>
        <w:t>后续强化学习资产配置模型</w:t>
      </w:r>
      <w:r>
        <w:rPr>
          <w:rFonts w:hint="eastAsia" w:asciiTheme="minorEastAsia" w:hAnsiTheme="minorEastAsia" w:cstheme="minorEastAsia"/>
          <w:sz w:val="24"/>
          <w:szCs w:val="24"/>
          <w:lang w:val="en-US" w:eastAsia="zh-CN"/>
        </w:rPr>
        <w:t>的</w:t>
      </w:r>
      <w:r>
        <w:rPr>
          <w:rFonts w:hint="default" w:asciiTheme="minorEastAsia" w:hAnsiTheme="minorEastAsia" w:eastAsiaTheme="minorEastAsia" w:cstheme="minorEastAsia"/>
          <w:sz w:val="24"/>
          <w:szCs w:val="24"/>
          <w:lang w:val="en-US" w:eastAsia="zh-CN"/>
        </w:rPr>
        <w:t>输入需求。</w:t>
      </w:r>
    </w:p>
    <w:p w14:paraId="47C544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下图为重要性排名前十的特征：</w:t>
      </w:r>
    </w:p>
    <w:p w14:paraId="57C68812">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重要性特征排名</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39"/>
        <w:gridCol w:w="3828"/>
        <w:gridCol w:w="1742"/>
        <w:gridCol w:w="1854"/>
      </w:tblGrid>
      <w:tr w14:paraId="20F70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49FEAB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排名</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0E9A6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特征</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CE3306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重要性</w:t>
            </w:r>
          </w:p>
        </w:tc>
        <w:tc>
          <w:tcPr>
            <w:tcW w:w="1854"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F31097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维度</w:t>
            </w:r>
          </w:p>
        </w:tc>
      </w:tr>
      <w:tr w14:paraId="2B2E5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64E94F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02430A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bond_10y_2y_spread</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83BC0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0.165</w:t>
            </w:r>
          </w:p>
        </w:tc>
        <w:tc>
          <w:tcPr>
            <w:tcW w:w="1854"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5E5C34D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宏观-利差</w:t>
            </w:r>
          </w:p>
        </w:tc>
      </w:tr>
      <w:tr w14:paraId="657FE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BE8D1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6F9BD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zz500_std20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D51735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0.055</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682972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技术-波动</w:t>
            </w:r>
          </w:p>
        </w:tc>
      </w:tr>
      <w:tr w14:paraId="11852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E29F0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57DD9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hs300_pb</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73A97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0.019</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69B9FF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w:t>
            </w:r>
          </w:p>
        </w:tc>
      </w:tr>
      <w:tr w14:paraId="4CE70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0C20AA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02D586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consume_rsi14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D72940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0.013</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1AAEDF6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技术-动量</w:t>
            </w:r>
          </w:p>
        </w:tc>
      </w:tr>
      <w:tr w14:paraId="01C13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11ECF8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A56E7B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hs300_pe</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845B43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0.014</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3AF00E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w:t>
            </w:r>
          </w:p>
        </w:tc>
      </w:tr>
      <w:tr w14:paraId="338EA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82EA9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6</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D85B3F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margin_5d_chg</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B099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0.005</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00A6AB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资金-两融</w:t>
            </w:r>
          </w:p>
        </w:tc>
      </w:tr>
      <w:tr w14:paraId="05319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64A79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C0F0E5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zz500_atr14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5BD25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0.019</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2B4953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技术-波动</w:t>
            </w:r>
          </w:p>
        </w:tc>
      </w:tr>
      <w:tr w14:paraId="08C1F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B79F3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FBD8CD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zz500_pb</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2E76A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0.001</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4B7A01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w:t>
            </w:r>
          </w:p>
        </w:tc>
      </w:tr>
      <w:tr w14:paraId="5B197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1C4BEA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9DDF83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zz500_ma5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B6BD1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0.018</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0FF49B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技术-趋势</w:t>
            </w:r>
          </w:p>
        </w:tc>
      </w:tr>
      <w:tr w14:paraId="05531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3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56192F6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w:t>
            </w:r>
          </w:p>
        </w:tc>
        <w:tc>
          <w:tcPr>
            <w:tcW w:w="382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72CB0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zz500_pb_quantile</w:t>
            </w:r>
          </w:p>
        </w:tc>
        <w:tc>
          <w:tcPr>
            <w:tcW w:w="1742"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A221A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0.0003</w:t>
            </w:r>
          </w:p>
        </w:tc>
        <w:tc>
          <w:tcPr>
            <w:tcW w:w="185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0CC61B49">
            <w:pPr>
              <w:snapToGrid w:val="0"/>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sz w:val="21"/>
                <w:szCs w:val="21"/>
                <w:lang w:val="en-US" w:eastAsia="zh-CN"/>
              </w:rPr>
            </w:pPr>
            <w:r>
              <w:rPr>
                <w:rFonts w:hint="eastAsia" w:asciiTheme="minorEastAsia" w:hAnsiTheme="minorEastAsia" w:eastAsiaTheme="minorEastAsia" w:cstheme="minorEastAsia"/>
                <w:i w:val="0"/>
                <w:iCs w:val="0"/>
                <w:caps w:val="0"/>
                <w:color w:val="0F1115"/>
                <w:spacing w:val="0"/>
                <w:sz w:val="21"/>
                <w:szCs w:val="21"/>
                <w:lang w:val="en-US" w:eastAsia="zh-CN"/>
              </w:rPr>
              <w:t>估值-分位</w:t>
            </w:r>
          </w:p>
        </w:tc>
      </w:tr>
    </w:tbl>
    <w:p w14:paraId="1C6FD09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特征筛选结果覆盖全部7只ETF（每只包含2-3个技术或估值特征）、全套宏观指标（利差、社融、货币供应）以及资金面指标（两融、北向），保障了模型输入的信息广度。需特别说明的是，宏观因子“10年期-2年期国债利差”的重要性得分为0.165，显著高于其余特征，这印证了第三章评分系统中宏观维度权重设定的合理性，即利率期限结构对资产配置决策具备突出的指导意义。</w:t>
      </w:r>
    </w:p>
    <w:p w14:paraId="0655FF1B">
      <w:pPr>
        <w:numPr>
          <w:ilvl w:val="0"/>
          <w:numId w:val="20"/>
        </w:numPr>
        <w:ind w:left="0" w:leftChars="0" w:firstLine="420" w:firstLineChars="0"/>
        <w:outlineLvl w:val="0"/>
        <w:rPr>
          <w:rFonts w:hint="default" w:ascii="黑体" w:hAnsi="黑体" w:eastAsia="黑体" w:cs="黑体"/>
          <w:sz w:val="30"/>
          <w:szCs w:val="30"/>
          <w:lang w:val="en-US" w:eastAsia="zh-CN"/>
        </w:rPr>
      </w:pPr>
      <w:bookmarkStart w:id="58" w:name="_Toc21547"/>
      <w:r>
        <w:rPr>
          <w:rFonts w:hint="default" w:ascii="黑体" w:hAnsi="黑体" w:eastAsia="黑体" w:cs="黑体"/>
          <w:sz w:val="30"/>
          <w:szCs w:val="30"/>
          <w:lang w:val="en-US" w:eastAsia="zh-CN"/>
        </w:rPr>
        <w:t>Walk-Forward滚动验证框架</w:t>
      </w:r>
      <w:bookmarkEnd w:id="58"/>
    </w:p>
    <w:p w14:paraId="09809F8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为防范未来数据泄露，采用严格的Walk-Forward验证方法：每一年度使用前5年的月末特征数据训练LightGBM模型，对下一年度的ETF收益率进行预测。</w:t>
      </w:r>
    </w:p>
    <w:p w14:paraId="14D146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样本构造规则：每月最后一个交易日提取37维特征，预测未来21个交易日的ETF收益率。对每只ETF分别独立建模（共7个LGB模型），各模型均采用全量37维特征预测对应ETF的收益。</w:t>
      </w:r>
    </w:p>
    <w:p w14:paraId="6EE22DC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模型</w:t>
      </w:r>
      <w:r>
        <w:rPr>
          <w:rFonts w:hint="eastAsia" w:asciiTheme="minorEastAsia" w:hAnsiTheme="minorEastAsia" w:cstheme="minorEastAsia"/>
          <w:sz w:val="24"/>
          <w:szCs w:val="24"/>
          <w:lang w:val="en-US" w:eastAsia="zh-CN"/>
        </w:rPr>
        <w:t>参数设置</w:t>
      </w:r>
      <w:r>
        <w:rPr>
          <w:rFonts w:hint="default" w:asciiTheme="minorEastAsia" w:hAnsiTheme="minorEastAsia" w:cstheme="minorEastAsia"/>
          <w:sz w:val="24"/>
          <w:szCs w:val="24"/>
          <w:lang w:val="en-US" w:eastAsia="zh-CN"/>
        </w:rPr>
        <w:t>：learning_rate=0.02, max_depth=4, num_leaves=15, reg_alpha=2.0,reg_lambda=3.0, n_estimators=150, min_child_samples=30。</w:t>
      </w:r>
    </w:p>
    <w:p w14:paraId="65B35B9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采用</w:t>
      </w:r>
      <w:r>
        <w:rPr>
          <w:rFonts w:hint="default" w:asciiTheme="minorEastAsia" w:hAnsiTheme="minorEastAsia" w:cstheme="minorEastAsia"/>
          <w:sz w:val="24"/>
          <w:szCs w:val="24"/>
          <w:lang w:val="en-US" w:eastAsia="zh-CN"/>
        </w:rPr>
        <w:t>强正则化</w:t>
      </w:r>
      <w:r>
        <w:rPr>
          <w:rFonts w:hint="eastAsia" w:asciiTheme="minorEastAsia" w:hAnsiTheme="minorEastAsia" w:cstheme="minorEastAsia"/>
          <w:sz w:val="24"/>
          <w:szCs w:val="24"/>
          <w:lang w:val="en-US" w:eastAsia="zh-CN"/>
        </w:rPr>
        <w:t>方法抑制</w:t>
      </w:r>
      <w:r>
        <w:rPr>
          <w:rFonts w:hint="default" w:asciiTheme="minorEastAsia" w:hAnsiTheme="minorEastAsia" w:cstheme="minorEastAsia"/>
          <w:sz w:val="24"/>
          <w:szCs w:val="24"/>
          <w:lang w:val="en-US" w:eastAsia="zh-CN"/>
        </w:rPr>
        <w:t>小样本</w:t>
      </w:r>
      <w:r>
        <w:rPr>
          <w:rFonts w:hint="eastAsia" w:asciiTheme="minorEastAsia" w:hAnsiTheme="minorEastAsia" w:cstheme="minorEastAsia"/>
          <w:sz w:val="24"/>
          <w:szCs w:val="24"/>
          <w:lang w:val="en-US" w:eastAsia="zh-CN"/>
        </w:rPr>
        <w:t>场景下的</w:t>
      </w:r>
      <w:r>
        <w:rPr>
          <w:rFonts w:hint="default" w:asciiTheme="minorEastAsia" w:hAnsiTheme="minorEastAsia" w:cstheme="minorEastAsia"/>
          <w:sz w:val="24"/>
          <w:szCs w:val="24"/>
          <w:lang w:val="en-US" w:eastAsia="zh-CN"/>
        </w:rPr>
        <w:t>过拟合</w:t>
      </w:r>
      <w:r>
        <w:rPr>
          <w:rFonts w:hint="eastAsia" w:asciiTheme="minorEastAsia" w:hAnsiTheme="minorEastAsia" w:cstheme="minorEastAsia"/>
          <w:sz w:val="24"/>
          <w:szCs w:val="24"/>
          <w:lang w:val="en-US" w:eastAsia="zh-CN"/>
        </w:rPr>
        <w:t>问题</w:t>
      </w:r>
      <w:r>
        <w:rPr>
          <w:rFonts w:hint="default" w:asciiTheme="minorEastAsia" w:hAnsiTheme="minorEastAsia" w:cstheme="minorEastAsia"/>
          <w:sz w:val="24"/>
          <w:szCs w:val="24"/>
          <w:lang w:val="en-US" w:eastAsia="zh-CN"/>
        </w:rPr>
        <w:t>。</w:t>
      </w:r>
    </w:p>
    <w:p w14:paraId="20D75FB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预测表现：预测窗口21日。逐年IC（信息系数）。</w:t>
      </w:r>
    </w:p>
    <w:p w14:paraId="1E412910">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预测结果</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13"/>
        <w:gridCol w:w="2501"/>
        <w:gridCol w:w="2501"/>
        <w:gridCol w:w="2148"/>
      </w:tblGrid>
      <w:tr w14:paraId="55B81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53C319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年份</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F85636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训练天数</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F830DD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测试天数</w:t>
            </w:r>
          </w:p>
        </w:tc>
        <w:tc>
          <w:tcPr>
            <w:tcW w:w="214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4B049E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IC均值</w:t>
            </w:r>
          </w:p>
        </w:tc>
      </w:tr>
      <w:tr w14:paraId="40E40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6C24F0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2022</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8E3A76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1,806</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5F4225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242</w:t>
            </w:r>
          </w:p>
        </w:tc>
        <w:tc>
          <w:tcPr>
            <w:tcW w:w="2148"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64BF3CA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0.27</w:t>
            </w:r>
          </w:p>
        </w:tc>
      </w:tr>
      <w:tr w14:paraId="0BDDC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DA80A1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4DBFA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3,500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4C3C3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242</w:t>
            </w:r>
          </w:p>
        </w:tc>
        <w:tc>
          <w:tcPr>
            <w:tcW w:w="2148" w:type="dxa"/>
            <w:tcBorders>
              <w:top w:val="nil"/>
              <w:left w:val="nil"/>
              <w:bottom w:val="nil"/>
              <w:right w:val="nil"/>
            </w:tcBorders>
            <w:shd w:val="clear" w:color="auto" w:fill="FFFFFF"/>
            <w:noWrap w:val="0"/>
            <w:tcMar>
              <w:top w:w="100" w:type="dxa"/>
              <w:left w:w="160" w:type="dxa"/>
              <w:bottom w:w="100" w:type="dxa"/>
              <w:right w:w="-1" w:type="dxa"/>
            </w:tcMar>
            <w:vAlign w:val="center"/>
          </w:tcPr>
          <w:p w14:paraId="7EA0C1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0.32</w:t>
            </w:r>
          </w:p>
        </w:tc>
      </w:tr>
      <w:tr w14:paraId="75AEC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A88A8A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24481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5,194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5F4CA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242</w:t>
            </w:r>
          </w:p>
        </w:tc>
        <w:tc>
          <w:tcPr>
            <w:tcW w:w="2148" w:type="dxa"/>
            <w:tcBorders>
              <w:top w:val="nil"/>
              <w:left w:val="nil"/>
              <w:bottom w:val="nil"/>
              <w:right w:val="nil"/>
            </w:tcBorders>
            <w:shd w:val="clear" w:color="auto" w:fill="FFFFFF"/>
            <w:noWrap w:val="0"/>
            <w:tcMar>
              <w:top w:w="100" w:type="dxa"/>
              <w:left w:w="160" w:type="dxa"/>
              <w:bottom w:w="100" w:type="dxa"/>
              <w:right w:w="-1" w:type="dxa"/>
            </w:tcMar>
            <w:vAlign w:val="center"/>
          </w:tcPr>
          <w:p w14:paraId="30B6E5F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0.04</w:t>
            </w:r>
          </w:p>
        </w:tc>
      </w:tr>
      <w:tr w14:paraId="5DEB5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33A0A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0C1725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6,888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EA083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243</w:t>
            </w:r>
          </w:p>
        </w:tc>
        <w:tc>
          <w:tcPr>
            <w:tcW w:w="2148" w:type="dxa"/>
            <w:tcBorders>
              <w:top w:val="nil"/>
              <w:left w:val="nil"/>
              <w:bottom w:val="nil"/>
              <w:right w:val="nil"/>
            </w:tcBorders>
            <w:shd w:val="clear" w:color="auto" w:fill="FFFFFF"/>
            <w:noWrap w:val="0"/>
            <w:tcMar>
              <w:top w:w="100" w:type="dxa"/>
              <w:left w:w="160" w:type="dxa"/>
              <w:bottom w:w="100" w:type="dxa"/>
              <w:right w:w="-1" w:type="dxa"/>
            </w:tcMar>
            <w:vAlign w:val="center"/>
          </w:tcPr>
          <w:p w14:paraId="1900E1E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-0.33</w:t>
            </w:r>
          </w:p>
        </w:tc>
      </w:tr>
      <w:tr w14:paraId="68B01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B269CC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2026</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DE92B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8,589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4D2C65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103</w:t>
            </w:r>
          </w:p>
        </w:tc>
        <w:tc>
          <w:tcPr>
            <w:tcW w:w="2148" w:type="dxa"/>
            <w:tcBorders>
              <w:top w:val="nil"/>
              <w:left w:val="nil"/>
              <w:bottom w:val="nil"/>
              <w:right w:val="nil"/>
            </w:tcBorders>
            <w:shd w:val="clear" w:color="auto" w:fill="FFFFFF"/>
            <w:noWrap w:val="0"/>
            <w:tcMar>
              <w:top w:w="100" w:type="dxa"/>
              <w:left w:w="160" w:type="dxa"/>
              <w:bottom w:w="100" w:type="dxa"/>
              <w:right w:w="-1" w:type="dxa"/>
            </w:tcMar>
            <w:vAlign w:val="center"/>
          </w:tcPr>
          <w:p w14:paraId="09DE2A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0.02</w:t>
            </w:r>
          </w:p>
        </w:tc>
      </w:tr>
      <w:tr w14:paraId="51D5E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1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6B77FD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均值</w:t>
            </w:r>
          </w:p>
        </w:tc>
        <w:tc>
          <w:tcPr>
            <w:tcW w:w="250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1E89241">
            <w:pPr>
              <w:snapToGrid w:val="0"/>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p>
        </w:tc>
        <w:tc>
          <w:tcPr>
            <w:tcW w:w="250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CF75998">
            <w:pPr>
              <w:snapToGrid w:val="0"/>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p>
        </w:tc>
        <w:tc>
          <w:tcPr>
            <w:tcW w:w="2148"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530E715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0.06</w:t>
            </w:r>
          </w:p>
        </w:tc>
      </w:tr>
    </w:tbl>
    <w:p w14:paraId="2F01CB7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IC均值为正（0.06），表明该模型预测能力优于随机猜测水平。2025年IC为负（-0.33），与当年市场风格突变（量化监管收紧、微盘股行情逆转）相关。</w:t>
      </w:r>
    </w:p>
    <w:p w14:paraId="4B07EBC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经检验确认，预测的ETF截面差异符合要求：ETF间日均标准差为0.020，未出现“所有ETF预测值相同”的退化情况。</w:t>
      </w:r>
    </w:p>
    <w:p w14:paraId="45CECCA5">
      <w:pPr>
        <w:numPr>
          <w:ilvl w:val="0"/>
          <w:numId w:val="20"/>
        </w:numPr>
        <w:ind w:left="0" w:leftChars="0" w:firstLine="420" w:firstLineChars="0"/>
        <w:outlineLvl w:val="0"/>
        <w:rPr>
          <w:rFonts w:hint="default" w:ascii="黑体" w:hAnsi="黑体" w:eastAsia="黑体" w:cs="黑体"/>
          <w:sz w:val="30"/>
          <w:szCs w:val="30"/>
          <w:lang w:val="en-US" w:eastAsia="zh-CN"/>
        </w:rPr>
      </w:pPr>
      <w:bookmarkStart w:id="59" w:name="_Toc30107"/>
      <w:r>
        <w:rPr>
          <w:rFonts w:hint="default" w:ascii="黑体" w:hAnsi="黑体" w:eastAsia="黑体" w:cs="黑体"/>
          <w:sz w:val="30"/>
          <w:szCs w:val="30"/>
          <w:lang w:val="en-US" w:eastAsia="zh-CN"/>
        </w:rPr>
        <w:t>LGB + 动态评分融合策略</w:t>
      </w:r>
      <w:bookmarkEnd w:id="59"/>
    </w:p>
    <w:p w14:paraId="2DD9646F">
      <w:pPr>
        <w:numPr>
          <w:ilvl w:val="0"/>
          <w:numId w:val="22"/>
        </w:numPr>
        <w:ind w:left="845" w:leftChars="0" w:hanging="425" w:firstLineChars="0"/>
        <w:outlineLvl w:val="1"/>
        <w:rPr>
          <w:rFonts w:hint="default" w:ascii="楷体" w:hAnsi="楷体" w:eastAsia="楷体" w:cs="楷体"/>
          <w:sz w:val="28"/>
          <w:szCs w:val="28"/>
          <w:lang w:val="en-US" w:eastAsia="zh-CN"/>
        </w:rPr>
      </w:pPr>
      <w:bookmarkStart w:id="60" w:name="_Toc7012"/>
      <w:r>
        <w:rPr>
          <w:rFonts w:hint="eastAsia" w:ascii="楷体" w:hAnsi="楷体" w:eastAsia="楷体" w:cs="楷体"/>
          <w:sz w:val="28"/>
          <w:szCs w:val="28"/>
          <w:lang w:val="en-US" w:eastAsia="zh-CN"/>
        </w:rPr>
        <w:t>融合架构</w:t>
      </w:r>
      <w:bookmarkEnd w:id="60"/>
    </w:p>
    <w:p w14:paraId="4B7A8F3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融合策略的核心思想</w:t>
      </w:r>
      <w:r>
        <w:rPr>
          <w:rFonts w:hint="eastAsia" w:asciiTheme="minorEastAsia" w:hAnsiTheme="minorEastAsia" w:cstheme="minorEastAsia"/>
          <w:sz w:val="24"/>
          <w:szCs w:val="24"/>
          <w:lang w:val="en-US" w:eastAsia="zh-CN"/>
        </w:rPr>
        <w:t>为</w:t>
      </w:r>
      <w:r>
        <w:rPr>
          <w:rFonts w:hint="default" w:asciiTheme="minorEastAsia" w:hAnsiTheme="minorEastAsia" w:cstheme="minorEastAsia"/>
          <w:b/>
          <w:bCs/>
          <w:sz w:val="24"/>
          <w:szCs w:val="24"/>
          <w:lang w:val="en-US" w:eastAsia="zh-CN"/>
        </w:rPr>
        <w:t>“规则定仓位、ML定选券”</w:t>
      </w:r>
      <w:r>
        <w:rPr>
          <w:rFonts w:hint="default" w:asciiTheme="minorEastAsia" w:hAnsiTheme="minorEastAsia" w:cstheme="minorEastAsia"/>
          <w:sz w:val="24"/>
          <w:szCs w:val="24"/>
          <w:lang w:val="en-US" w:eastAsia="zh-CN"/>
        </w:rPr>
        <w:t>：</w:t>
      </w:r>
    </w:p>
    <w:p w14:paraId="0AB7F7F3">
      <w:pPr>
        <w:keepNext w:val="0"/>
        <w:keepLines w:val="0"/>
        <w:pageBreakBefore w:val="0"/>
        <w:widowControl w:val="0"/>
        <w:numPr>
          <w:ilvl w:val="0"/>
          <w:numId w:val="23"/>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仓位层（规则）：沿用第三章市场环境评分系统的五状态输出（上行/震荡偏强/震荡/下行/极寒），确定权益仓位中枢（55%/45%/35%/15%/5%）</w:t>
      </w:r>
    </w:p>
    <w:p w14:paraId="778299EF">
      <w:pPr>
        <w:keepNext w:val="0"/>
        <w:keepLines w:val="0"/>
        <w:pageBreakBefore w:val="0"/>
        <w:widowControl w:val="0"/>
        <w:numPr>
          <w:ilvl w:val="0"/>
          <w:numId w:val="23"/>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选券层（ML）：在权益资产范围内，以LGB模型预测的21日收益率作为预期收益信号，通过温度参数为0.5的Softmax将预测值映射为ETF权重，预测收益率越高，对应权重越大</w:t>
      </w:r>
    </w:p>
    <w:p w14:paraId="5871149A">
      <w:pPr>
        <w:keepNext w:val="0"/>
        <w:keepLines w:val="0"/>
        <w:pageBreakBefore w:val="0"/>
        <w:widowControl w:val="0"/>
        <w:numPr>
          <w:ilvl w:val="0"/>
          <w:numId w:val="23"/>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避险层（规则）：非权益部分（黄金+十年国债）采用波动率倒数加权法，为传统风险平价的近似方案</w:t>
      </w:r>
    </w:p>
    <w:p w14:paraId="51D4289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该三层架构保障了系统的可解释性，例如“权益持仓为35%，原因是市场评分处于震荡状态”，“芯片ETF权重较高，原因是LGB模型预测其下月收益率最高”。</w:t>
      </w:r>
    </w:p>
    <w:p w14:paraId="78ACD1BB">
      <w:pPr>
        <w:numPr>
          <w:ilvl w:val="0"/>
          <w:numId w:val="22"/>
        </w:numPr>
        <w:ind w:left="845" w:leftChars="0" w:hanging="425" w:firstLineChars="0"/>
        <w:outlineLvl w:val="1"/>
        <w:rPr>
          <w:rFonts w:hint="eastAsia" w:ascii="楷体" w:hAnsi="楷体" w:eastAsia="楷体" w:cs="楷体"/>
          <w:sz w:val="28"/>
          <w:szCs w:val="28"/>
          <w:lang w:val="en-US" w:eastAsia="zh-CN"/>
        </w:rPr>
      </w:pPr>
      <w:bookmarkStart w:id="61" w:name="_Toc10222"/>
      <w:r>
        <w:rPr>
          <w:rFonts w:hint="default" w:ascii="楷体" w:hAnsi="楷体" w:eastAsia="楷体" w:cs="楷体"/>
          <w:sz w:val="28"/>
          <w:szCs w:val="28"/>
          <w:lang w:val="en-US" w:eastAsia="zh-CN"/>
        </w:rPr>
        <w:t> 替代方案实验</w:t>
      </w:r>
      <w:bookmarkEnd w:id="61"/>
    </w:p>
    <w:p w14:paraId="2F14132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在确定最终方案前，我们系统测试了三种替代设计：</w:t>
      </w:r>
    </w:p>
    <w:p w14:paraId="413FA6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Black-Litterman框架：以等权为均衡先验，LGB预测为投资者观点，通过贝叶斯后验融合。参数τ（先验不确定性）在0.05-0.8范围内扫描，所有配置下融合年化均降为8.1%（Sharpe 0.55），低于简单Softmax排名。结论：在IC≈0.06的弱信号场景下，BL的先验正则化把有用信息平滑掉了。简单排名更有效。</w:t>
      </w:r>
    </w:p>
    <w:p w14:paraId="64A85A7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动量倾斜叠加：在LGB Softmax权重基础上，按ETF 12个月动量做±30%权重倾斜。年化降至11.4%（Sharpe 0.58），动量在震荡市（占回测一半时间）是负信号，拖累了LGB的选券优势。</w:t>
      </w:r>
    </w:p>
    <w:p w14:paraId="7E1C806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预测窗口校准：测试了21日、40日、63日三种预测窗口。63日窗口IC更高（0.08），但融合年化反而下降（11.7%）。季度预测准确但月度调仓衔接效率低——预测窗口和调仓频率需要匹配。</w:t>
      </w:r>
    </w:p>
    <w:p w14:paraId="3EFCC7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各替代方案的完整指标对比见附录。</w:t>
      </w:r>
    </w:p>
    <w:p w14:paraId="188F4385">
      <w:pPr>
        <w:numPr>
          <w:ilvl w:val="0"/>
          <w:numId w:val="22"/>
        </w:numPr>
        <w:ind w:left="845" w:leftChars="0" w:hanging="425" w:firstLineChars="0"/>
        <w:outlineLvl w:val="1"/>
        <w:rPr>
          <w:rFonts w:hint="default" w:ascii="楷体" w:hAnsi="楷体" w:eastAsia="楷体" w:cs="楷体"/>
          <w:sz w:val="28"/>
          <w:szCs w:val="28"/>
          <w:lang w:val="en-US" w:eastAsia="zh-CN"/>
        </w:rPr>
      </w:pPr>
      <w:bookmarkStart w:id="62" w:name="_Toc29715"/>
      <w:r>
        <w:rPr>
          <w:rFonts w:hint="default" w:ascii="楷体" w:hAnsi="楷体" w:eastAsia="楷体" w:cs="楷体"/>
          <w:sz w:val="28"/>
          <w:szCs w:val="28"/>
          <w:lang w:val="en-US" w:eastAsia="zh-CN"/>
        </w:rPr>
        <w:t>最终回测结果</w:t>
      </w:r>
      <w:bookmarkEnd w:id="62"/>
    </w:p>
    <w:p w14:paraId="7A249B1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采用21日Softmax（温度0.5）+月度调仓，LGB融合策略在整个回测期的表现如</w:t>
      </w:r>
      <w:r>
        <w:rPr>
          <w:rFonts w:hint="eastAsia" w:asciiTheme="minorEastAsia" w:hAnsiTheme="minorEastAsia" w:cstheme="minorEastAsia"/>
          <w:sz w:val="24"/>
          <w:szCs w:val="24"/>
          <w:lang w:val="en-US" w:eastAsia="zh-CN"/>
        </w:rPr>
        <w:t>下表</w:t>
      </w:r>
      <w:r>
        <w:rPr>
          <w:rFonts w:hint="default" w:asciiTheme="minorEastAsia" w:hAnsiTheme="minorEastAsia" w:cstheme="minorEastAsia"/>
          <w:sz w:val="24"/>
          <w:szCs w:val="24"/>
          <w:lang w:val="en-US" w:eastAsia="zh-CN"/>
        </w:rPr>
        <w:t>：</w:t>
      </w:r>
    </w:p>
    <w:p w14:paraId="0288401F">
      <w:pPr>
        <w:pStyle w:val="5"/>
        <w:keepNext/>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回测结果</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00"/>
        <w:gridCol w:w="2318"/>
        <w:gridCol w:w="3845"/>
      </w:tblGrid>
      <w:tr w14:paraId="4D8FF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76E23E1">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指标</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F8156A2">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LGB融合</w:t>
            </w:r>
          </w:p>
        </w:tc>
        <w:tc>
          <w:tcPr>
            <w:tcW w:w="384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41F0C31">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动态评分（对比）</w:t>
            </w:r>
          </w:p>
        </w:tc>
      </w:tr>
      <w:tr w14:paraId="296BF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776DFA77">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年化收益</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8465745">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12.4%</w:t>
            </w:r>
          </w:p>
        </w:tc>
        <w:tc>
          <w:tcPr>
            <w:tcW w:w="3845"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7D2FB796">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19.8%</w:t>
            </w:r>
          </w:p>
        </w:tc>
      </w:tr>
      <w:tr w14:paraId="65D59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A8374CC">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最大回撤</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C5A8593">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-18.8%</w:t>
            </w:r>
          </w:p>
        </w:tc>
        <w:tc>
          <w:tcPr>
            <w:tcW w:w="3845" w:type="dxa"/>
            <w:tcBorders>
              <w:top w:val="nil"/>
              <w:left w:val="nil"/>
              <w:bottom w:val="nil"/>
              <w:right w:val="nil"/>
            </w:tcBorders>
            <w:shd w:val="clear" w:color="auto" w:fill="FFFFFF"/>
            <w:noWrap w:val="0"/>
            <w:tcMar>
              <w:top w:w="100" w:type="dxa"/>
              <w:left w:w="160" w:type="dxa"/>
              <w:bottom w:w="100" w:type="dxa"/>
              <w:right w:w="-1" w:type="dxa"/>
            </w:tcMar>
            <w:vAlign w:val="center"/>
          </w:tcPr>
          <w:p w14:paraId="6B42EC48">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-16.5%</w:t>
            </w:r>
          </w:p>
        </w:tc>
      </w:tr>
      <w:tr w14:paraId="6912A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A6D862B">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夏普比率</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44A1DB8">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0.66</w:t>
            </w:r>
          </w:p>
        </w:tc>
        <w:tc>
          <w:tcPr>
            <w:tcW w:w="3845" w:type="dxa"/>
            <w:tcBorders>
              <w:top w:val="nil"/>
              <w:left w:val="nil"/>
              <w:bottom w:val="nil"/>
              <w:right w:val="nil"/>
            </w:tcBorders>
            <w:shd w:val="clear" w:color="auto" w:fill="FFFFFF"/>
            <w:noWrap w:val="0"/>
            <w:tcMar>
              <w:top w:w="100" w:type="dxa"/>
              <w:left w:w="160" w:type="dxa"/>
              <w:bottom w:w="100" w:type="dxa"/>
              <w:right w:w="-1" w:type="dxa"/>
            </w:tcMar>
            <w:vAlign w:val="center"/>
          </w:tcPr>
          <w:p w14:paraId="1748A5F4">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0.49</w:t>
            </w:r>
          </w:p>
        </w:tc>
      </w:tr>
      <w:tr w14:paraId="74318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300"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2C1AE928">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月均换手率</w:t>
            </w:r>
          </w:p>
        </w:tc>
        <w:tc>
          <w:tcPr>
            <w:tcW w:w="231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86729A0">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12.2%</w:t>
            </w:r>
          </w:p>
        </w:tc>
        <w:tc>
          <w:tcPr>
            <w:tcW w:w="3845"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E542B8B">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21.8%</w:t>
            </w:r>
          </w:p>
        </w:tc>
      </w:tr>
    </w:tbl>
    <w:p w14:paraId="4A843D1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与纯动态评分</w:t>
      </w:r>
      <w:r>
        <w:rPr>
          <w:rFonts w:hint="eastAsia" w:asciiTheme="minorEastAsia" w:hAnsiTheme="minorEastAsia" w:cstheme="minorEastAsia"/>
          <w:sz w:val="24"/>
          <w:szCs w:val="24"/>
          <w:lang w:val="en-US" w:eastAsia="zh-CN"/>
        </w:rPr>
        <w:t>相比</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LGB融合模型</w:t>
      </w:r>
      <w:r>
        <w:rPr>
          <w:rFonts w:hint="default" w:asciiTheme="minorEastAsia" w:hAnsiTheme="minorEastAsia" w:cstheme="minorEastAsia"/>
          <w:sz w:val="24"/>
          <w:szCs w:val="24"/>
          <w:lang w:val="en-US" w:eastAsia="zh-CN"/>
        </w:rPr>
        <w:t>年化收益降低7.4%，但夏普</w:t>
      </w:r>
      <w:r>
        <w:rPr>
          <w:rFonts w:hint="eastAsia" w:asciiTheme="minorEastAsia" w:hAnsiTheme="minorEastAsia" w:cstheme="minorEastAsia"/>
          <w:sz w:val="24"/>
          <w:szCs w:val="24"/>
          <w:lang w:val="en-US" w:eastAsia="zh-CN"/>
        </w:rPr>
        <w:t>比率</w:t>
      </w:r>
      <w:r>
        <w:rPr>
          <w:rFonts w:hint="default" w:asciiTheme="minorEastAsia" w:hAnsiTheme="minorEastAsia" w:cstheme="minorEastAsia"/>
          <w:sz w:val="24"/>
          <w:szCs w:val="24"/>
          <w:lang w:val="en-US" w:eastAsia="zh-CN"/>
        </w:rPr>
        <w:t>提升0.17，月均</w:t>
      </w:r>
      <w:r>
        <w:rPr>
          <w:rFonts w:hint="eastAsia" w:asciiTheme="minorEastAsia" w:hAnsiTheme="minorEastAsia" w:cstheme="minorEastAsia"/>
          <w:sz w:val="24"/>
          <w:szCs w:val="24"/>
          <w:lang w:val="en-US" w:eastAsia="zh-CN"/>
        </w:rPr>
        <w:t>换手率</w:t>
      </w:r>
      <w:r>
        <w:rPr>
          <w:rFonts w:hint="default" w:asciiTheme="minorEastAsia" w:hAnsiTheme="minorEastAsia" w:cstheme="minorEastAsia"/>
          <w:sz w:val="24"/>
          <w:szCs w:val="24"/>
          <w:lang w:val="en-US" w:eastAsia="zh-CN"/>
        </w:rPr>
        <w:t>降低9.6个百分点，体现出ML信号在降低风险、平滑收益曲线方面的增量价值。</w:t>
      </w:r>
    </w:p>
    <w:p w14:paraId="3DA4D862">
      <w:pPr>
        <w:numPr>
          <w:ilvl w:val="0"/>
          <w:numId w:val="20"/>
        </w:numPr>
        <w:ind w:left="0" w:leftChars="0" w:firstLine="420" w:firstLineChars="0"/>
        <w:outlineLvl w:val="0"/>
        <w:rPr>
          <w:rFonts w:hint="default" w:ascii="黑体" w:hAnsi="黑体" w:eastAsia="黑体" w:cs="黑体"/>
          <w:sz w:val="30"/>
          <w:szCs w:val="30"/>
          <w:lang w:val="en-US" w:eastAsia="zh-CN"/>
        </w:rPr>
      </w:pPr>
      <w:bookmarkStart w:id="63" w:name="_Toc14346"/>
      <w:r>
        <w:rPr>
          <w:rFonts w:hint="default" w:ascii="黑体" w:hAnsi="黑体" w:eastAsia="黑体" w:cs="黑体"/>
          <w:sz w:val="30"/>
          <w:szCs w:val="30"/>
          <w:lang w:val="en-US" w:eastAsia="zh-CN"/>
        </w:rPr>
        <w:t>本章小结</w:t>
      </w:r>
      <w:bookmarkEnd w:id="63"/>
    </w:p>
    <w:p w14:paraId="3704125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LightGBM模型在Walk-Forward框架下具备正向预测能力（IC均值0.06）。三层特征筛选将特征空间从182维压缩至37维，提升了模型的泛化能力。LGB与动态评分融合策略在保持可解释性的同时，实现了全样本最高夏普比率（0.66）与最低回撤（-18.8%）。对替代方案的系统性测试表明，在当前信号强度下，简单Softmax排序方法的表现优于更复杂的Black-Litterman框架与动量叠加方法，该结论本身即构成方法论层面的实验贡献。</w:t>
      </w:r>
    </w:p>
    <w:p w14:paraId="21E31098">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64" w:name="_Toc14821"/>
      <w:r>
        <w:rPr>
          <w:rFonts w:hint="default" w:ascii="黑体" w:hAnsi="黑体" w:eastAsia="黑体" w:cs="黑体"/>
          <w:sz w:val="32"/>
          <w:szCs w:val="32"/>
          <w:lang w:val="en-US" w:eastAsia="zh-CN"/>
        </w:rPr>
        <w:t>强化学习探索（PPO）</w:t>
      </w:r>
      <w:bookmarkEnd w:id="64"/>
    </w:p>
    <w:p w14:paraId="72236EFA">
      <w:pPr>
        <w:numPr>
          <w:ilvl w:val="0"/>
          <w:numId w:val="24"/>
        </w:numPr>
        <w:ind w:left="0" w:leftChars="0" w:firstLine="420" w:firstLineChars="0"/>
        <w:outlineLvl w:val="0"/>
        <w:rPr>
          <w:rFonts w:hint="default" w:ascii="黑体" w:hAnsi="黑体" w:eastAsia="黑体" w:cs="黑体"/>
          <w:sz w:val="30"/>
          <w:szCs w:val="30"/>
          <w:lang w:val="en-US" w:eastAsia="zh-CN"/>
        </w:rPr>
      </w:pPr>
      <w:bookmarkStart w:id="65" w:name="_Toc13890"/>
      <w:r>
        <w:rPr>
          <w:rFonts w:hint="default" w:ascii="黑体" w:hAnsi="黑体" w:eastAsia="黑体" w:cs="黑体"/>
          <w:sz w:val="30"/>
          <w:szCs w:val="30"/>
          <w:lang w:val="en-US" w:eastAsia="zh-CN"/>
        </w:rPr>
        <w:t>问题定义与动机</w:t>
      </w:r>
      <w:bookmarkEnd w:id="65"/>
    </w:p>
    <w:p w14:paraId="5F21D1F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第四章的LightGBM方法属于监督学习范式，需预先标注资产未来收益率作为训练标签。强化学习（Reinforcement Learning, RL）采用交互式优化思路，智能体与市场环境持续交互，</w:t>
      </w:r>
      <w:r>
        <w:rPr>
          <w:rFonts w:hint="eastAsia" w:asciiTheme="minorEastAsia" w:hAnsiTheme="minorEastAsia" w:cstheme="minorEastAsia"/>
          <w:sz w:val="24"/>
          <w:szCs w:val="24"/>
          <w:lang w:val="en-US" w:eastAsia="zh-CN"/>
        </w:rPr>
        <w:t>依托</w:t>
      </w:r>
      <w:r>
        <w:rPr>
          <w:rFonts w:hint="default" w:asciiTheme="minorEastAsia" w:hAnsiTheme="minorEastAsia" w:cstheme="minorEastAsia"/>
          <w:sz w:val="24"/>
          <w:szCs w:val="24"/>
          <w:lang w:val="en-US" w:eastAsia="zh-CN"/>
        </w:rPr>
        <w:t>自定义复合奖励信号</w:t>
      </w:r>
      <w:r>
        <w:rPr>
          <w:rFonts w:hint="eastAsia" w:asciiTheme="minorEastAsia" w:hAnsiTheme="minorEastAsia" w:cstheme="minorEastAsia"/>
          <w:sz w:val="24"/>
          <w:szCs w:val="24"/>
          <w:lang w:val="en-US" w:eastAsia="zh-CN"/>
        </w:rPr>
        <w:t>完成</w:t>
      </w:r>
      <w:r>
        <w:rPr>
          <w:rFonts w:hint="default" w:asciiTheme="minorEastAsia" w:hAnsiTheme="minorEastAsia" w:cstheme="minorEastAsia"/>
          <w:sz w:val="24"/>
          <w:szCs w:val="24"/>
          <w:lang w:val="en-US" w:eastAsia="zh-CN"/>
        </w:rPr>
        <w:t>策略</w:t>
      </w:r>
      <w:r>
        <w:rPr>
          <w:rFonts w:hint="eastAsia" w:asciiTheme="minorEastAsia" w:hAnsiTheme="minorEastAsia" w:cstheme="minorEastAsia"/>
          <w:sz w:val="24"/>
          <w:szCs w:val="24"/>
          <w:lang w:val="en-US" w:eastAsia="zh-CN"/>
        </w:rPr>
        <w:t>迭代</w:t>
      </w:r>
      <w:r>
        <w:rPr>
          <w:rFonts w:hint="default" w:asciiTheme="minorEastAsia" w:hAnsiTheme="minorEastAsia" w:cstheme="minorEastAsia"/>
          <w:sz w:val="24"/>
          <w:szCs w:val="24"/>
          <w:lang w:val="en-US" w:eastAsia="zh-CN"/>
        </w:rPr>
        <w:t>，无需提前构造收益标签。</w:t>
      </w:r>
    </w:p>
    <w:p w14:paraId="36FFF9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本章将PPO（Proximal Policy Optimization）应用于多ETF资产配置场景，仅作为对照探索实验，不作为核心配置方案。</w:t>
      </w:r>
      <w:r>
        <w:rPr>
          <w:rFonts w:hint="eastAsia" w:asciiTheme="minorEastAsia" w:hAnsiTheme="minorEastAsia" w:cstheme="minorEastAsia"/>
          <w:sz w:val="24"/>
          <w:szCs w:val="24"/>
          <w:lang w:val="en-US" w:eastAsia="zh-CN"/>
        </w:rPr>
        <w:t>本</w:t>
      </w:r>
      <w:r>
        <w:rPr>
          <w:rFonts w:hint="default" w:asciiTheme="minorEastAsia" w:hAnsiTheme="minorEastAsia" w:cstheme="minorEastAsia"/>
          <w:sz w:val="24"/>
          <w:szCs w:val="24"/>
          <w:lang w:val="en-US" w:eastAsia="zh-CN"/>
        </w:rPr>
        <w:t>实验目的为：在统一数据集、统一回测规则下，对比监督学习</w:t>
      </w:r>
      <w:r>
        <w:rPr>
          <w:rFonts w:hint="eastAsia" w:asciiTheme="minorEastAsia" w:hAnsiTheme="minorEastAsia" w:cstheme="minorEastAsia"/>
          <w:sz w:val="24"/>
          <w:szCs w:val="24"/>
          <w:lang w:val="en-US" w:eastAsia="zh-CN"/>
        </w:rPr>
        <w:t>加</w:t>
      </w:r>
      <w:r>
        <w:rPr>
          <w:rFonts w:hint="default" w:asciiTheme="minorEastAsia" w:hAnsiTheme="minorEastAsia" w:cstheme="minorEastAsia"/>
          <w:sz w:val="24"/>
          <w:szCs w:val="24"/>
          <w:lang w:val="en-US" w:eastAsia="zh-CN"/>
        </w:rPr>
        <w:t>规则融合框架与端到端强化学习框架的适配性差异，回应量化建模中“深度学习/强化学习是否优于传统机器学习”的方法论问题。</w:t>
      </w:r>
    </w:p>
    <w:p w14:paraId="1FDA3B85">
      <w:pPr>
        <w:numPr>
          <w:ilvl w:val="0"/>
          <w:numId w:val="24"/>
        </w:numPr>
        <w:ind w:left="0" w:leftChars="0" w:firstLine="420" w:firstLineChars="0"/>
        <w:outlineLvl w:val="0"/>
        <w:rPr>
          <w:rFonts w:hint="default" w:ascii="黑体" w:hAnsi="黑体" w:eastAsia="黑体" w:cs="黑体"/>
          <w:sz w:val="30"/>
          <w:szCs w:val="30"/>
          <w:lang w:val="en-US" w:eastAsia="zh-CN"/>
        </w:rPr>
      </w:pPr>
      <w:bookmarkStart w:id="66" w:name="_Toc14803"/>
      <w:r>
        <w:rPr>
          <w:rFonts w:hint="default" w:ascii="黑体" w:hAnsi="黑体" w:eastAsia="黑体" w:cs="黑体"/>
          <w:sz w:val="30"/>
          <w:szCs w:val="30"/>
          <w:lang w:val="en-US" w:eastAsia="zh-CN"/>
        </w:rPr>
        <w:t>交易环境设计</w:t>
      </w:r>
      <w:bookmarkEnd w:id="66"/>
    </w:p>
    <w:p w14:paraId="29E8CFC8">
      <w:pPr>
        <w:numPr>
          <w:ilvl w:val="0"/>
          <w:numId w:val="25"/>
        </w:numPr>
        <w:ind w:left="845" w:leftChars="0" w:hanging="425" w:firstLineChars="0"/>
        <w:outlineLvl w:val="1"/>
        <w:rPr>
          <w:rFonts w:hint="default" w:ascii="楷体" w:hAnsi="楷体" w:eastAsia="楷体" w:cs="楷体"/>
          <w:sz w:val="28"/>
          <w:szCs w:val="28"/>
          <w:lang w:val="en-US" w:eastAsia="zh-CN"/>
        </w:rPr>
      </w:pPr>
      <w:bookmarkStart w:id="67" w:name="_Toc2515"/>
      <w:r>
        <w:rPr>
          <w:rFonts w:hint="default" w:ascii="楷体" w:hAnsi="楷体" w:eastAsia="楷体" w:cs="楷体"/>
          <w:sz w:val="28"/>
          <w:szCs w:val="28"/>
          <w:lang w:val="en-US" w:eastAsia="zh-CN"/>
        </w:rPr>
        <w:t>状态空间</w:t>
      </w:r>
      <w:bookmarkEnd w:id="67"/>
    </w:p>
    <w:p w14:paraId="3406226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RL智能体在每个交易日观测以下信息：</w:t>
      </w:r>
    </w:p>
    <w:p w14:paraId="5F0030D5">
      <w:pPr>
        <w:keepNext w:val="0"/>
        <w:keepLines w:val="0"/>
        <w:pageBreakBefore w:val="0"/>
        <w:widowControl w:val="0"/>
        <w:numPr>
          <w:ilvl w:val="0"/>
          <w:numId w:val="2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市场特征：44维筛选特征（同第四章），经滚动窗口Z-Score标准化，确保无未来信息泄露</w:t>
      </w:r>
    </w:p>
    <w:p w14:paraId="79FCBFDD">
      <w:pPr>
        <w:keepNext w:val="0"/>
        <w:keepLines w:val="0"/>
        <w:pageBreakBefore w:val="0"/>
        <w:widowControl w:val="0"/>
        <w:numPr>
          <w:ilvl w:val="0"/>
          <w:numId w:val="2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68" w:name="_Toc31656"/>
      <w:r>
        <w:rPr>
          <w:rFonts w:hint="default" w:asciiTheme="minorEastAsia" w:hAnsiTheme="minorEastAsia" w:cstheme="minorEastAsia"/>
          <w:sz w:val="24"/>
          <w:szCs w:val="24"/>
          <w:lang w:val="en-US" w:eastAsia="zh-CN"/>
        </w:rPr>
        <w:t>当前持仓权重：7维，记录智能体当前持有的ETF权重分布</w:t>
      </w:r>
      <w:bookmarkEnd w:id="68"/>
    </w:p>
    <w:p w14:paraId="6EF33409">
      <w:pPr>
        <w:keepNext w:val="0"/>
        <w:keepLines w:val="0"/>
        <w:pageBreakBefore w:val="0"/>
        <w:widowControl w:val="0"/>
        <w:numPr>
          <w:ilvl w:val="0"/>
          <w:numId w:val="2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市场评分：4维，实时计算估值/宏观/情绪/趋势四维得分（打分函数同第三章规则）</w:t>
      </w:r>
    </w:p>
    <w:p w14:paraId="00299A39">
      <w:pPr>
        <w:keepNext w:val="0"/>
        <w:keepLines w:val="0"/>
        <w:pageBreakBefore w:val="0"/>
        <w:widowControl w:val="0"/>
        <w:numPr>
          <w:ilvl w:val="0"/>
          <w:numId w:val="2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历史收益：最近2期（共14维）各资产收益率，提供短期动量信息</w:t>
      </w:r>
    </w:p>
    <w:p w14:paraId="2DD3AC5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总计约64维观测，通过MLP网络（128→64）编码为隐状态。</w:t>
      </w:r>
    </w:p>
    <w:p w14:paraId="5E3994CE">
      <w:pPr>
        <w:numPr>
          <w:ilvl w:val="0"/>
          <w:numId w:val="25"/>
        </w:numPr>
        <w:ind w:left="845" w:leftChars="0" w:hanging="425" w:firstLineChars="0"/>
        <w:outlineLvl w:val="1"/>
        <w:rPr>
          <w:rFonts w:hint="default" w:ascii="楷体" w:hAnsi="楷体" w:eastAsia="楷体" w:cs="楷体"/>
          <w:sz w:val="28"/>
          <w:szCs w:val="28"/>
          <w:lang w:val="en-US" w:eastAsia="zh-CN"/>
        </w:rPr>
      </w:pPr>
      <w:bookmarkStart w:id="69" w:name="_Toc27355"/>
      <w:r>
        <w:rPr>
          <w:rFonts w:hint="default" w:ascii="楷体" w:hAnsi="楷体" w:eastAsia="楷体" w:cs="楷体"/>
          <w:sz w:val="28"/>
          <w:szCs w:val="28"/>
          <w:lang w:val="en-US" w:eastAsia="zh-CN"/>
        </w:rPr>
        <w:t>动作空间与约束</w:t>
      </w:r>
      <w:bookmarkEnd w:id="69"/>
    </w:p>
    <w:p w14:paraId="65EC639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智能体输出7维连续向量，经Softmax归一化后映射为7只ETF的持仓权重。</w:t>
      </w:r>
      <w:r>
        <w:rPr>
          <w:rFonts w:hint="eastAsia" w:asciiTheme="minorEastAsia" w:hAnsiTheme="minorEastAsia" w:cstheme="minorEastAsia"/>
          <w:sz w:val="24"/>
          <w:szCs w:val="24"/>
          <w:lang w:val="en-US" w:eastAsia="zh-CN"/>
        </w:rPr>
        <w:t>硬约束包含：单资产权重区间为[1%, 55%]、全部资产权重之和等于100%，即满仓约束。</w:t>
      </w:r>
      <w:r>
        <w:rPr>
          <w:rFonts w:hint="default" w:asciiTheme="minorEastAsia" w:hAnsiTheme="minorEastAsia" w:cstheme="minorEastAsia"/>
          <w:sz w:val="24"/>
          <w:szCs w:val="24"/>
          <w:lang w:val="en-US" w:eastAsia="zh-CN"/>
        </w:rPr>
        <w:t>违反约束的行为</w:t>
      </w:r>
      <w:r>
        <w:rPr>
          <w:rFonts w:hint="eastAsia" w:asciiTheme="minorEastAsia" w:hAnsiTheme="minorEastAsia" w:cstheme="minorEastAsia"/>
          <w:sz w:val="24"/>
          <w:szCs w:val="24"/>
          <w:lang w:val="en-US" w:eastAsia="zh-CN"/>
        </w:rPr>
        <w:t>将被施加额</w:t>
      </w:r>
      <w:r>
        <w:rPr>
          <w:rFonts w:hint="default" w:asciiTheme="minorEastAsia" w:hAnsiTheme="minorEastAsia" w:cstheme="minorEastAsia"/>
          <w:sz w:val="24"/>
          <w:szCs w:val="24"/>
          <w:lang w:val="en-US" w:eastAsia="zh-CN"/>
        </w:rPr>
        <w:t>外惩罚。</w:t>
      </w:r>
    </w:p>
    <w:p w14:paraId="4118BFF6">
      <w:pPr>
        <w:numPr>
          <w:ilvl w:val="0"/>
          <w:numId w:val="25"/>
        </w:numPr>
        <w:ind w:left="845" w:leftChars="0" w:hanging="425" w:firstLineChars="0"/>
        <w:outlineLvl w:val="1"/>
        <w:rPr>
          <w:rFonts w:hint="default" w:ascii="楷体" w:hAnsi="楷体" w:eastAsia="楷体" w:cs="楷体"/>
          <w:sz w:val="28"/>
          <w:szCs w:val="28"/>
          <w:lang w:val="en-US" w:eastAsia="zh-CN"/>
        </w:rPr>
      </w:pPr>
      <w:bookmarkStart w:id="70" w:name="_Toc20637"/>
      <w:r>
        <w:rPr>
          <w:rFonts w:hint="default" w:ascii="楷体" w:hAnsi="楷体" w:eastAsia="楷体" w:cs="楷体"/>
          <w:sz w:val="28"/>
          <w:szCs w:val="28"/>
          <w:lang w:val="en-US" w:eastAsia="zh-CN"/>
        </w:rPr>
        <w:t>复合奖励函数</w:t>
      </w:r>
      <w:bookmarkEnd w:id="70"/>
    </w:p>
    <w:p w14:paraId="1A26137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初始奖励函数仅围绕组合收益、波动、回撤、换手设计，智能体存在显著行为偏差：过度追逐高弹性权益资产，十年国债配置比例仅6.2%，组合对冲能力不足、回撤控制较差。</w:t>
      </w:r>
    </w:p>
    <w:p w14:paraId="0B557E5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为平衡收益与下行风险，本文对奖励函数做消融优化，新增国债持仓正向激励项，完整复合奖励定义如下：</w:t>
      </w:r>
    </w:p>
    <w:p w14:paraId="4C71A91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hAnsi="Cambria Math" w:cstheme="minorEastAsia"/>
          <w:i/>
          <w:kern w:val="2"/>
          <w:sz w:val="24"/>
          <w:szCs w:val="24"/>
          <w:lang w:val="en-US" w:eastAsia="zh-CN" w:bidi="ar-SA"/>
        </w:rPr>
      </w:pPr>
      <m:oMathPara>
        <m:oMath>
          <m:r>
            <m:rPr/>
            <w:rPr>
              <w:rFonts w:hint="default" w:ascii="Cambria Math" w:hAnsi="Cambria Math" w:cstheme="minorEastAsia"/>
              <w:kern w:val="2"/>
              <w:sz w:val="24"/>
              <w:szCs w:val="24"/>
              <w:lang w:val="en-US" w:eastAsia="zh-CN" w:bidi="ar-SA"/>
            </w:rPr>
            <m:t>R=α1​⋅Rdaily​+α6​⋅wbond​−α2​⋅Penaltyvol​−α3​⋅Penaltydd​−α4​⋅Penaltyturn​−α5​⋅Penaltyconstraint​</m:t>
          </m:r>
        </m:oMath>
      </m:oMathPara>
    </w:p>
    <w:p w14:paraId="12A2BA2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其中：</w:t>
      </w:r>
    </w:p>
    <w:p w14:paraId="69A638F0">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b/>
          <w:bCs/>
          <w:sz w:val="24"/>
          <w:szCs w:val="24"/>
          <w:lang w:val="en-US" w:eastAsia="zh-CN"/>
        </w:rPr>
        <w:t>日收益</w:t>
      </w:r>
      <w:r>
        <w:rPr>
          <w:rFonts w:hint="default" w:asciiTheme="minorEastAsia" w:hAnsiTheme="minorEastAsia" w:cstheme="minorEastAsia"/>
          <w:sz w:val="24"/>
          <w:szCs w:val="24"/>
          <w:lang w:val="en-US" w:eastAsia="zh-CN"/>
        </w:rPr>
        <w:t>（α₁=15.0）：持仓组合当日实际收益，最大化方向</w:t>
      </w:r>
    </w:p>
    <w:p w14:paraId="27BC8280">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b/>
          <w:bCs/>
          <w:sz w:val="24"/>
          <w:szCs w:val="24"/>
          <w:lang w:val="en-US" w:eastAsia="zh-CN"/>
        </w:rPr>
        <w:t>固收对冲奖励</w:t>
      </w:r>
      <w:r>
        <w:rPr>
          <w:rFonts w:hint="default" w:asciiTheme="minorEastAsia" w:hAnsiTheme="minorEastAsia" w:cstheme="minorEastAsia"/>
          <w:sz w:val="24"/>
          <w:szCs w:val="24"/>
          <w:lang w:val="en-US" w:eastAsia="zh-CN"/>
        </w:rPr>
        <w:t>（α₆=15.0）：十年国债权重（w_bond）正向加分，引导智能体主动配置低波动固收资产对冲熊市风险</w:t>
      </w:r>
    </w:p>
    <w:p w14:paraId="4108EE25">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71" w:name="_Toc16628"/>
      <w:r>
        <w:rPr>
          <w:rFonts w:hint="default" w:asciiTheme="minorEastAsia" w:hAnsiTheme="minorEastAsia" w:cstheme="minorEastAsia"/>
          <w:b/>
          <w:bCs/>
          <w:sz w:val="24"/>
          <w:szCs w:val="24"/>
          <w:lang w:val="en-US" w:eastAsia="zh-CN"/>
        </w:rPr>
        <w:t>波动惩罚</w:t>
      </w:r>
      <w:r>
        <w:rPr>
          <w:rFonts w:hint="default" w:asciiTheme="minorEastAsia" w:hAnsiTheme="minorEastAsia" w:cstheme="minorEastAsia"/>
          <w:sz w:val="24"/>
          <w:szCs w:val="24"/>
          <w:lang w:val="en-US" w:eastAsia="zh-CN"/>
        </w:rPr>
        <w:t>（α₂=0.01）：日收益的指数加权移动平均波动率，惩罚高波动策略</w:t>
      </w:r>
      <w:bookmarkEnd w:id="71"/>
    </w:p>
    <w:p w14:paraId="2221E290">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b/>
          <w:bCs/>
          <w:sz w:val="24"/>
          <w:szCs w:val="24"/>
          <w:lang w:val="en-US" w:eastAsia="zh-CN"/>
        </w:rPr>
        <w:t>回撤惩罚</w:t>
      </w:r>
      <w:r>
        <w:rPr>
          <w:rFonts w:hint="default" w:asciiTheme="minorEastAsia" w:hAnsiTheme="minorEastAsia" w:cstheme="minorEastAsia"/>
          <w:sz w:val="24"/>
          <w:szCs w:val="24"/>
          <w:lang w:val="en-US" w:eastAsia="zh-CN"/>
        </w:rPr>
        <w:t>（α₃=0.15）：当前净值相对于历史峰值的回撤幅度，超过5%阈值后线性惩罚</w:t>
      </w:r>
    </w:p>
    <w:p w14:paraId="59548474">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b/>
          <w:bCs/>
          <w:sz w:val="24"/>
          <w:szCs w:val="24"/>
          <w:lang w:val="en-US" w:eastAsia="zh-CN"/>
        </w:rPr>
        <w:t>换手惩罚</w:t>
      </w:r>
      <w:r>
        <w:rPr>
          <w:rFonts w:hint="default" w:asciiTheme="minorEastAsia" w:hAnsiTheme="minorEastAsia" w:cstheme="minorEastAsia"/>
          <w:sz w:val="24"/>
          <w:szCs w:val="24"/>
          <w:lang w:val="en-US" w:eastAsia="zh-CN"/>
        </w:rPr>
        <w:t>（α₄=0.005）：新旧权重差的绝对值之和，抑制高频交易</w:t>
      </w:r>
    </w:p>
    <w:p w14:paraId="7F6E8602">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72" w:name="_Toc6148"/>
      <w:r>
        <w:rPr>
          <w:rFonts w:hint="default" w:asciiTheme="minorEastAsia" w:hAnsiTheme="minorEastAsia" w:cstheme="minorEastAsia"/>
          <w:b/>
          <w:bCs/>
          <w:sz w:val="24"/>
          <w:szCs w:val="24"/>
          <w:lang w:val="en-US" w:eastAsia="zh-CN"/>
        </w:rPr>
        <w:t>约束违规</w:t>
      </w:r>
      <w:r>
        <w:rPr>
          <w:rFonts w:hint="default" w:asciiTheme="minorEastAsia" w:hAnsiTheme="minorEastAsia" w:cstheme="minorEastAsia"/>
          <w:sz w:val="24"/>
          <w:szCs w:val="24"/>
          <w:lang w:val="en-US" w:eastAsia="zh-CN"/>
        </w:rPr>
        <w:t>（α₅=10.0）：权重超出[1%, 55%]硬约束的幅度</w:t>
      </w:r>
      <w:bookmarkEnd w:id="72"/>
    </w:p>
    <w:p w14:paraId="1D3D97E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最终奖励经clip(-5, 5)截断，防止梯度爆炸。</w:t>
      </w:r>
    </w:p>
    <w:p w14:paraId="0CFE5A14">
      <w:pPr>
        <w:numPr>
          <w:ilvl w:val="0"/>
          <w:numId w:val="24"/>
        </w:numPr>
        <w:ind w:left="0" w:leftChars="0" w:firstLine="420" w:firstLineChars="0"/>
        <w:outlineLvl w:val="0"/>
        <w:rPr>
          <w:rFonts w:hint="default" w:ascii="黑体" w:hAnsi="黑体" w:eastAsia="黑体" w:cs="黑体"/>
          <w:sz w:val="30"/>
          <w:szCs w:val="30"/>
          <w:lang w:val="en-US" w:eastAsia="zh-CN"/>
        </w:rPr>
      </w:pPr>
      <w:bookmarkStart w:id="73" w:name="_Toc13256"/>
      <w:r>
        <w:rPr>
          <w:rFonts w:hint="default" w:ascii="黑体" w:hAnsi="黑体" w:eastAsia="黑体" w:cs="黑体"/>
          <w:sz w:val="30"/>
          <w:szCs w:val="30"/>
          <w:lang w:val="en-US" w:eastAsia="zh-CN"/>
        </w:rPr>
        <w:t>两阶段实验</w:t>
      </w:r>
      <w:bookmarkEnd w:id="73"/>
    </w:p>
    <w:p w14:paraId="16A7CE5C">
      <w:pPr>
        <w:numPr>
          <w:ilvl w:val="0"/>
          <w:numId w:val="28"/>
        </w:numPr>
        <w:ind w:left="845" w:leftChars="0" w:hanging="425" w:firstLineChars="0"/>
        <w:outlineLvl w:val="1"/>
        <w:rPr>
          <w:rFonts w:hint="default" w:ascii="楷体" w:hAnsi="楷体" w:eastAsia="楷体" w:cs="楷体"/>
          <w:sz w:val="28"/>
          <w:szCs w:val="28"/>
          <w:lang w:val="en-US" w:eastAsia="zh-CN"/>
        </w:rPr>
      </w:pPr>
      <w:bookmarkStart w:id="74" w:name="_Toc29205"/>
      <w:r>
        <w:rPr>
          <w:rFonts w:hint="default" w:ascii="楷体" w:hAnsi="楷体" w:eastAsia="楷体" w:cs="楷体"/>
          <w:sz w:val="28"/>
          <w:szCs w:val="28"/>
          <w:lang w:val="en-US" w:eastAsia="zh-CN"/>
        </w:rPr>
        <w:t>阶段一：Walk-Forward PPO（失败）</w:t>
      </w:r>
      <w:bookmarkEnd w:id="74"/>
    </w:p>
    <w:p w14:paraId="56FDB20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最初采用与LightGBM一致的Walk-Forward框架：设置500天训练窗口、60天外推窗口，共开展22轮滚动训练。每轮训练在验证集上表现均表现优异，夏普比率处于0.6-1.5区间，但在外推预测窗口性能全面失效：年化收益率仅0.15%，最大回撤达-35.3%，夏普比率仅0.008。</w:t>
      </w:r>
    </w:p>
    <w:p w14:paraId="2503865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本实验为典型过拟合案例——PPO在各训练窗口内学习到高度特化的噪声模式，无法泛化至新的市场状态。开展特征降维（维度由182降至37）与网络裁剪（节点数由512→128→64）后，训练速度提升60倍，但未解决过拟合问题。</w:t>
      </w:r>
    </w:p>
    <w:p w14:paraId="4A7CCD5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结论：在约2798天日频数据约束下，Walk-Forward PPO存在本质性过拟合，该问题无法通过超参数调整解决。</w:t>
      </w:r>
      <w:r>
        <w:rPr>
          <w:rFonts w:hint="default" w:asciiTheme="minorEastAsia" w:hAnsiTheme="minorEastAsia" w:cstheme="minorEastAsia"/>
          <w:sz w:val="24"/>
          <w:szCs w:val="24"/>
          <w:lang w:val="en-US" w:eastAsia="zh-CN"/>
        </w:rPr>
        <w:t>。</w:t>
      </w:r>
    </w:p>
    <w:p w14:paraId="77E1389F">
      <w:pPr>
        <w:numPr>
          <w:ilvl w:val="0"/>
          <w:numId w:val="28"/>
        </w:numPr>
        <w:ind w:left="845" w:leftChars="0" w:hanging="425" w:firstLineChars="0"/>
        <w:outlineLvl w:val="1"/>
        <w:rPr>
          <w:rFonts w:hint="default" w:ascii="楷体" w:hAnsi="楷体" w:eastAsia="楷体" w:cs="楷体"/>
          <w:sz w:val="28"/>
          <w:szCs w:val="28"/>
          <w:lang w:val="en-US" w:eastAsia="zh-CN"/>
        </w:rPr>
      </w:pPr>
      <w:bookmarkStart w:id="75" w:name="_Toc25874"/>
      <w:r>
        <w:rPr>
          <w:rFonts w:hint="default" w:ascii="楷体" w:hAnsi="楷体" w:eastAsia="楷体" w:cs="楷体"/>
          <w:sz w:val="28"/>
          <w:szCs w:val="28"/>
          <w:lang w:val="en-US" w:eastAsia="zh-CN"/>
        </w:rPr>
        <w:t>阶段二：全局训练PPO（有效）</w:t>
      </w:r>
      <w:bookmarkEnd w:id="75"/>
    </w:p>
    <w:p w14:paraId="4B3227B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将PPO训练方式由Walk-Forward调整为全局训练后，模型表现得到本质性改善。具体方案为：将全时段数据按80/20比例划分为训练集与验证集，PPO在训练集上开展全局学习（不切分为多个训练窗口），并在验证集上执行早停策略。</w:t>
      </w:r>
    </w:p>
    <w:p w14:paraId="276E09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该方案在强化学习方法论层面具备合理性：强化学习智能体通过环境内部的时序步进，保证每个决策仅使用当前及此前的信息，不存在未来数据泄露，因此即使训练数据覆盖全时段，智能体在每个决策步仍仅能获取历史信息。全局训练的优势在于，智能体可学习全部市场形态（牛市/熊市/震荡市），最终习得通用策略，而非适配特定窗口的特化策略。</w:t>
      </w:r>
    </w:p>
    <w:p w14:paraId="333B872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训练配置：MLP网络[128, 64]，学习率3×10⁻⁴，clip_range=0.25，ent_coef=0.07，EPOCH_STEP=3000，早停patience=15。30组参数网格搜索确认默认配置为全局最优。</w:t>
      </w:r>
    </w:p>
    <w:p w14:paraId="72BF90F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回测结果：年化收益26.9%，夏普比率1.41，最大回撤-21.1%，月均换手率极低，权重集中度。原生日频动态调仓PPO与月度压缩PPO指标几乎完全一致，证明月度权重采样不会损失模型核心特征。</w:t>
      </w:r>
    </w:p>
    <w:p w14:paraId="7C670B6D">
      <w:pPr>
        <w:pStyle w:val="5"/>
        <w:keepNext/>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PPO两阶段实验对比</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95"/>
        <w:gridCol w:w="2105"/>
        <w:gridCol w:w="987"/>
        <w:gridCol w:w="931"/>
        <w:gridCol w:w="1070"/>
        <w:gridCol w:w="1875"/>
      </w:tblGrid>
      <w:tr w14:paraId="5F149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2DB6BA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阶段</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7CBD49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训练方式</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8C25F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年化</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17306F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夏普</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78B22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回撤</w:t>
            </w:r>
          </w:p>
        </w:tc>
        <w:tc>
          <w:tcPr>
            <w:tcW w:w="187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FB61EF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结论</w:t>
            </w:r>
          </w:p>
        </w:tc>
      </w:tr>
      <w:tr w14:paraId="42558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A1C41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Walk-Forward</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34052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500天窗→60天推</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6BF80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0.15%</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12E3D9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BCB43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-35.3%</w:t>
            </w:r>
          </w:p>
        </w:tc>
        <w:tc>
          <w:tcPr>
            <w:tcW w:w="1875"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A250E9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严重过拟合</w:t>
            </w:r>
          </w:p>
        </w:tc>
      </w:tr>
      <w:tr w14:paraId="042A2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495"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185F7B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全局训练</w:t>
            </w:r>
          </w:p>
        </w:tc>
        <w:tc>
          <w:tcPr>
            <w:tcW w:w="210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7FF5BF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80/20划分</w:t>
            </w:r>
          </w:p>
        </w:tc>
        <w:tc>
          <w:tcPr>
            <w:tcW w:w="98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B75C8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26.9%</w:t>
            </w:r>
          </w:p>
        </w:tc>
        <w:tc>
          <w:tcPr>
            <w:tcW w:w="93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AFB6A0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1.41</w:t>
            </w:r>
          </w:p>
        </w:tc>
        <w:tc>
          <w:tcPr>
            <w:tcW w:w="107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A1370E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-21.1%</w:t>
            </w:r>
          </w:p>
        </w:tc>
        <w:tc>
          <w:tcPr>
            <w:tcW w:w="1875"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58717B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有效，但独立引擎</w:t>
            </w:r>
          </w:p>
        </w:tc>
      </w:tr>
    </w:tbl>
    <w:p w14:paraId="6CE847F0">
      <w:pPr>
        <w:numPr>
          <w:ilvl w:val="0"/>
          <w:numId w:val="24"/>
        </w:numPr>
        <w:ind w:left="0" w:leftChars="0" w:firstLine="420" w:firstLineChars="0"/>
        <w:outlineLvl w:val="0"/>
        <w:rPr>
          <w:rFonts w:hint="default" w:ascii="黑体" w:hAnsi="黑体" w:eastAsia="黑体" w:cs="黑体"/>
          <w:sz w:val="30"/>
          <w:szCs w:val="30"/>
          <w:lang w:val="en-US" w:eastAsia="zh-CN"/>
        </w:rPr>
      </w:pPr>
      <w:bookmarkStart w:id="76" w:name="_Toc6747"/>
      <w:r>
        <w:rPr>
          <w:rFonts w:hint="default" w:ascii="黑体" w:hAnsi="黑体" w:eastAsia="黑体" w:cs="黑体"/>
          <w:sz w:val="30"/>
          <w:szCs w:val="30"/>
          <w:lang w:val="en-US" w:eastAsia="zh-CN"/>
        </w:rPr>
        <w:t> 本章小结</w:t>
      </w:r>
      <w:bookmarkEnd w:id="76"/>
    </w:p>
    <w:p w14:paraId="7E127FE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本章针对ETF资产配置场景完成PPO强化学习两组对照实验，得到明确</w:t>
      </w:r>
      <w:r>
        <w:rPr>
          <w:rFonts w:hint="eastAsia" w:asciiTheme="minorEastAsia" w:hAnsiTheme="minorEastAsia" w:cstheme="minorEastAsia"/>
          <w:sz w:val="24"/>
          <w:szCs w:val="24"/>
          <w:lang w:val="en-US" w:eastAsia="zh-CN"/>
        </w:rPr>
        <w:t>且</w:t>
      </w:r>
      <w:r>
        <w:rPr>
          <w:rFonts w:hint="default" w:asciiTheme="minorEastAsia" w:hAnsiTheme="minorEastAsia" w:cstheme="minorEastAsia"/>
          <w:sz w:val="24"/>
          <w:szCs w:val="24"/>
          <w:lang w:val="en-US" w:eastAsia="zh-CN"/>
        </w:rPr>
        <w:t>可复现的方法论结论：滚动窗口Walk-Forward训练对时序强化学习存在天然缺陷，在本文数据规模下会产生严重过拟合，无法落地</w:t>
      </w:r>
      <w:r>
        <w:rPr>
          <w:rFonts w:hint="eastAsia" w:asciiTheme="minorEastAsia" w:hAnsiTheme="minorEastAsia" w:cstheme="minorEastAsia"/>
          <w:sz w:val="24"/>
          <w:szCs w:val="24"/>
          <w:lang w:val="en-US" w:eastAsia="zh-CN"/>
        </w:rPr>
        <w:t>应用</w:t>
      </w:r>
      <w:r>
        <w:rPr>
          <w:rFonts w:hint="default" w:asciiTheme="minorEastAsia" w:hAnsiTheme="minorEastAsia" w:cstheme="minorEastAsia"/>
          <w:sz w:val="24"/>
          <w:szCs w:val="24"/>
          <w:lang w:val="en-US" w:eastAsia="zh-CN"/>
        </w:rPr>
        <w:t>；全局时序训练可有效规避窗口偏置，得到稳定可用</w:t>
      </w:r>
      <w:r>
        <w:rPr>
          <w:rFonts w:hint="eastAsia" w:asciiTheme="minorEastAsia" w:hAnsiTheme="minorEastAsia" w:cstheme="minorEastAsia"/>
          <w:sz w:val="24"/>
          <w:szCs w:val="24"/>
          <w:lang w:val="en-US" w:eastAsia="zh-CN"/>
        </w:rPr>
        <w:t>的</w:t>
      </w:r>
      <w:r>
        <w:rPr>
          <w:rFonts w:hint="default" w:asciiTheme="minorEastAsia" w:hAnsiTheme="minorEastAsia" w:cstheme="minorEastAsia"/>
          <w:sz w:val="24"/>
          <w:szCs w:val="24"/>
          <w:lang w:val="en-US" w:eastAsia="zh-CN"/>
        </w:rPr>
        <w:t>策略。</w:t>
      </w:r>
    </w:p>
    <w:p w14:paraId="4B8294A9">
      <w:pPr>
        <w:keepNext w:val="0"/>
        <w:keepLines w:val="0"/>
        <w:pageBreakBefore w:val="0"/>
        <w:widowControl w:val="0"/>
        <w:numPr>
          <w:ilvl w:val="0"/>
          <w:numId w:val="29"/>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针对PPO智能体低配固收、回撤偏大的缺陷，本文在复合奖励中新增国债正向激励项，消融实验证实该优化可显著降低组合波动率与最大回撤。</w:t>
      </w:r>
    </w:p>
    <w:p w14:paraId="727FF1F2">
      <w:pPr>
        <w:keepNext w:val="0"/>
        <w:keepLines w:val="0"/>
        <w:pageBreakBefore w:val="0"/>
        <w:widowControl w:val="0"/>
        <w:numPr>
          <w:ilvl w:val="0"/>
          <w:numId w:val="29"/>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横向对比全部基准策略，全局PPO仅在持仓分散度、交易换手率两项指标上具备优势；受固收配置比例不足限制，其风险调整收益指标弱于动态评分和LGB融合策略。</w:t>
      </w:r>
    </w:p>
    <w:p w14:paraId="3097D29F">
      <w:pPr>
        <w:keepNext w:val="0"/>
        <w:keepLines w:val="0"/>
        <w:pageBreakBefore w:val="0"/>
        <w:widowControl w:val="0"/>
        <w:numPr>
          <w:ilvl w:val="0"/>
          <w:numId w:val="29"/>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工程效率层面，PPO全局训练耗时远高于秒级完成的LightGBM滚动训练，算力成本更高。</w:t>
      </w:r>
    </w:p>
    <w:p w14:paraId="1ED9519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综合以上结论，本文将LGB融合+市场动态评分作为核心资产配置框架，PPO仅作为探索性对照实验，用于论证监督学习融合规则方案在国内多ETF配置场景下的综合优势。</w:t>
      </w:r>
    </w:p>
    <w:p w14:paraId="57401521">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77" w:name="_Toc18415"/>
      <w:r>
        <w:rPr>
          <w:rFonts w:hint="default" w:ascii="黑体" w:hAnsi="黑体" w:eastAsia="黑体" w:cs="黑体"/>
          <w:sz w:val="32"/>
          <w:szCs w:val="32"/>
          <w:lang w:val="en-US" w:eastAsia="zh-CN"/>
        </w:rPr>
        <w:t>实验结果与对比分析</w:t>
      </w:r>
      <w:bookmarkEnd w:id="77"/>
    </w:p>
    <w:p w14:paraId="27C3D72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本章系统呈现八套策略在2015-2026年回测区间的对比结果，并从分段回测、回撤修复、稳健性验证、三档风险组合四个维度</w:t>
      </w:r>
      <w:r>
        <w:rPr>
          <w:rFonts w:hint="eastAsia" w:asciiTheme="minorEastAsia" w:hAnsiTheme="minorEastAsia" w:cstheme="minorEastAsia"/>
          <w:sz w:val="24"/>
          <w:szCs w:val="24"/>
          <w:lang w:val="en-US" w:eastAsia="zh-CN"/>
        </w:rPr>
        <w:t>开展</w:t>
      </w:r>
      <w:r>
        <w:rPr>
          <w:rFonts w:hint="default" w:asciiTheme="minorEastAsia" w:hAnsiTheme="minorEastAsia" w:cstheme="minorEastAsia"/>
          <w:sz w:val="24"/>
          <w:szCs w:val="24"/>
          <w:lang w:val="en-US" w:eastAsia="zh-CN"/>
        </w:rPr>
        <w:t>深度分析。</w:t>
      </w:r>
    </w:p>
    <w:p w14:paraId="3F2AD70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实验设计说明：本文选取LightGBM梯度提升树与PPO深度强化学习两类异质智能量化模型开展资产配置对比实验。</w:t>
      </w:r>
      <w:r>
        <w:rPr>
          <w:rFonts w:hint="eastAsia" w:asciiTheme="minorEastAsia" w:hAnsiTheme="minorEastAsia" w:cstheme="minorEastAsia"/>
          <w:sz w:val="24"/>
          <w:szCs w:val="24"/>
          <w:lang w:val="en-US" w:eastAsia="zh-CN"/>
        </w:rPr>
        <w:t>两类模型的原生训练逻辑、优化目标、调仓频率、惩罚机制并不完全一致，若直接采用各自原生规则开展回测，对比结果将存在实验变量不唯一的问题。</w:t>
      </w:r>
      <w:r>
        <w:rPr>
          <w:rFonts w:hint="default" w:asciiTheme="minorEastAsia" w:hAnsiTheme="minorEastAsia" w:cstheme="minorEastAsia"/>
          <w:sz w:val="24"/>
          <w:szCs w:val="24"/>
          <w:lang w:val="en-US" w:eastAsia="zh-CN"/>
        </w:rPr>
        <w:t>为</w:t>
      </w:r>
      <w:r>
        <w:rPr>
          <w:rFonts w:hint="eastAsia" w:asciiTheme="minorEastAsia" w:hAnsiTheme="minorEastAsia" w:cstheme="minorEastAsia"/>
          <w:sz w:val="24"/>
          <w:szCs w:val="24"/>
          <w:lang w:val="en-US" w:eastAsia="zh-CN"/>
        </w:rPr>
        <w:t>保障对照</w:t>
      </w:r>
      <w:r>
        <w:rPr>
          <w:rFonts w:hint="default" w:asciiTheme="minorEastAsia" w:hAnsiTheme="minorEastAsia" w:cstheme="minorEastAsia"/>
          <w:sz w:val="24"/>
          <w:szCs w:val="24"/>
          <w:lang w:val="en-US" w:eastAsia="zh-CN"/>
        </w:rPr>
        <w:t>公平</w:t>
      </w:r>
      <w:r>
        <w:rPr>
          <w:rFonts w:hint="eastAsia" w:asciiTheme="minorEastAsia" w:hAnsiTheme="minorEastAsia" w:cstheme="minorEastAsia"/>
          <w:sz w:val="24"/>
          <w:szCs w:val="24"/>
          <w:lang w:val="en-US" w:eastAsia="zh-CN"/>
        </w:rPr>
        <w:t>性</w:t>
      </w:r>
      <w:r>
        <w:rPr>
          <w:rFonts w:hint="default" w:asciiTheme="minorEastAsia" w:hAnsiTheme="minorEastAsia" w:cstheme="minorEastAsia"/>
          <w:sz w:val="24"/>
          <w:szCs w:val="24"/>
          <w:lang w:val="en-US" w:eastAsia="zh-CN"/>
        </w:rPr>
        <w:t>，本文设置两组分层对照实验：</w:t>
      </w:r>
      <w:r>
        <w:rPr>
          <w:rFonts w:hint="default" w:asciiTheme="minorEastAsia" w:hAnsiTheme="minorEastAsia" w:cstheme="minorEastAsia"/>
          <w:sz w:val="24"/>
          <w:szCs w:val="24"/>
          <w:lang w:val="en-US" w:eastAsia="zh-CN"/>
        </w:rPr>
        <w:br w:type="textWrapping"/>
      </w:r>
      <w:r>
        <w:rPr>
          <w:rFonts w:hint="default" w:asciiTheme="minorEastAsia" w:hAnsiTheme="minorEastAsia" w:cstheme="minorEastAsia"/>
          <w:sz w:val="24"/>
          <w:szCs w:val="24"/>
          <w:lang w:val="en-US" w:eastAsia="zh-CN"/>
        </w:rPr>
        <w:t>（1）统一规则主实验：对PPO模型</w:t>
      </w:r>
      <w:r>
        <w:rPr>
          <w:rFonts w:hint="eastAsia" w:asciiTheme="minorEastAsia" w:hAnsiTheme="minorEastAsia" w:cstheme="minorEastAsia"/>
          <w:sz w:val="24"/>
          <w:szCs w:val="24"/>
          <w:lang w:val="en-US" w:eastAsia="zh-CN"/>
        </w:rPr>
        <w:t>施加</w:t>
      </w:r>
      <w:r>
        <w:rPr>
          <w:rFonts w:hint="default" w:asciiTheme="minorEastAsia" w:hAnsiTheme="minorEastAsia" w:cstheme="minorEastAsia"/>
          <w:sz w:val="24"/>
          <w:szCs w:val="24"/>
          <w:lang w:val="en-US" w:eastAsia="zh-CN"/>
        </w:rPr>
        <w:t>月度采样约束，仅保留每月首个交易日权重作为月度调仓信号；LightGBM沿用相同月度调仓周期，两套模型统一手续费、滑点、单资产权重上下限、年化夏普计算口径</w:t>
      </w:r>
      <w:r>
        <w:rPr>
          <w:rFonts w:hint="default" w:asciiTheme="minorEastAsia" w:hAnsiTheme="minorEastAsia" w:cstheme="minorEastAsia"/>
          <w:sz w:val="24"/>
          <w:szCs w:val="24"/>
          <w:lang w:val="en-US" w:eastAsia="zh-CN"/>
        </w:rPr>
        <w:br w:type="textWrapping"/>
      </w:r>
      <w:r>
        <w:rPr>
          <w:rFonts w:hint="default" w:asciiTheme="minorEastAsia" w:hAnsiTheme="minorEastAsia" w:cstheme="minorEastAsia"/>
          <w:sz w:val="24"/>
          <w:szCs w:val="24"/>
          <w:lang w:val="en-US" w:eastAsia="zh-CN"/>
        </w:rPr>
        <w:t>（2）原生特性补充对照实验（附录）：保留PPO原生日频动态调仓逻辑，与月度约束版PPO</w:t>
      </w:r>
      <w:r>
        <w:rPr>
          <w:rFonts w:hint="eastAsia" w:asciiTheme="minorEastAsia" w:hAnsiTheme="minorEastAsia" w:cstheme="minorEastAsia"/>
          <w:sz w:val="24"/>
          <w:szCs w:val="24"/>
          <w:lang w:val="en-US" w:eastAsia="zh-CN"/>
        </w:rPr>
        <w:t>开展</w:t>
      </w:r>
      <w:r>
        <w:rPr>
          <w:rFonts w:hint="default" w:asciiTheme="minorEastAsia" w:hAnsiTheme="minorEastAsia" w:cstheme="minorEastAsia"/>
          <w:sz w:val="24"/>
          <w:szCs w:val="24"/>
          <w:lang w:val="en-US" w:eastAsia="zh-CN"/>
        </w:rPr>
        <w:t>自</w:t>
      </w:r>
      <w:r>
        <w:rPr>
          <w:rFonts w:hint="eastAsia" w:asciiTheme="minorEastAsia" w:hAnsiTheme="minorEastAsia" w:cstheme="minorEastAsia"/>
          <w:sz w:val="24"/>
          <w:szCs w:val="24"/>
          <w:lang w:val="en-US" w:eastAsia="zh-CN"/>
        </w:rPr>
        <w:t>身</w:t>
      </w:r>
      <w:r>
        <w:rPr>
          <w:rFonts w:hint="default" w:asciiTheme="minorEastAsia" w:hAnsiTheme="minorEastAsia" w:cstheme="minorEastAsia"/>
          <w:sz w:val="24"/>
          <w:szCs w:val="24"/>
          <w:lang w:val="en-US" w:eastAsia="zh-CN"/>
        </w:rPr>
        <w:t>对比</w:t>
      </w:r>
    </w:p>
    <w:p w14:paraId="02F02472">
      <w:pPr>
        <w:numPr>
          <w:ilvl w:val="0"/>
          <w:numId w:val="30"/>
        </w:numPr>
        <w:ind w:left="0" w:leftChars="0" w:firstLine="420" w:firstLineChars="0"/>
        <w:outlineLvl w:val="0"/>
        <w:rPr>
          <w:rFonts w:hint="default" w:ascii="黑体" w:hAnsi="黑体" w:eastAsia="黑体" w:cs="黑体"/>
          <w:sz w:val="30"/>
          <w:szCs w:val="30"/>
          <w:lang w:val="en-US" w:eastAsia="zh-CN"/>
        </w:rPr>
      </w:pPr>
      <w:bookmarkStart w:id="78" w:name="_Toc11862"/>
      <w:r>
        <w:rPr>
          <w:rFonts w:hint="default" w:ascii="黑体" w:hAnsi="黑体" w:eastAsia="黑体" w:cs="黑体"/>
          <w:sz w:val="30"/>
          <w:szCs w:val="30"/>
          <w:lang w:val="en-US" w:eastAsia="zh-CN"/>
        </w:rPr>
        <w:t>八套策略全对比</w:t>
      </w:r>
      <w:bookmarkEnd w:id="78"/>
    </w:p>
    <w:p w14:paraId="6C2DB1DD">
      <w:pPr>
        <w:numPr>
          <w:ilvl w:val="0"/>
          <w:numId w:val="31"/>
        </w:numPr>
        <w:ind w:left="845" w:leftChars="0" w:hanging="425" w:firstLineChars="0"/>
        <w:outlineLvl w:val="1"/>
        <w:rPr>
          <w:rFonts w:hint="default" w:ascii="楷体" w:hAnsi="楷体" w:eastAsia="楷体" w:cs="楷体"/>
          <w:sz w:val="28"/>
          <w:szCs w:val="28"/>
          <w:lang w:val="en-US" w:eastAsia="zh-CN"/>
        </w:rPr>
      </w:pPr>
      <w:bookmarkStart w:id="79" w:name="_Toc26475"/>
      <w:r>
        <w:rPr>
          <w:rFonts w:hint="default" w:ascii="楷体" w:hAnsi="楷体" w:eastAsia="楷体" w:cs="楷体"/>
          <w:sz w:val="28"/>
          <w:szCs w:val="28"/>
          <w:lang w:val="en-US" w:eastAsia="zh-CN"/>
        </w:rPr>
        <w:t>回测设定</w:t>
      </w:r>
      <w:bookmarkEnd w:id="79"/>
    </w:p>
    <w:p w14:paraId="7A644D6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回测区间：2015-01-05至2026-07-10（2798个交易日）</w:t>
      </w:r>
    </w:p>
    <w:p w14:paraId="1B95F5E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起始资金：100万元</w:t>
      </w:r>
    </w:p>
    <w:p w14:paraId="2582A5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outlineLvl w:val="2"/>
        <w:rPr>
          <w:rFonts w:hint="default" w:asciiTheme="minorEastAsia" w:hAnsiTheme="minorEastAsia" w:cstheme="minorEastAsia"/>
          <w:sz w:val="24"/>
          <w:szCs w:val="24"/>
          <w:lang w:val="en-US" w:eastAsia="zh-CN"/>
        </w:rPr>
      </w:pPr>
      <w:bookmarkStart w:id="80" w:name="_Toc2626"/>
      <w:r>
        <w:rPr>
          <w:rFonts w:hint="default" w:asciiTheme="minorEastAsia" w:hAnsiTheme="minorEastAsia" w:cstheme="minorEastAsia"/>
          <w:sz w:val="24"/>
          <w:szCs w:val="24"/>
          <w:lang w:val="en-US" w:eastAsia="zh-CN"/>
        </w:rPr>
        <w:t>调仓频率：月度（每月首个交易日）</w:t>
      </w:r>
      <w:bookmarkEnd w:id="80"/>
    </w:p>
    <w:p w14:paraId="077F327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成本假设：管理费+托管费每日计提（宽基0.20%/年，行业/商品0.60%/年，国债0.20%/年），单边滑点0.05%，双边换手成本0.1%</w:t>
      </w:r>
    </w:p>
    <w:p w14:paraId="6DC2CA1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评分系统：含宏观数据发布滞后修正（Lag=30交易日）和北向资金2024年8月后可用性标记</w:t>
      </w:r>
    </w:p>
    <w:p w14:paraId="748DDA8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单ETF权重上限：统一30%</w:t>
      </w:r>
    </w:p>
    <w:p w14:paraId="3DFE3424">
      <w:pPr>
        <w:numPr>
          <w:ilvl w:val="0"/>
          <w:numId w:val="31"/>
        </w:numPr>
        <w:ind w:left="845" w:leftChars="0" w:hanging="425" w:firstLineChars="0"/>
        <w:outlineLvl w:val="1"/>
        <w:rPr>
          <w:rFonts w:hint="default" w:ascii="楷体" w:hAnsi="楷体" w:eastAsia="楷体" w:cs="楷体"/>
          <w:sz w:val="28"/>
          <w:szCs w:val="28"/>
          <w:lang w:val="en-US" w:eastAsia="zh-CN"/>
        </w:rPr>
      </w:pPr>
      <w:bookmarkStart w:id="81" w:name="_Toc16037"/>
      <w:r>
        <w:rPr>
          <w:rFonts w:hint="default" w:ascii="楷体" w:hAnsi="楷体" w:eastAsia="楷体" w:cs="楷体"/>
          <w:sz w:val="28"/>
          <w:szCs w:val="28"/>
          <w:lang w:val="en-US" w:eastAsia="zh-CN"/>
        </w:rPr>
        <w:t>全期对比表</w:t>
      </w:r>
      <w:bookmarkEnd w:id="81"/>
    </w:p>
    <w:p w14:paraId="0F486DF6">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i w:val="0"/>
          <w:iCs w:val="0"/>
          <w:caps w:val="0"/>
          <w:color w:val="0F1115"/>
          <w:spacing w:val="0"/>
          <w:sz w:val="24"/>
          <w:szCs w:val="24"/>
          <w:shd w:val="clear" w:fill="FFFFFF"/>
        </w:rPr>
        <w:t>八套策略全期回测指标</w:t>
      </w:r>
    </w:p>
    <w:tbl>
      <w:tblPr>
        <w:tblStyle w:val="13"/>
        <w:tblW w:w="84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96"/>
        <w:gridCol w:w="1080"/>
        <w:gridCol w:w="1080"/>
        <w:gridCol w:w="1080"/>
        <w:gridCol w:w="1080"/>
        <w:gridCol w:w="1080"/>
        <w:gridCol w:w="1365"/>
      </w:tblGrid>
      <w:tr w14:paraId="73835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6BA5E35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策略</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0F9EF3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年化收益</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ED58F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最大回撤</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CE01C0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夏普比率</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83B8D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卡玛比率</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E10B8E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月均换手</w:t>
            </w:r>
          </w:p>
        </w:tc>
        <w:tc>
          <w:tcPr>
            <w:tcW w:w="1365"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3599D1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方法论</w:t>
            </w:r>
          </w:p>
        </w:tc>
      </w:tr>
      <w:tr w14:paraId="7787F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77E249E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沪深300（基准）</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0E1564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4.7%</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3CDA8C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-46.4%</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C2C9B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0.10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1A9DE9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0.10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1FF679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w:t>
            </w:r>
          </w:p>
        </w:tc>
        <w:tc>
          <w:tcPr>
            <w:tcW w:w="1365" w:type="dxa"/>
            <w:tcBorders>
              <w:top w:val="single" w:color="000000" w:sz="4" w:space="0"/>
            </w:tcBorders>
            <w:shd w:val="clear" w:color="auto" w:fill="FFFFFF"/>
            <w:tcMar>
              <w:top w:w="100" w:type="dxa"/>
              <w:left w:w="160" w:type="dxa"/>
              <w:bottom w:w="100" w:type="dxa"/>
              <w:right w:w="0" w:type="dxa"/>
            </w:tcMar>
            <w:vAlign w:val="center"/>
          </w:tcPr>
          <w:p w14:paraId="6004FA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被动买入持有</w:t>
            </w:r>
          </w:p>
        </w:tc>
      </w:tr>
      <w:tr w14:paraId="32815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2387E59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等权</w:t>
            </w:r>
          </w:p>
        </w:tc>
        <w:tc>
          <w:tcPr>
            <w:tcW w:w="0" w:type="auto"/>
            <w:shd w:val="clear" w:color="auto" w:fill="FFFFFF"/>
            <w:tcMar>
              <w:top w:w="100" w:type="dxa"/>
              <w:left w:w="160" w:type="dxa"/>
              <w:bottom w:w="100" w:type="dxa"/>
              <w:right w:w="160" w:type="dxa"/>
            </w:tcMar>
            <w:vAlign w:val="center"/>
          </w:tcPr>
          <w:p w14:paraId="6D45BAB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13.8%</w:t>
            </w:r>
          </w:p>
        </w:tc>
        <w:tc>
          <w:tcPr>
            <w:tcW w:w="0" w:type="auto"/>
            <w:shd w:val="clear" w:color="auto" w:fill="FFFFFF"/>
            <w:tcMar>
              <w:top w:w="100" w:type="dxa"/>
              <w:left w:w="160" w:type="dxa"/>
              <w:bottom w:w="100" w:type="dxa"/>
              <w:right w:w="160" w:type="dxa"/>
            </w:tcMar>
            <w:vAlign w:val="center"/>
          </w:tcPr>
          <w:p w14:paraId="587929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-38.4%</w:t>
            </w:r>
          </w:p>
        </w:tc>
        <w:tc>
          <w:tcPr>
            <w:tcW w:w="0" w:type="auto"/>
            <w:shd w:val="clear" w:color="auto" w:fill="FFFFFF"/>
            <w:tcMar>
              <w:top w:w="100" w:type="dxa"/>
              <w:left w:w="160" w:type="dxa"/>
              <w:bottom w:w="100" w:type="dxa"/>
              <w:right w:w="160" w:type="dxa"/>
            </w:tcMar>
            <w:vAlign w:val="center"/>
          </w:tcPr>
          <w:p w14:paraId="56CF94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0.44</w:t>
            </w:r>
          </w:p>
        </w:tc>
        <w:tc>
          <w:tcPr>
            <w:tcW w:w="0" w:type="auto"/>
            <w:shd w:val="clear" w:color="auto" w:fill="FFFFFF"/>
            <w:tcMar>
              <w:top w:w="100" w:type="dxa"/>
              <w:left w:w="160" w:type="dxa"/>
              <w:bottom w:w="100" w:type="dxa"/>
              <w:right w:w="160" w:type="dxa"/>
            </w:tcMar>
            <w:vAlign w:val="center"/>
          </w:tcPr>
          <w:p w14:paraId="5B72EA8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0.36</w:t>
            </w:r>
          </w:p>
        </w:tc>
        <w:tc>
          <w:tcPr>
            <w:tcW w:w="0" w:type="auto"/>
            <w:shd w:val="clear" w:color="auto" w:fill="FFFFFF"/>
            <w:tcMar>
              <w:top w:w="100" w:type="dxa"/>
              <w:left w:w="160" w:type="dxa"/>
              <w:bottom w:w="100" w:type="dxa"/>
              <w:right w:w="160" w:type="dxa"/>
            </w:tcMar>
            <w:vAlign w:val="center"/>
          </w:tcPr>
          <w:p w14:paraId="606041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w:t>
            </w:r>
          </w:p>
        </w:tc>
        <w:tc>
          <w:tcPr>
            <w:tcW w:w="1365" w:type="dxa"/>
            <w:shd w:val="clear" w:color="auto" w:fill="FFFFFF"/>
            <w:tcMar>
              <w:top w:w="100" w:type="dxa"/>
              <w:left w:w="160" w:type="dxa"/>
              <w:bottom w:w="100" w:type="dxa"/>
              <w:right w:w="0" w:type="dxa"/>
            </w:tcMar>
            <w:vAlign w:val="center"/>
          </w:tcPr>
          <w:p w14:paraId="01058E4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静态基准</w:t>
            </w:r>
          </w:p>
        </w:tc>
      </w:tr>
      <w:tr w14:paraId="32BBE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6E6FAAB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风险平价</w:t>
            </w:r>
          </w:p>
        </w:tc>
        <w:tc>
          <w:tcPr>
            <w:tcW w:w="0" w:type="auto"/>
            <w:shd w:val="clear" w:color="auto" w:fill="FFFFFF"/>
            <w:tcMar>
              <w:top w:w="100" w:type="dxa"/>
              <w:left w:w="160" w:type="dxa"/>
              <w:bottom w:w="100" w:type="dxa"/>
              <w:right w:w="160" w:type="dxa"/>
            </w:tcMar>
            <w:vAlign w:val="center"/>
          </w:tcPr>
          <w:p w14:paraId="5B8A90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13.2%</w:t>
            </w:r>
          </w:p>
        </w:tc>
        <w:tc>
          <w:tcPr>
            <w:tcW w:w="0" w:type="auto"/>
            <w:shd w:val="clear" w:color="auto" w:fill="FFFFFF"/>
            <w:tcMar>
              <w:top w:w="100" w:type="dxa"/>
              <w:left w:w="160" w:type="dxa"/>
              <w:bottom w:w="100" w:type="dxa"/>
              <w:right w:w="160" w:type="dxa"/>
            </w:tcMar>
            <w:vAlign w:val="center"/>
          </w:tcPr>
          <w:p w14:paraId="795D96A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-27.9%</w:t>
            </w:r>
          </w:p>
        </w:tc>
        <w:tc>
          <w:tcPr>
            <w:tcW w:w="0" w:type="auto"/>
            <w:shd w:val="clear" w:color="auto" w:fill="FFFFFF"/>
            <w:tcMar>
              <w:top w:w="100" w:type="dxa"/>
              <w:left w:w="160" w:type="dxa"/>
              <w:bottom w:w="100" w:type="dxa"/>
              <w:right w:w="160" w:type="dxa"/>
            </w:tcMar>
            <w:vAlign w:val="center"/>
          </w:tcPr>
          <w:p w14:paraId="2080804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0.52</w:t>
            </w:r>
          </w:p>
        </w:tc>
        <w:tc>
          <w:tcPr>
            <w:tcW w:w="0" w:type="auto"/>
            <w:shd w:val="clear" w:color="auto" w:fill="FFFFFF"/>
            <w:tcMar>
              <w:top w:w="100" w:type="dxa"/>
              <w:left w:w="160" w:type="dxa"/>
              <w:bottom w:w="100" w:type="dxa"/>
              <w:right w:w="160" w:type="dxa"/>
            </w:tcMar>
            <w:vAlign w:val="center"/>
          </w:tcPr>
          <w:p w14:paraId="6EC2D6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0.47</w:t>
            </w:r>
          </w:p>
        </w:tc>
        <w:tc>
          <w:tcPr>
            <w:tcW w:w="0" w:type="auto"/>
            <w:shd w:val="clear" w:color="auto" w:fill="FFFFFF"/>
            <w:tcMar>
              <w:top w:w="100" w:type="dxa"/>
              <w:left w:w="160" w:type="dxa"/>
              <w:bottom w:w="100" w:type="dxa"/>
              <w:right w:w="160" w:type="dxa"/>
            </w:tcMar>
            <w:vAlign w:val="center"/>
          </w:tcPr>
          <w:p w14:paraId="672134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4.8%</w:t>
            </w:r>
          </w:p>
        </w:tc>
        <w:tc>
          <w:tcPr>
            <w:tcW w:w="1365" w:type="dxa"/>
            <w:shd w:val="clear" w:color="auto" w:fill="FFFFFF"/>
            <w:tcMar>
              <w:top w:w="100" w:type="dxa"/>
              <w:left w:w="160" w:type="dxa"/>
              <w:bottom w:w="100" w:type="dxa"/>
              <w:right w:w="0" w:type="dxa"/>
            </w:tcMar>
            <w:vAlign w:val="center"/>
          </w:tcPr>
          <w:p w14:paraId="0F9835E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传统量化</w:t>
            </w:r>
          </w:p>
        </w:tc>
      </w:tr>
      <w:tr w14:paraId="6D3DC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238E7B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MVO</w:t>
            </w:r>
          </w:p>
        </w:tc>
        <w:tc>
          <w:tcPr>
            <w:tcW w:w="0" w:type="auto"/>
            <w:shd w:val="clear" w:color="auto" w:fill="FFFFFF"/>
            <w:tcMar>
              <w:top w:w="100" w:type="dxa"/>
              <w:left w:w="160" w:type="dxa"/>
              <w:bottom w:w="100" w:type="dxa"/>
              <w:right w:w="160" w:type="dxa"/>
            </w:tcMar>
            <w:vAlign w:val="center"/>
          </w:tcPr>
          <w:p w14:paraId="27DBAD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28.6%</w:t>
            </w:r>
          </w:p>
        </w:tc>
        <w:tc>
          <w:tcPr>
            <w:tcW w:w="0" w:type="auto"/>
            <w:shd w:val="clear" w:color="auto" w:fill="FFFFFF"/>
            <w:tcMar>
              <w:top w:w="100" w:type="dxa"/>
              <w:left w:w="160" w:type="dxa"/>
              <w:bottom w:w="100" w:type="dxa"/>
              <w:right w:w="160" w:type="dxa"/>
            </w:tcMar>
            <w:vAlign w:val="center"/>
          </w:tcPr>
          <w:p w14:paraId="6CD0B3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-33.1%</w:t>
            </w:r>
          </w:p>
        </w:tc>
        <w:tc>
          <w:tcPr>
            <w:tcW w:w="0" w:type="auto"/>
            <w:shd w:val="clear" w:color="auto" w:fill="FFFFFF"/>
            <w:tcMar>
              <w:top w:w="100" w:type="dxa"/>
              <w:left w:w="160" w:type="dxa"/>
              <w:bottom w:w="100" w:type="dxa"/>
              <w:right w:w="160" w:type="dxa"/>
            </w:tcMar>
            <w:vAlign w:val="center"/>
          </w:tcPr>
          <w:p w14:paraId="728DD3F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0.34</w:t>
            </w:r>
          </w:p>
        </w:tc>
        <w:tc>
          <w:tcPr>
            <w:tcW w:w="0" w:type="auto"/>
            <w:shd w:val="clear" w:color="auto" w:fill="FFFFFF"/>
            <w:tcMar>
              <w:top w:w="100" w:type="dxa"/>
              <w:left w:w="160" w:type="dxa"/>
              <w:bottom w:w="100" w:type="dxa"/>
              <w:right w:w="160" w:type="dxa"/>
            </w:tcMar>
            <w:vAlign w:val="center"/>
          </w:tcPr>
          <w:p w14:paraId="60D5B0E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0.86</w:t>
            </w:r>
          </w:p>
        </w:tc>
        <w:tc>
          <w:tcPr>
            <w:tcW w:w="0" w:type="auto"/>
            <w:shd w:val="clear" w:color="auto" w:fill="FFFFFF"/>
            <w:tcMar>
              <w:top w:w="100" w:type="dxa"/>
              <w:left w:w="160" w:type="dxa"/>
              <w:bottom w:w="100" w:type="dxa"/>
              <w:right w:w="160" w:type="dxa"/>
            </w:tcMar>
            <w:vAlign w:val="center"/>
          </w:tcPr>
          <w:p w14:paraId="0840749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41.0%</w:t>
            </w:r>
          </w:p>
        </w:tc>
        <w:tc>
          <w:tcPr>
            <w:tcW w:w="1365" w:type="dxa"/>
            <w:shd w:val="clear" w:color="auto" w:fill="FFFFFF"/>
            <w:tcMar>
              <w:top w:w="100" w:type="dxa"/>
              <w:left w:w="160" w:type="dxa"/>
              <w:bottom w:w="100" w:type="dxa"/>
              <w:right w:w="0" w:type="dxa"/>
            </w:tcMar>
            <w:vAlign w:val="center"/>
          </w:tcPr>
          <w:p w14:paraId="0F25DEE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均值-方差优化</w:t>
            </w:r>
          </w:p>
        </w:tc>
      </w:tr>
      <w:tr w14:paraId="6F9B1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6D684FA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动量</w:t>
            </w:r>
          </w:p>
        </w:tc>
        <w:tc>
          <w:tcPr>
            <w:tcW w:w="0" w:type="auto"/>
            <w:shd w:val="clear" w:color="auto" w:fill="FFFFFF"/>
            <w:tcMar>
              <w:top w:w="100" w:type="dxa"/>
              <w:left w:w="160" w:type="dxa"/>
              <w:bottom w:w="100" w:type="dxa"/>
              <w:right w:w="160" w:type="dxa"/>
            </w:tcMar>
            <w:vAlign w:val="center"/>
          </w:tcPr>
          <w:p w14:paraId="58083E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17.2%</w:t>
            </w:r>
          </w:p>
        </w:tc>
        <w:tc>
          <w:tcPr>
            <w:tcW w:w="0" w:type="auto"/>
            <w:shd w:val="clear" w:color="auto" w:fill="FFFFFF"/>
            <w:tcMar>
              <w:top w:w="100" w:type="dxa"/>
              <w:left w:w="160" w:type="dxa"/>
              <w:bottom w:w="100" w:type="dxa"/>
              <w:right w:w="160" w:type="dxa"/>
            </w:tcMar>
            <w:vAlign w:val="center"/>
          </w:tcPr>
          <w:p w14:paraId="1A9A831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-48.5%</w:t>
            </w:r>
          </w:p>
        </w:tc>
        <w:tc>
          <w:tcPr>
            <w:tcW w:w="0" w:type="auto"/>
            <w:shd w:val="clear" w:color="auto" w:fill="FFFFFF"/>
            <w:tcMar>
              <w:top w:w="100" w:type="dxa"/>
              <w:left w:w="160" w:type="dxa"/>
              <w:bottom w:w="100" w:type="dxa"/>
              <w:right w:w="160" w:type="dxa"/>
            </w:tcMar>
            <w:vAlign w:val="center"/>
          </w:tcPr>
          <w:p w14:paraId="4D2115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0.44</w:t>
            </w:r>
          </w:p>
        </w:tc>
        <w:tc>
          <w:tcPr>
            <w:tcW w:w="0" w:type="auto"/>
            <w:shd w:val="clear" w:color="auto" w:fill="FFFFFF"/>
            <w:tcMar>
              <w:top w:w="100" w:type="dxa"/>
              <w:left w:w="160" w:type="dxa"/>
              <w:bottom w:w="100" w:type="dxa"/>
              <w:right w:w="160" w:type="dxa"/>
            </w:tcMar>
            <w:vAlign w:val="center"/>
          </w:tcPr>
          <w:p w14:paraId="55CCE7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0.35</w:t>
            </w:r>
          </w:p>
        </w:tc>
        <w:tc>
          <w:tcPr>
            <w:tcW w:w="0" w:type="auto"/>
            <w:shd w:val="clear" w:color="auto" w:fill="FFFFFF"/>
            <w:tcMar>
              <w:top w:w="100" w:type="dxa"/>
              <w:left w:w="160" w:type="dxa"/>
              <w:bottom w:w="100" w:type="dxa"/>
              <w:right w:w="160" w:type="dxa"/>
            </w:tcMar>
            <w:vAlign w:val="center"/>
          </w:tcPr>
          <w:p w14:paraId="5C7F43A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12.0%</w:t>
            </w:r>
          </w:p>
        </w:tc>
        <w:tc>
          <w:tcPr>
            <w:tcW w:w="1365" w:type="dxa"/>
            <w:shd w:val="clear" w:color="auto" w:fill="FFFFFF"/>
            <w:tcMar>
              <w:top w:w="100" w:type="dxa"/>
              <w:left w:w="160" w:type="dxa"/>
              <w:bottom w:w="100" w:type="dxa"/>
              <w:right w:w="0" w:type="dxa"/>
            </w:tcMar>
            <w:vAlign w:val="center"/>
          </w:tcPr>
          <w:p w14:paraId="3368BA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趋势追踪</w:t>
            </w:r>
          </w:p>
        </w:tc>
      </w:tr>
      <w:tr w14:paraId="320D0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097057B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动态评分（规则）</w:t>
            </w:r>
          </w:p>
        </w:tc>
        <w:tc>
          <w:tcPr>
            <w:tcW w:w="0" w:type="auto"/>
            <w:shd w:val="clear" w:color="auto" w:fill="FFFFFF"/>
            <w:tcMar>
              <w:top w:w="100" w:type="dxa"/>
              <w:left w:w="160" w:type="dxa"/>
              <w:bottom w:w="100" w:type="dxa"/>
              <w:right w:w="160" w:type="dxa"/>
            </w:tcMar>
            <w:vAlign w:val="center"/>
          </w:tcPr>
          <w:p w14:paraId="6077BD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19.8%</w:t>
            </w:r>
          </w:p>
        </w:tc>
        <w:tc>
          <w:tcPr>
            <w:tcW w:w="0" w:type="auto"/>
            <w:shd w:val="clear" w:color="auto" w:fill="FFFFFF"/>
            <w:tcMar>
              <w:top w:w="100" w:type="dxa"/>
              <w:left w:w="160" w:type="dxa"/>
              <w:bottom w:w="100" w:type="dxa"/>
              <w:right w:w="160" w:type="dxa"/>
            </w:tcMar>
            <w:vAlign w:val="center"/>
          </w:tcPr>
          <w:p w14:paraId="5BDCD6A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-16.5%</w:t>
            </w:r>
          </w:p>
        </w:tc>
        <w:tc>
          <w:tcPr>
            <w:tcW w:w="0" w:type="auto"/>
            <w:shd w:val="clear" w:color="auto" w:fill="FFFFFF"/>
            <w:tcMar>
              <w:top w:w="100" w:type="dxa"/>
              <w:left w:w="160" w:type="dxa"/>
              <w:bottom w:w="100" w:type="dxa"/>
              <w:right w:w="160" w:type="dxa"/>
            </w:tcMar>
            <w:vAlign w:val="center"/>
          </w:tcPr>
          <w:p w14:paraId="642F7E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0.49</w:t>
            </w:r>
          </w:p>
        </w:tc>
        <w:tc>
          <w:tcPr>
            <w:tcW w:w="0" w:type="auto"/>
            <w:shd w:val="clear" w:color="auto" w:fill="FFFFFF"/>
            <w:tcMar>
              <w:top w:w="100" w:type="dxa"/>
              <w:left w:w="160" w:type="dxa"/>
              <w:bottom w:w="100" w:type="dxa"/>
              <w:right w:w="160" w:type="dxa"/>
            </w:tcMar>
            <w:vAlign w:val="center"/>
          </w:tcPr>
          <w:p w14:paraId="79DE7D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1.20</w:t>
            </w:r>
          </w:p>
        </w:tc>
        <w:tc>
          <w:tcPr>
            <w:tcW w:w="0" w:type="auto"/>
            <w:shd w:val="clear" w:color="auto" w:fill="FFFFFF"/>
            <w:tcMar>
              <w:top w:w="100" w:type="dxa"/>
              <w:left w:w="160" w:type="dxa"/>
              <w:bottom w:w="100" w:type="dxa"/>
              <w:right w:w="160" w:type="dxa"/>
            </w:tcMar>
            <w:vAlign w:val="center"/>
          </w:tcPr>
          <w:p w14:paraId="67E6CF6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21.8%</w:t>
            </w:r>
          </w:p>
        </w:tc>
        <w:tc>
          <w:tcPr>
            <w:tcW w:w="1365" w:type="dxa"/>
            <w:shd w:val="clear" w:color="auto" w:fill="FFFFFF"/>
            <w:tcMar>
              <w:top w:w="100" w:type="dxa"/>
              <w:left w:w="160" w:type="dxa"/>
              <w:bottom w:w="100" w:type="dxa"/>
              <w:right w:w="0" w:type="dxa"/>
            </w:tcMar>
            <w:vAlign w:val="center"/>
          </w:tcPr>
          <w:p w14:paraId="70CD8D9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市场状态分类</w:t>
            </w:r>
          </w:p>
        </w:tc>
      </w:tr>
      <w:tr w14:paraId="1C92A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7CFF921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LGB融合（ML）</w:t>
            </w:r>
          </w:p>
        </w:tc>
        <w:tc>
          <w:tcPr>
            <w:tcW w:w="0" w:type="auto"/>
            <w:shd w:val="clear" w:color="auto" w:fill="FFFFFF"/>
            <w:tcMar>
              <w:top w:w="100" w:type="dxa"/>
              <w:left w:w="160" w:type="dxa"/>
              <w:bottom w:w="100" w:type="dxa"/>
              <w:right w:w="160" w:type="dxa"/>
            </w:tcMar>
            <w:vAlign w:val="center"/>
          </w:tcPr>
          <w:p w14:paraId="1211256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12.4%</w:t>
            </w:r>
          </w:p>
        </w:tc>
        <w:tc>
          <w:tcPr>
            <w:tcW w:w="0" w:type="auto"/>
            <w:shd w:val="clear" w:color="auto" w:fill="FFFFFF"/>
            <w:tcMar>
              <w:top w:w="100" w:type="dxa"/>
              <w:left w:w="160" w:type="dxa"/>
              <w:bottom w:w="100" w:type="dxa"/>
              <w:right w:w="160" w:type="dxa"/>
            </w:tcMar>
            <w:vAlign w:val="center"/>
          </w:tcPr>
          <w:p w14:paraId="3EB61F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-18.8%</w:t>
            </w:r>
          </w:p>
        </w:tc>
        <w:tc>
          <w:tcPr>
            <w:tcW w:w="0" w:type="auto"/>
            <w:shd w:val="clear" w:color="auto" w:fill="FFFFFF"/>
            <w:tcMar>
              <w:top w:w="100" w:type="dxa"/>
              <w:left w:w="160" w:type="dxa"/>
              <w:bottom w:w="100" w:type="dxa"/>
              <w:right w:w="160" w:type="dxa"/>
            </w:tcMar>
            <w:vAlign w:val="center"/>
          </w:tcPr>
          <w:p w14:paraId="0D03109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0.66</w:t>
            </w:r>
          </w:p>
        </w:tc>
        <w:tc>
          <w:tcPr>
            <w:tcW w:w="0" w:type="auto"/>
            <w:shd w:val="clear" w:color="auto" w:fill="FFFFFF"/>
            <w:tcMar>
              <w:top w:w="100" w:type="dxa"/>
              <w:left w:w="160" w:type="dxa"/>
              <w:bottom w:w="100" w:type="dxa"/>
              <w:right w:w="160" w:type="dxa"/>
            </w:tcMar>
            <w:vAlign w:val="center"/>
          </w:tcPr>
          <w:p w14:paraId="58381C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0.66</w:t>
            </w:r>
          </w:p>
        </w:tc>
        <w:tc>
          <w:tcPr>
            <w:tcW w:w="0" w:type="auto"/>
            <w:shd w:val="clear" w:color="auto" w:fill="FFFFFF"/>
            <w:tcMar>
              <w:top w:w="100" w:type="dxa"/>
              <w:left w:w="160" w:type="dxa"/>
              <w:bottom w:w="100" w:type="dxa"/>
              <w:right w:w="160" w:type="dxa"/>
            </w:tcMar>
            <w:vAlign w:val="center"/>
          </w:tcPr>
          <w:p w14:paraId="3844789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12.2%</w:t>
            </w:r>
          </w:p>
        </w:tc>
        <w:tc>
          <w:tcPr>
            <w:tcW w:w="1365" w:type="dxa"/>
            <w:shd w:val="clear" w:color="auto" w:fill="FFFFFF"/>
            <w:tcMar>
              <w:top w:w="100" w:type="dxa"/>
              <w:left w:w="160" w:type="dxa"/>
              <w:bottom w:w="100" w:type="dxa"/>
              <w:right w:w="0" w:type="dxa"/>
            </w:tcMar>
            <w:vAlign w:val="center"/>
          </w:tcPr>
          <w:p w14:paraId="13F254B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规则+监督学习</w:t>
            </w:r>
          </w:p>
        </w:tc>
      </w:tr>
      <w:tr w14:paraId="639F2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6" w:type="dxa"/>
            <w:tcBorders>
              <w:bottom w:val="single" w:color="000000" w:sz="12" w:space="0"/>
            </w:tcBorders>
            <w:shd w:val="clear" w:color="auto" w:fill="FFFFFF"/>
            <w:tcMar>
              <w:top w:w="100" w:type="dxa"/>
              <w:left w:w="0" w:type="dxa"/>
              <w:bottom w:w="100" w:type="dxa"/>
              <w:right w:w="160" w:type="dxa"/>
            </w:tcMar>
            <w:vAlign w:val="center"/>
          </w:tcPr>
          <w:p w14:paraId="26DFC5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PPO全局（RL）</w:t>
            </w:r>
          </w:p>
        </w:tc>
        <w:tc>
          <w:tcPr>
            <w:tcW w:w="1080" w:type="dxa"/>
            <w:tcBorders>
              <w:bottom w:val="single" w:color="000000" w:sz="12" w:space="0"/>
            </w:tcBorders>
            <w:shd w:val="clear" w:color="auto" w:fill="FFFFFF"/>
            <w:tcMar>
              <w:top w:w="100" w:type="dxa"/>
              <w:left w:w="160" w:type="dxa"/>
              <w:bottom w:w="100" w:type="dxa"/>
              <w:right w:w="160" w:type="dxa"/>
            </w:tcMar>
            <w:vAlign w:val="center"/>
          </w:tcPr>
          <w:p w14:paraId="7F1C18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26.9%</w:t>
            </w:r>
          </w:p>
        </w:tc>
        <w:tc>
          <w:tcPr>
            <w:tcW w:w="1080" w:type="dxa"/>
            <w:tcBorders>
              <w:bottom w:val="single" w:color="000000" w:sz="12" w:space="0"/>
            </w:tcBorders>
            <w:shd w:val="clear" w:color="auto" w:fill="FFFFFF"/>
            <w:tcMar>
              <w:top w:w="100" w:type="dxa"/>
              <w:left w:w="160" w:type="dxa"/>
              <w:bottom w:w="100" w:type="dxa"/>
              <w:right w:w="160" w:type="dxa"/>
            </w:tcMar>
            <w:vAlign w:val="center"/>
          </w:tcPr>
          <w:p w14:paraId="6DA37B3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-21.1%</w:t>
            </w:r>
          </w:p>
        </w:tc>
        <w:tc>
          <w:tcPr>
            <w:tcW w:w="1080" w:type="dxa"/>
            <w:tcBorders>
              <w:bottom w:val="single" w:color="000000" w:sz="12" w:space="0"/>
            </w:tcBorders>
            <w:shd w:val="clear" w:color="auto" w:fill="FFFFFF"/>
            <w:vAlign w:val="center"/>
          </w:tcPr>
          <w:p w14:paraId="4BACF34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1.41</w:t>
            </w:r>
          </w:p>
        </w:tc>
        <w:tc>
          <w:tcPr>
            <w:tcW w:w="1080" w:type="dxa"/>
            <w:tcBorders>
              <w:bottom w:val="single" w:color="000000" w:sz="12" w:space="0"/>
            </w:tcBorders>
            <w:shd w:val="clear" w:color="auto" w:fill="FFFFFF"/>
            <w:vAlign w:val="center"/>
          </w:tcPr>
          <w:p w14:paraId="333F471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1.28</w:t>
            </w:r>
          </w:p>
        </w:tc>
        <w:tc>
          <w:tcPr>
            <w:tcW w:w="1080" w:type="dxa"/>
            <w:tcBorders>
              <w:bottom w:val="single" w:color="000000" w:sz="12" w:space="0"/>
            </w:tcBorders>
            <w:shd w:val="clear" w:color="auto" w:fill="FFFFFF"/>
            <w:vAlign w:val="center"/>
          </w:tcPr>
          <w:p w14:paraId="3B130E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1365" w:type="dxa"/>
            <w:tcBorders>
              <w:bottom w:val="single" w:color="000000" w:sz="12" w:space="0"/>
            </w:tcBorders>
            <w:shd w:val="clear" w:color="auto" w:fill="FFFFFF"/>
            <w:vAlign w:val="center"/>
          </w:tcPr>
          <w:p w14:paraId="089269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强化学习</w:t>
            </w:r>
          </w:p>
        </w:tc>
      </w:tr>
    </w:tbl>
    <w:p w14:paraId="0923A375">
      <w:pPr>
        <w:numPr>
          <w:ilvl w:val="0"/>
          <w:numId w:val="31"/>
        </w:numPr>
        <w:ind w:left="845" w:leftChars="0" w:hanging="425" w:firstLineChars="0"/>
        <w:outlineLvl w:val="1"/>
        <w:rPr>
          <w:rFonts w:hint="default" w:ascii="楷体" w:hAnsi="楷体" w:eastAsia="楷体" w:cs="楷体"/>
          <w:sz w:val="28"/>
          <w:szCs w:val="28"/>
          <w:lang w:val="en-US" w:eastAsia="zh-CN"/>
        </w:rPr>
      </w:pPr>
      <w:bookmarkStart w:id="82" w:name="_Toc30005"/>
      <w:r>
        <w:rPr>
          <w:rFonts w:hint="default" w:ascii="楷体" w:hAnsi="楷体" w:eastAsia="楷体" w:cs="楷体"/>
          <w:sz w:val="28"/>
          <w:szCs w:val="28"/>
          <w:lang w:val="en-US" w:eastAsia="zh-CN"/>
        </w:rPr>
        <w:t>三条路线结论</w:t>
      </w:r>
      <w:bookmarkEnd w:id="82"/>
    </w:p>
    <w:p w14:paraId="70CF15F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规则路线（动态评分）最佳综合表现：年化19.8%，最大回撤仅-16.5%，卡玛比率1.20全场最高。仓位择时能力是核心优势——在熊市大幅减仓、在牛市适度加仓，三次危机回撤全部控制在18%以内</w:t>
      </w:r>
    </w:p>
    <w:p w14:paraId="3C0E416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ML路线（LGB融合）风险调整后最优：夏普0.66全场最高，回撤-18.8%仅次于动态评分，月均换手12.2%仅为动态评分的56%。LGB在权益内部选ETF提供了增量信息</w:t>
      </w:r>
    </w:p>
    <w:p w14:paraId="4769B03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RL路线（PPO全局）探索有效：高收益（26.9%）和高夏普（1.41）上表现亮眼，但基于独立Env引擎，与其余策略成本假设不完全可比</w:t>
      </w:r>
    </w:p>
    <w:p w14:paraId="356AC25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被动基准最差：沪深300年化仅4.7%，回撤-46.4%，充分佐证主动资产配置的价值</w:t>
      </w:r>
    </w:p>
    <w:p w14:paraId="7868D731">
      <w:pPr>
        <w:numPr>
          <w:ilvl w:val="0"/>
          <w:numId w:val="30"/>
        </w:numPr>
        <w:ind w:left="0" w:leftChars="0" w:firstLine="420" w:firstLineChars="0"/>
        <w:outlineLvl w:val="0"/>
        <w:rPr>
          <w:rFonts w:hint="default" w:ascii="黑体" w:hAnsi="黑体" w:eastAsia="黑体" w:cs="黑体"/>
          <w:sz w:val="30"/>
          <w:szCs w:val="30"/>
          <w:lang w:val="en-US" w:eastAsia="zh-CN"/>
        </w:rPr>
      </w:pPr>
      <w:bookmarkStart w:id="83" w:name="_Toc5900"/>
      <w:r>
        <w:rPr>
          <w:rFonts w:hint="default" w:ascii="黑体" w:hAnsi="黑体" w:eastAsia="黑体" w:cs="黑体"/>
          <w:sz w:val="30"/>
          <w:szCs w:val="30"/>
          <w:lang w:val="en-US" w:eastAsia="zh-CN"/>
        </w:rPr>
        <w:t>分段回测——市场环境分类的证据</w:t>
      </w:r>
      <w:bookmarkEnd w:id="83"/>
    </w:p>
    <w:p w14:paraId="441D92A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将全回测区间划分为六个市场阶段，逐段对比策略表现：</w:t>
      </w:r>
    </w:p>
    <w:p w14:paraId="2285BE0B">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分段回测累计收益</w:t>
      </w:r>
    </w:p>
    <w:tbl>
      <w:tblPr>
        <w:tblStyle w:val="13"/>
        <w:tblW w:w="84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83"/>
        <w:gridCol w:w="930"/>
        <w:gridCol w:w="1258"/>
        <w:gridCol w:w="1101"/>
        <w:gridCol w:w="1285"/>
        <w:gridCol w:w="1280"/>
        <w:gridCol w:w="924"/>
      </w:tblGrid>
      <w:tr w14:paraId="6E3D4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6F4F399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阶段</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A3709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天数</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C4CDE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沪深300</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1472F4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等权</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6BD60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动态评分</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D39833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LGB融合</w:t>
            </w:r>
          </w:p>
        </w:tc>
        <w:tc>
          <w:tcPr>
            <w:tcW w:w="924"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6D65D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MVO</w:t>
            </w:r>
          </w:p>
        </w:tc>
      </w:tr>
      <w:tr w14:paraId="2DF4D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45F01DF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2015牛市</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6C4E8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FC43E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+44%</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2175CC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+146%</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7F73D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+151%</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B07DC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+67%</w:t>
            </w:r>
          </w:p>
        </w:tc>
        <w:tc>
          <w:tcPr>
            <w:tcW w:w="924"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38C2A6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+447%</w:t>
            </w:r>
          </w:p>
        </w:tc>
      </w:tr>
      <w:tr w14:paraId="06D02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7F30C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2015股灾</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EE9E6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155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24B053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C1551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-35%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78738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BBCF5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924" w:type="dxa"/>
            <w:tcBorders>
              <w:top w:val="nil"/>
              <w:left w:val="nil"/>
              <w:bottom w:val="nil"/>
              <w:right w:val="nil"/>
            </w:tcBorders>
            <w:shd w:val="clear" w:color="auto" w:fill="FFFFFF"/>
            <w:noWrap w:val="0"/>
            <w:tcMar>
              <w:top w:w="100" w:type="dxa"/>
              <w:left w:w="160" w:type="dxa"/>
              <w:bottom w:w="100" w:type="dxa"/>
              <w:right w:w="-1" w:type="dxa"/>
            </w:tcMar>
            <w:vAlign w:val="center"/>
          </w:tcPr>
          <w:p w14:paraId="62138B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-28%</w:t>
            </w:r>
          </w:p>
        </w:tc>
      </w:tr>
      <w:tr w14:paraId="346EE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07A837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2016-2017慢牛</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664554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488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BCCF8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687EE0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9993C4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A61575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+33%</w:t>
            </w:r>
          </w:p>
        </w:tc>
        <w:tc>
          <w:tcPr>
            <w:tcW w:w="924" w:type="dxa"/>
            <w:tcBorders>
              <w:top w:val="nil"/>
              <w:left w:val="nil"/>
              <w:bottom w:val="nil"/>
              <w:right w:val="nil"/>
            </w:tcBorders>
            <w:shd w:val="clear" w:color="auto" w:fill="FFFFFF"/>
            <w:noWrap w:val="0"/>
            <w:tcMar>
              <w:top w:w="100" w:type="dxa"/>
              <w:left w:w="160" w:type="dxa"/>
              <w:bottom w:w="100" w:type="dxa"/>
              <w:right w:w="-1" w:type="dxa"/>
            </w:tcMar>
            <w:vAlign w:val="center"/>
          </w:tcPr>
          <w:p w14:paraId="5EAB3B3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+27%</w:t>
            </w:r>
          </w:p>
        </w:tc>
      </w:tr>
      <w:tr w14:paraId="2A98D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F0717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2018熊市</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8B8F4F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227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CF36D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506042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-16%</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1FCCE3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-4.2%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E2B30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-10.2%</w:t>
            </w:r>
          </w:p>
        </w:tc>
        <w:tc>
          <w:tcPr>
            <w:tcW w:w="924" w:type="dxa"/>
            <w:tcBorders>
              <w:top w:val="nil"/>
              <w:left w:val="nil"/>
              <w:bottom w:val="nil"/>
              <w:right w:val="nil"/>
            </w:tcBorders>
            <w:shd w:val="clear" w:color="auto" w:fill="FFFFFF"/>
            <w:noWrap w:val="0"/>
            <w:tcMar>
              <w:top w:w="100" w:type="dxa"/>
              <w:left w:w="160" w:type="dxa"/>
              <w:bottom w:w="100" w:type="dxa"/>
              <w:right w:w="-1" w:type="dxa"/>
            </w:tcMar>
            <w:vAlign w:val="center"/>
          </w:tcPr>
          <w:p w14:paraId="2BAE1D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-9.2%</w:t>
            </w:r>
          </w:p>
        </w:tc>
      </w:tr>
      <w:tr w14:paraId="443C9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A8283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2019-2020牛市</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299888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BEB24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2C5E46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+67%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4B1FB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823C1A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+50%</w:t>
            </w:r>
          </w:p>
        </w:tc>
        <w:tc>
          <w:tcPr>
            <w:tcW w:w="924" w:type="dxa"/>
            <w:tcBorders>
              <w:top w:val="nil"/>
              <w:left w:val="nil"/>
              <w:bottom w:val="nil"/>
              <w:right w:val="nil"/>
            </w:tcBorders>
            <w:shd w:val="clear" w:color="auto" w:fill="FFFFFF"/>
            <w:noWrap w:val="0"/>
            <w:tcMar>
              <w:top w:w="100" w:type="dxa"/>
              <w:left w:w="160" w:type="dxa"/>
              <w:bottom w:w="100" w:type="dxa"/>
              <w:right w:w="-1" w:type="dxa"/>
            </w:tcMar>
            <w:vAlign w:val="center"/>
          </w:tcPr>
          <w:p w14:paraId="32450D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+37%</w:t>
            </w:r>
          </w:p>
        </w:tc>
      </w:tr>
      <w:tr w14:paraId="5B4FA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8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1D3AC70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2021后震荡</w:t>
            </w:r>
          </w:p>
        </w:tc>
        <w:tc>
          <w:tcPr>
            <w:tcW w:w="93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9F8A8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1307</w:t>
            </w:r>
          </w:p>
        </w:tc>
        <w:tc>
          <w:tcPr>
            <w:tcW w:w="125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20607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-18%</w:t>
            </w:r>
          </w:p>
        </w:tc>
        <w:tc>
          <w:tcPr>
            <w:tcW w:w="110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4AE5F6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+10%</w:t>
            </w:r>
          </w:p>
        </w:tc>
        <w:tc>
          <w:tcPr>
            <w:tcW w:w="128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C9B6D3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+33%</w:t>
            </w:r>
          </w:p>
        </w:tc>
        <w:tc>
          <w:tcPr>
            <w:tcW w:w="128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B861A5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+32%</w:t>
            </w:r>
          </w:p>
        </w:tc>
        <w:tc>
          <w:tcPr>
            <w:tcW w:w="924"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0FD905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+0.5%</w:t>
            </w:r>
          </w:p>
        </w:tc>
      </w:tr>
    </w:tbl>
    <w:p w14:paraId="30B92172">
      <w:pPr>
        <w:rPr>
          <w:rFonts w:hint="eastAsia"/>
        </w:rPr>
      </w:pPr>
    </w:p>
    <w:p w14:paraId="631AC9E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三个核心发现：</w:t>
      </w:r>
    </w:p>
    <w:p w14:paraId="61D1805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发现一：2021年后的1307天震荡期，占全回测区间的二分之一，是各策略收益率差异最显著的阶段。该阶段</w:t>
      </w:r>
      <w:r>
        <w:rPr>
          <w:rFonts w:hint="eastAsia" w:asciiTheme="minorEastAsia" w:hAnsiTheme="minorEastAsia" w:cstheme="minorEastAsia"/>
          <w:sz w:val="24"/>
          <w:szCs w:val="24"/>
          <w:lang w:val="en-US" w:eastAsia="zh-CN"/>
        </w:rPr>
        <w:t>等权策略收益率仅为+10%，年化约1.7%；MVO策略收益率仅为+0.5%，收益水平极低；而动态评分策略与LGB融合策略收益率分别达到+33%和+32%，年化约5.3-5.4%。在投资者承压最显著的长期震荡市场中，“市场状态分类→差异化配置”的逻辑创造了显著超额收益，是本文最具说服力的实证证据。</w:t>
      </w:r>
    </w:p>
    <w:p w14:paraId="283967E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发现二：MVO在2021年后收益几乎为零。</w:t>
      </w:r>
      <w:r>
        <w:rPr>
          <w:rFonts w:hint="eastAsia" w:asciiTheme="minorEastAsia" w:hAnsiTheme="minorEastAsia" w:cstheme="minorEastAsia"/>
          <w:sz w:val="24"/>
          <w:szCs w:val="24"/>
          <w:lang w:val="en-US" w:eastAsia="zh-CN"/>
        </w:rPr>
        <w:t>纯均值-方差优化对预期收益的估计误差敏感度较高，在预测准确率有限的条件下（IC≈0.06），MVO会将权重向极端值（0%或33%）推进，长期累积后收益归零，这一结果完美印证了“MVO需要规则约束”的判断。</w:t>
      </w:r>
    </w:p>
    <w:p w14:paraId="2CFB38A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发现三：动态评分策略在2015年股灾中的回撤幅度仅为等权策略的三分之一。</w:t>
      </w:r>
      <w:r>
        <w:rPr>
          <w:rFonts w:hint="eastAsia" w:asciiTheme="minorEastAsia" w:hAnsiTheme="minorEastAsia" w:cstheme="minorEastAsia"/>
          <w:sz w:val="24"/>
          <w:szCs w:val="24"/>
          <w:lang w:val="en-US" w:eastAsia="zh-CN"/>
        </w:rPr>
        <w:t>2015年6-8月A股暴跌期间，等权组合最大回撤为-35.2%，动态评分策略组合最大回撤仅为-13.1%。当市场评分降至“下行”/“极寒”状态后，仓位择时系统大幅削减权益仓位，仓位中枢从45%降至15%，对组合净值形成了有效保护。</w:t>
      </w:r>
    </w:p>
    <w:p w14:paraId="07D370F4">
      <w:pPr>
        <w:numPr>
          <w:ilvl w:val="0"/>
          <w:numId w:val="30"/>
        </w:numPr>
        <w:ind w:left="0" w:leftChars="0" w:firstLine="420" w:firstLineChars="0"/>
        <w:outlineLvl w:val="0"/>
        <w:rPr>
          <w:rFonts w:hint="default" w:ascii="黑体" w:hAnsi="黑体" w:eastAsia="黑体" w:cs="黑体"/>
          <w:sz w:val="30"/>
          <w:szCs w:val="30"/>
          <w:lang w:val="en-US" w:eastAsia="zh-CN"/>
        </w:rPr>
      </w:pPr>
      <w:bookmarkStart w:id="84" w:name="_Toc24290"/>
      <w:r>
        <w:rPr>
          <w:rFonts w:hint="default" w:ascii="黑体" w:hAnsi="黑体" w:eastAsia="黑体" w:cs="黑体"/>
          <w:sz w:val="30"/>
          <w:szCs w:val="30"/>
          <w:lang w:val="en-US" w:eastAsia="zh-CN"/>
        </w:rPr>
        <w:t>回撤修复天数——零售客户视角</w:t>
      </w:r>
      <w:bookmarkEnd w:id="84"/>
    </w:p>
    <w:p w14:paraId="4675A59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对零售投资者而言，其最为关注的指标并非夏普比率，而是“最差情景下的亏损幅度与回本所需时间”。下表已对三次主要市场危机的回撤深度与修复天数进行了直观对比。</w:t>
      </w:r>
    </w:p>
    <w:p w14:paraId="47F96B1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三次危机回撤与修复</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83"/>
        <w:gridCol w:w="1410"/>
        <w:gridCol w:w="1405"/>
        <w:gridCol w:w="2141"/>
        <w:gridCol w:w="2024"/>
      </w:tblGrid>
      <w:tr w14:paraId="1A06B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27B07F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危机</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EE3E76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策略</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DF782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回撤深度</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848C79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修复天数</w:t>
            </w:r>
          </w:p>
        </w:tc>
        <w:tc>
          <w:tcPr>
            <w:tcW w:w="2024"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F49DC6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客户语言</w:t>
            </w:r>
          </w:p>
        </w:tc>
      </w:tr>
      <w:tr w14:paraId="1E8E0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123378E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2015股灾</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5E66C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25F0DF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-36.3%</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DCDCE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1440天（4年）</w:t>
            </w:r>
          </w:p>
        </w:tc>
        <w:tc>
          <w:tcPr>
            <w:tcW w:w="2024"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81161B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“扛4年才回本”</w:t>
            </w:r>
          </w:p>
        </w:tc>
      </w:tr>
      <w:tr w14:paraId="232E1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5397A3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FAA1C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70452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BD6EA0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343天</w:t>
            </w:r>
          </w:p>
        </w:tc>
        <w:tc>
          <w:tcPr>
            <w:tcW w:w="2024" w:type="dxa"/>
            <w:tcBorders>
              <w:top w:val="nil"/>
              <w:left w:val="nil"/>
              <w:bottom w:val="nil"/>
              <w:right w:val="nil"/>
            </w:tcBorders>
            <w:shd w:val="clear" w:color="auto" w:fill="FFFFFF"/>
            <w:noWrap w:val="0"/>
            <w:tcMar>
              <w:top w:w="100" w:type="dxa"/>
              <w:left w:w="160" w:type="dxa"/>
              <w:bottom w:w="100" w:type="dxa"/>
              <w:right w:w="-1" w:type="dxa"/>
            </w:tcMar>
            <w:vAlign w:val="center"/>
          </w:tcPr>
          <w:p w14:paraId="07A03C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“不到1年回本”</w:t>
            </w:r>
          </w:p>
        </w:tc>
      </w:tr>
      <w:tr w14:paraId="1DCDE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9B92442">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BDD4D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07687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DEB6D4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300天</w:t>
            </w:r>
          </w:p>
        </w:tc>
        <w:tc>
          <w:tcPr>
            <w:tcW w:w="2024" w:type="dxa"/>
            <w:tcBorders>
              <w:top w:val="nil"/>
              <w:left w:val="nil"/>
              <w:bottom w:val="nil"/>
              <w:right w:val="nil"/>
            </w:tcBorders>
            <w:shd w:val="clear" w:color="auto" w:fill="FFFFFF"/>
            <w:noWrap w:val="0"/>
            <w:tcMar>
              <w:top w:w="100" w:type="dxa"/>
              <w:left w:w="160" w:type="dxa"/>
              <w:bottom w:w="100" w:type="dxa"/>
              <w:right w:w="-1" w:type="dxa"/>
            </w:tcMar>
            <w:vAlign w:val="center"/>
          </w:tcPr>
          <w:p w14:paraId="026D7F6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“10个月回本”</w:t>
            </w:r>
          </w:p>
        </w:tc>
      </w:tr>
      <w:tr w14:paraId="1255F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1F76F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2018熊市</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4A85BC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14BD9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-18.7%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7F8C5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154天</w:t>
            </w:r>
          </w:p>
        </w:tc>
        <w:tc>
          <w:tcPr>
            <w:tcW w:w="2024" w:type="dxa"/>
            <w:tcBorders>
              <w:top w:val="nil"/>
              <w:left w:val="nil"/>
              <w:bottom w:val="nil"/>
              <w:right w:val="nil"/>
            </w:tcBorders>
            <w:shd w:val="clear" w:color="auto" w:fill="FFFFFF"/>
            <w:noWrap w:val="0"/>
            <w:tcMar>
              <w:top w:w="100" w:type="dxa"/>
              <w:left w:w="160" w:type="dxa"/>
              <w:bottom w:w="100" w:type="dxa"/>
              <w:right w:w="-1" w:type="dxa"/>
            </w:tcMar>
            <w:vAlign w:val="center"/>
          </w:tcPr>
          <w:p w14:paraId="49658DFE">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3EEA0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BA839CF">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259B1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399F62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-9.9%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A53261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117天</w:t>
            </w:r>
          </w:p>
        </w:tc>
        <w:tc>
          <w:tcPr>
            <w:tcW w:w="2024" w:type="dxa"/>
            <w:tcBorders>
              <w:top w:val="nil"/>
              <w:left w:val="nil"/>
              <w:bottom w:val="nil"/>
              <w:right w:val="nil"/>
            </w:tcBorders>
            <w:shd w:val="clear" w:color="auto" w:fill="FFFFFF"/>
            <w:noWrap w:val="0"/>
            <w:tcMar>
              <w:top w:w="100" w:type="dxa"/>
              <w:left w:w="160" w:type="dxa"/>
              <w:bottom w:w="100" w:type="dxa"/>
              <w:right w:w="-1" w:type="dxa"/>
            </w:tcMar>
            <w:vAlign w:val="center"/>
          </w:tcPr>
          <w:p w14:paraId="10562E5F">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3AC28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02B63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2021后震荡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AD3B0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461203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-37.8%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179C97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595天</w:t>
            </w:r>
          </w:p>
        </w:tc>
        <w:tc>
          <w:tcPr>
            <w:tcW w:w="2024" w:type="dxa"/>
            <w:tcBorders>
              <w:top w:val="nil"/>
              <w:left w:val="nil"/>
              <w:bottom w:val="nil"/>
              <w:right w:val="nil"/>
            </w:tcBorders>
            <w:shd w:val="clear" w:color="auto" w:fill="FFFFFF"/>
            <w:noWrap w:val="0"/>
            <w:tcMar>
              <w:top w:w="100" w:type="dxa"/>
              <w:left w:w="160" w:type="dxa"/>
              <w:bottom w:w="100" w:type="dxa"/>
              <w:right w:w="-1" w:type="dxa"/>
            </w:tcMar>
            <w:vAlign w:val="center"/>
          </w:tcPr>
          <w:p w14:paraId="69EC1BB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“最深跌近四成”</w:t>
            </w:r>
          </w:p>
        </w:tc>
      </w:tr>
      <w:tr w14:paraId="243A4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8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059E4DF2">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141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AACF0F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140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841D7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-16.5%</w:t>
            </w:r>
          </w:p>
        </w:tc>
        <w:tc>
          <w:tcPr>
            <w:tcW w:w="214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E664D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884天</w:t>
            </w:r>
          </w:p>
        </w:tc>
        <w:tc>
          <w:tcPr>
            <w:tcW w:w="2024"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4A7502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“跌最少但恢复慢”</w:t>
            </w:r>
          </w:p>
        </w:tc>
      </w:tr>
    </w:tbl>
    <w:p w14:paraId="261E4EF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三项核心结论如下：</w:t>
      </w:r>
    </w:p>
    <w:p w14:paraId="3C1448E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动态评分策略在三次市场危机中的回撤幅度均控制在18%以内，等权策略有两次回撤幅度超过35%。对个人零售投资者而言，可承受的最大亏损通常处于20%左右区间，动态评分是唯一将三次危机回撤全部控制在该阈值内的策略。</w:t>
      </w:r>
    </w:p>
    <w:p w14:paraId="1B8E2E0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等权策略在2015股灾过后需要4年才能收复前期高点，动态评分策略仅需不到1年即可完成修复，可见仓位择时不仅降低了回撤幅度，更大幅缩短了投资修复周期。</w:t>
      </w:r>
    </w:p>
    <w:p w14:paraId="373F4F2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回撤修复天数的显著差异直接体现为客户持有体验的差异，这是本“可落地”服务方案的核心优势。</w:t>
      </w:r>
    </w:p>
    <w:p w14:paraId="4F757387">
      <w:pPr>
        <w:numPr>
          <w:ilvl w:val="0"/>
          <w:numId w:val="30"/>
        </w:numPr>
        <w:ind w:left="0" w:leftChars="0" w:firstLine="420" w:firstLineChars="0"/>
        <w:outlineLvl w:val="0"/>
        <w:rPr>
          <w:rFonts w:hint="default" w:ascii="黑体" w:hAnsi="黑体" w:eastAsia="黑体" w:cs="黑体"/>
          <w:sz w:val="30"/>
          <w:szCs w:val="30"/>
          <w:lang w:val="en-US" w:eastAsia="zh-CN"/>
        </w:rPr>
      </w:pPr>
      <w:bookmarkStart w:id="85" w:name="_Toc17788"/>
      <w:r>
        <w:rPr>
          <w:rFonts w:hint="default" w:ascii="黑体" w:hAnsi="黑体" w:eastAsia="黑体" w:cs="黑体"/>
          <w:sz w:val="30"/>
          <w:szCs w:val="30"/>
          <w:lang w:val="en-US" w:eastAsia="zh-CN"/>
        </w:rPr>
        <w:t> 稳健性验证</w:t>
      </w:r>
      <w:bookmarkEnd w:id="85"/>
    </w:p>
    <w:p w14:paraId="0760B4D7">
      <w:pPr>
        <w:numPr>
          <w:ilvl w:val="0"/>
          <w:numId w:val="32"/>
        </w:numPr>
        <w:ind w:left="845" w:leftChars="0" w:hanging="425" w:firstLineChars="0"/>
        <w:outlineLvl w:val="1"/>
        <w:rPr>
          <w:rFonts w:hint="default" w:ascii="楷体" w:hAnsi="楷体" w:eastAsia="楷体" w:cs="楷体"/>
          <w:sz w:val="28"/>
          <w:szCs w:val="28"/>
          <w:lang w:val="en-US" w:eastAsia="zh-CN"/>
        </w:rPr>
      </w:pPr>
      <w:bookmarkStart w:id="86" w:name="_Toc17609"/>
      <w:r>
        <w:rPr>
          <w:rFonts w:hint="default" w:ascii="楷体" w:hAnsi="楷体" w:eastAsia="楷体" w:cs="楷体"/>
          <w:sz w:val="28"/>
          <w:szCs w:val="28"/>
          <w:lang w:val="en-US" w:eastAsia="zh-CN"/>
        </w:rPr>
        <w:t>评分权重敏感性</w:t>
      </w:r>
      <w:bookmarkEnd w:id="86"/>
    </w:p>
    <w:p w14:paraId="7DCBBC9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将四维权重（估值25%/宏观25%/情绪20%/趋势30%）在±5%范围内进行随机扰动，重复开展100次实验，比较每次扰动后的市场状态标签与基准版本的一致性。结果显示：状态标签一致率均值为94.3%，最低为89.2%，表明该评分系统对权重选择具备充分稳健性。</w:t>
      </w:r>
    </w:p>
    <w:p w14:paraId="43489901">
      <w:pPr>
        <w:numPr>
          <w:ilvl w:val="0"/>
          <w:numId w:val="32"/>
        </w:numPr>
        <w:ind w:left="845" w:leftChars="0" w:hanging="425" w:firstLineChars="0"/>
        <w:outlineLvl w:val="1"/>
        <w:rPr>
          <w:rFonts w:hint="default" w:ascii="楷体" w:hAnsi="楷体" w:eastAsia="楷体" w:cs="楷体"/>
          <w:sz w:val="28"/>
          <w:szCs w:val="28"/>
          <w:lang w:val="en-US" w:eastAsia="zh-CN"/>
        </w:rPr>
      </w:pPr>
      <w:bookmarkStart w:id="87" w:name="_Toc9540"/>
      <w:r>
        <w:rPr>
          <w:rFonts w:hint="default" w:ascii="楷体" w:hAnsi="楷体" w:eastAsia="楷体" w:cs="楷体"/>
          <w:sz w:val="28"/>
          <w:szCs w:val="28"/>
          <w:lang w:val="en-US" w:eastAsia="zh-CN"/>
        </w:rPr>
        <w:t>滑点敏感度</w:t>
      </w:r>
      <w:bookmarkEnd w:id="87"/>
    </w:p>
    <w:p w14:paraId="362D200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将统一5bp滑点改为按ETF流动性分档（沪深300/中证500: 1bp，科创50/消费/黄金/国债: 3bp，芯片: 5bp），重新运行六套策略。结果：年化收益差异全部&lt;</w:t>
      </w:r>
      <w:r>
        <w:rPr>
          <w:rFonts w:hint="default" w:asciiTheme="minorEastAsia" w:hAnsiTheme="minorEastAsia" w:cstheme="minorEastAsia"/>
          <w:sz w:val="24"/>
          <w:szCs w:val="24"/>
          <w:lang w:val="en-US" w:eastAsia="zh-CN"/>
        </w:rPr>
        <w:t>0.03%，策略相对排序不变。策略的核心超额来自市场状态分类下的仓位择时，非滑点假设。</w:t>
      </w:r>
    </w:p>
    <w:p w14:paraId="0DF3BBF9">
      <w:pPr>
        <w:numPr>
          <w:ilvl w:val="0"/>
          <w:numId w:val="32"/>
        </w:numPr>
        <w:ind w:left="845" w:leftChars="0" w:hanging="425" w:firstLineChars="0"/>
        <w:outlineLvl w:val="1"/>
        <w:rPr>
          <w:rFonts w:hint="default" w:ascii="楷体" w:hAnsi="楷体" w:eastAsia="楷体" w:cs="楷体"/>
          <w:sz w:val="28"/>
          <w:szCs w:val="28"/>
          <w:lang w:val="en-US" w:eastAsia="zh-CN"/>
        </w:rPr>
      </w:pPr>
      <w:bookmarkStart w:id="88" w:name="_Toc16798"/>
      <w:r>
        <w:rPr>
          <w:rFonts w:hint="default" w:ascii="楷体" w:hAnsi="楷体" w:eastAsia="楷体" w:cs="楷体"/>
          <w:sz w:val="28"/>
          <w:szCs w:val="28"/>
          <w:lang w:val="en-US" w:eastAsia="zh-CN"/>
        </w:rPr>
        <w:t>调仓频率敏感度</w:t>
      </w:r>
      <w:bookmarkEnd w:id="88"/>
    </w:p>
    <w:p w14:paraId="127ABF2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测试月度、双周、季度三种调仓频率。由于换手成本占比极小（年化约0.02%），频率变化对策略年化收益的影响仅±0.02%。月度在换手率和信号时效之间取得了合理平衡。</w:t>
      </w:r>
    </w:p>
    <w:p w14:paraId="1640A12F">
      <w:pPr>
        <w:numPr>
          <w:ilvl w:val="0"/>
          <w:numId w:val="32"/>
        </w:numPr>
        <w:ind w:left="845" w:leftChars="0" w:hanging="425" w:firstLineChars="0"/>
        <w:outlineLvl w:val="1"/>
        <w:rPr>
          <w:rFonts w:hint="default" w:ascii="楷体" w:hAnsi="楷体" w:eastAsia="楷体" w:cs="楷体"/>
          <w:sz w:val="28"/>
          <w:szCs w:val="28"/>
          <w:lang w:val="en-US" w:eastAsia="zh-CN"/>
        </w:rPr>
      </w:pPr>
      <w:bookmarkStart w:id="89" w:name="_Toc26716"/>
      <w:r>
        <w:rPr>
          <w:rFonts w:hint="default" w:ascii="楷体" w:hAnsi="楷体" w:eastAsia="楷体" w:cs="楷体"/>
          <w:sz w:val="28"/>
          <w:szCs w:val="28"/>
          <w:lang w:val="en-US" w:eastAsia="zh-CN"/>
        </w:rPr>
        <w:t>成本假设验证</w:t>
      </w:r>
      <w:bookmarkEnd w:id="89"/>
    </w:p>
    <w:p w14:paraId="54BC776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管理费与托管费已按对应ETF实际费率按日计提，详见6.1.1成本设定。经与采集费率比对验证，所有策略的成本扣减与ETF实际费率的年化偏差不超过0.05%。</w:t>
      </w:r>
    </w:p>
    <w:p w14:paraId="4580DFC7">
      <w:pPr>
        <w:numPr>
          <w:ilvl w:val="0"/>
          <w:numId w:val="30"/>
        </w:numPr>
        <w:ind w:left="0" w:leftChars="0" w:firstLine="420" w:firstLineChars="0"/>
        <w:outlineLvl w:val="0"/>
        <w:rPr>
          <w:rFonts w:hint="default" w:ascii="黑体" w:hAnsi="黑体" w:eastAsia="黑体" w:cs="黑体"/>
          <w:sz w:val="30"/>
          <w:szCs w:val="30"/>
          <w:lang w:val="en-US" w:eastAsia="zh-CN"/>
        </w:rPr>
      </w:pPr>
      <w:bookmarkStart w:id="90" w:name="_Toc8491"/>
      <w:r>
        <w:rPr>
          <w:rFonts w:hint="default" w:ascii="黑体" w:hAnsi="黑体" w:eastAsia="黑体" w:cs="黑体"/>
          <w:sz w:val="30"/>
          <w:szCs w:val="30"/>
          <w:lang w:val="en-US" w:eastAsia="zh-CN"/>
        </w:rPr>
        <w:t>三档风险组合</w:t>
      </w:r>
      <w:bookmarkEnd w:id="90"/>
    </w:p>
    <w:p w14:paraId="7F73336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根据《金融机构产品适当性管理办法》（2026），投资者风险承受能力分为C1-C5五档。本章选取C2（保守型）、C3（平衡型）、C4（进取型）三个代表性档位，分别设定权益仓位中枢为20%、50%、70%：</w:t>
      </w:r>
    </w:p>
    <w:p w14:paraId="2E159DE9">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三档风险组合回测指标</w:t>
      </w:r>
    </w:p>
    <w:tbl>
      <w:tblPr>
        <w:tblStyle w:val="13"/>
        <w:tblW w:w="84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92"/>
        <w:gridCol w:w="1334"/>
        <w:gridCol w:w="1365"/>
        <w:gridCol w:w="1087"/>
        <w:gridCol w:w="1177"/>
        <w:gridCol w:w="899"/>
        <w:gridCol w:w="1407"/>
      </w:tblGrid>
      <w:tr w14:paraId="05B53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45BF2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风险档</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42FE6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权益中枢</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FFE14B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策略</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C1EC10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年化</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B29874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回撤</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6F5142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夏普</w:t>
            </w:r>
          </w:p>
        </w:tc>
        <w:tc>
          <w:tcPr>
            <w:tcW w:w="140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7DE3AC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适合人群</w:t>
            </w:r>
          </w:p>
        </w:tc>
      </w:tr>
      <w:tr w14:paraId="5DDF1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29DA2D5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保守型C2</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F225F0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AC965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A6D644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7.5%</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C9A2A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-12.7%</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A5B398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0.48</w:t>
            </w:r>
          </w:p>
        </w:tc>
        <w:tc>
          <w:tcPr>
            <w:tcW w:w="1407"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1FFBFA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退休/低风险</w:t>
            </w:r>
          </w:p>
        </w:tc>
      </w:tr>
      <w:tr w14:paraId="2756C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AE17708">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BDE191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E381A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B574B3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8.0%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78F5D5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B5B9F9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0.53</w:t>
            </w:r>
          </w:p>
        </w:tc>
        <w:tc>
          <w:tcPr>
            <w:tcW w:w="1407" w:type="dxa"/>
            <w:tcBorders>
              <w:top w:val="nil"/>
              <w:left w:val="nil"/>
              <w:bottom w:val="nil"/>
              <w:right w:val="nil"/>
            </w:tcBorders>
            <w:shd w:val="clear" w:color="auto" w:fill="FFFFFF"/>
            <w:noWrap w:val="0"/>
            <w:tcMar>
              <w:top w:w="100" w:type="dxa"/>
              <w:left w:w="160" w:type="dxa"/>
              <w:bottom w:w="100" w:type="dxa"/>
              <w:right w:w="-1" w:type="dxa"/>
            </w:tcMar>
            <w:vAlign w:val="center"/>
          </w:tcPr>
          <w:p w14:paraId="22CB9C58">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32F88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2DACB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平衡型C3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BED56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50%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68487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D8E8E5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10.8%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EA1664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-27.2%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B96E53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0.43</w:t>
            </w:r>
          </w:p>
        </w:tc>
        <w:tc>
          <w:tcPr>
            <w:tcW w:w="1407" w:type="dxa"/>
            <w:tcBorders>
              <w:top w:val="nil"/>
              <w:left w:val="nil"/>
              <w:bottom w:val="nil"/>
              <w:right w:val="nil"/>
            </w:tcBorders>
            <w:shd w:val="clear" w:color="auto" w:fill="FFFFFF"/>
            <w:noWrap w:val="0"/>
            <w:tcMar>
              <w:top w:w="100" w:type="dxa"/>
              <w:left w:w="160" w:type="dxa"/>
              <w:bottom w:w="100" w:type="dxa"/>
              <w:right w:w="-1" w:type="dxa"/>
            </w:tcMar>
            <w:vAlign w:val="center"/>
          </w:tcPr>
          <w:p w14:paraId="5DB939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中年/稳健</w:t>
            </w:r>
          </w:p>
        </w:tc>
      </w:tr>
      <w:tr w14:paraId="3F59A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6712369">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650E73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EFB90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BDB65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23BB5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-24.7%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1F2EF2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0.49</w:t>
            </w:r>
          </w:p>
        </w:tc>
        <w:tc>
          <w:tcPr>
            <w:tcW w:w="1407" w:type="dxa"/>
            <w:tcBorders>
              <w:top w:val="nil"/>
              <w:left w:val="nil"/>
              <w:bottom w:val="nil"/>
              <w:right w:val="nil"/>
            </w:tcBorders>
            <w:shd w:val="clear" w:color="auto" w:fill="FFFFFF"/>
            <w:noWrap w:val="0"/>
            <w:tcMar>
              <w:top w:w="100" w:type="dxa"/>
              <w:left w:w="160" w:type="dxa"/>
              <w:bottom w:w="100" w:type="dxa"/>
              <w:right w:w="-1" w:type="dxa"/>
            </w:tcMar>
            <w:vAlign w:val="center"/>
          </w:tcPr>
          <w:p w14:paraId="7027490A">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2E34F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F8198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进取型C4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D4B8D2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1FC31A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DAD820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BF401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-39.4%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1DBEC3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0.40</w:t>
            </w:r>
          </w:p>
        </w:tc>
        <w:tc>
          <w:tcPr>
            <w:tcW w:w="1407" w:type="dxa"/>
            <w:tcBorders>
              <w:top w:val="nil"/>
              <w:left w:val="nil"/>
              <w:bottom w:val="nil"/>
              <w:right w:val="nil"/>
            </w:tcBorders>
            <w:shd w:val="clear" w:color="auto" w:fill="FFFFFF"/>
            <w:noWrap w:val="0"/>
            <w:tcMar>
              <w:top w:w="100" w:type="dxa"/>
              <w:left w:w="160" w:type="dxa"/>
              <w:bottom w:w="100" w:type="dxa"/>
              <w:right w:w="-1" w:type="dxa"/>
            </w:tcMar>
            <w:vAlign w:val="center"/>
          </w:tcPr>
          <w:p w14:paraId="35E82C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年轻/高风险</w:t>
            </w:r>
          </w:p>
        </w:tc>
      </w:tr>
      <w:tr w14:paraId="1EFDC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92"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487192D8">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1334"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1725406">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136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177DD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108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D83F8A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15.0%</w:t>
            </w:r>
          </w:p>
        </w:tc>
        <w:tc>
          <w:tcPr>
            <w:tcW w:w="117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87550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-34.0%</w:t>
            </w:r>
          </w:p>
        </w:tc>
        <w:tc>
          <w:tcPr>
            <w:tcW w:w="899"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789A6E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0.47</w:t>
            </w:r>
          </w:p>
        </w:tc>
        <w:tc>
          <w:tcPr>
            <w:tcW w:w="1407"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E053D29">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bl>
    <w:p w14:paraId="49682E35">
      <w:pPr>
        <w:keepNext w:val="0"/>
        <w:keepLines w:val="0"/>
        <w:widowControl/>
        <w:suppressLineNumbers w:val="0"/>
        <w:jc w:val="left"/>
      </w:pPr>
    </w:p>
    <w:p w14:paraId="2174E2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三点发现：</w:t>
      </w:r>
    </w:p>
    <w:p w14:paraId="27F39AC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LGB融合在所有风险</w:t>
      </w:r>
      <w:r>
        <w:rPr>
          <w:rFonts w:hint="eastAsia" w:asciiTheme="minorEastAsia" w:hAnsiTheme="minorEastAsia" w:cstheme="minorEastAsia"/>
          <w:sz w:val="24"/>
          <w:szCs w:val="24"/>
          <w:lang w:val="en-US" w:eastAsia="zh-CN"/>
        </w:rPr>
        <w:t>档位的表现</w:t>
      </w:r>
      <w:r>
        <w:rPr>
          <w:rFonts w:hint="default" w:asciiTheme="minorEastAsia" w:hAnsiTheme="minorEastAsia" w:cstheme="minorEastAsia"/>
          <w:sz w:val="24"/>
          <w:szCs w:val="24"/>
          <w:lang w:val="en-US" w:eastAsia="zh-CN"/>
        </w:rPr>
        <w:t>全面优于纯动态评分</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相同回撤</w:t>
      </w:r>
      <w:r>
        <w:rPr>
          <w:rFonts w:hint="eastAsia" w:asciiTheme="minorEastAsia" w:hAnsiTheme="minorEastAsia" w:cstheme="minorEastAsia"/>
          <w:sz w:val="24"/>
          <w:szCs w:val="24"/>
          <w:lang w:val="en-US" w:eastAsia="zh-CN"/>
        </w:rPr>
        <w:t>条件下</w:t>
      </w:r>
      <w:r>
        <w:rPr>
          <w:rFonts w:hint="default" w:asciiTheme="minorEastAsia" w:hAnsiTheme="minorEastAsia" w:cstheme="minorEastAsia"/>
          <w:sz w:val="24"/>
          <w:szCs w:val="24"/>
          <w:lang w:val="en-US" w:eastAsia="zh-CN"/>
        </w:rPr>
        <w:t>收益更高（C2: +0.5%, C3: +1.4%, C4: +2.0%）</w:t>
      </w:r>
      <w:r>
        <w:rPr>
          <w:rFonts w:hint="eastAsia" w:asciiTheme="minorEastAsia" w:hAnsiTheme="minorEastAsia" w:cstheme="minorEastAsia"/>
          <w:sz w:val="24"/>
          <w:szCs w:val="24"/>
          <w:lang w:val="en-US" w:eastAsia="zh-CN"/>
        </w:rPr>
        <w:t>。</w:t>
      </w:r>
    </w:p>
    <w:p w14:paraId="46CB8AD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平衡型C3为最优配置区间，对应年化收益率12.2%、回撤-24.7%，可为大多数零售客户所接受。</w:t>
      </w:r>
    </w:p>
    <w:p w14:paraId="291F063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进取型C4回撤接近-40%，超出零售客户通常</w:t>
      </w:r>
      <w:r>
        <w:rPr>
          <w:rFonts w:hint="eastAsia" w:asciiTheme="minorEastAsia" w:hAnsiTheme="minorEastAsia" w:cstheme="minorEastAsia"/>
          <w:sz w:val="24"/>
          <w:szCs w:val="24"/>
          <w:lang w:val="en-US" w:eastAsia="zh-CN"/>
        </w:rPr>
        <w:t>的风险</w:t>
      </w:r>
      <w:r>
        <w:rPr>
          <w:rFonts w:hint="default" w:asciiTheme="minorEastAsia" w:hAnsiTheme="minorEastAsia" w:cstheme="minorEastAsia"/>
          <w:sz w:val="24"/>
          <w:szCs w:val="24"/>
          <w:lang w:val="en-US" w:eastAsia="zh-CN"/>
        </w:rPr>
        <w:t>承受范围（≤20%）</w:t>
      </w:r>
      <w:r>
        <w:rPr>
          <w:rFonts w:hint="eastAsia" w:asciiTheme="minorEastAsia" w:hAnsiTheme="minorEastAsia" w:cstheme="minorEastAsia"/>
          <w:sz w:val="24"/>
          <w:szCs w:val="24"/>
          <w:lang w:val="en-US" w:eastAsia="zh-CN"/>
        </w:rPr>
        <w:t>，建议</w:t>
      </w:r>
      <w:r>
        <w:rPr>
          <w:rFonts w:hint="default" w:asciiTheme="minorEastAsia" w:hAnsiTheme="minorEastAsia" w:cstheme="minorEastAsia"/>
          <w:sz w:val="24"/>
          <w:szCs w:val="24"/>
          <w:lang w:val="en-US" w:eastAsia="zh-CN"/>
        </w:rPr>
        <w:t>谨慎推荐</w:t>
      </w:r>
      <w:r>
        <w:rPr>
          <w:rFonts w:hint="eastAsia" w:asciiTheme="minorEastAsia" w:hAnsiTheme="minorEastAsia" w:cstheme="minorEastAsia"/>
          <w:sz w:val="24"/>
          <w:szCs w:val="24"/>
          <w:lang w:val="en-US" w:eastAsia="zh-CN"/>
        </w:rPr>
        <w:t>。</w:t>
      </w:r>
    </w:p>
    <w:p w14:paraId="2EFDD14A">
      <w:pPr>
        <w:numPr>
          <w:ilvl w:val="0"/>
          <w:numId w:val="30"/>
        </w:numPr>
        <w:ind w:left="0" w:leftChars="0" w:firstLine="420" w:firstLineChars="0"/>
        <w:outlineLvl w:val="0"/>
        <w:rPr>
          <w:rFonts w:hint="default" w:ascii="黑体" w:hAnsi="黑体" w:eastAsia="黑体" w:cs="黑体"/>
          <w:sz w:val="30"/>
          <w:szCs w:val="30"/>
          <w:lang w:val="en-US" w:eastAsia="zh-CN"/>
        </w:rPr>
      </w:pPr>
      <w:bookmarkStart w:id="91" w:name="_Toc20056"/>
      <w:r>
        <w:rPr>
          <w:rFonts w:hint="default" w:ascii="黑体" w:hAnsi="黑体" w:eastAsia="黑体" w:cs="黑体"/>
          <w:sz w:val="30"/>
          <w:szCs w:val="30"/>
          <w:lang w:val="en-US" w:eastAsia="zh-CN"/>
        </w:rPr>
        <w:t>本章小结</w:t>
      </w:r>
      <w:bookmarkEnd w:id="91"/>
    </w:p>
    <w:p w14:paraId="73A494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通过对八套策略开展为期11.5年回测的全期、分段、危机修复、风险档四维对比，可得到清晰的分析逻辑如下：</w:t>
      </w:r>
    </w:p>
    <w:p w14:paraId="38AB0C5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何种策略表现最优？</w:t>
      </w:r>
      <w:r>
        <w:rPr>
          <w:rFonts w:hint="eastAsia" w:asciiTheme="minorEastAsia" w:hAnsiTheme="minorEastAsia" w:cstheme="minorEastAsia"/>
          <w:sz w:val="24"/>
          <w:szCs w:val="24"/>
          <w:lang w:val="en-US" w:eastAsia="zh-CN"/>
        </w:rPr>
        <w:t>动态评分（规则）在年化收益率（19.8%）与最大回撤（-16.5%）的综合平衡上表现最优；LGB融合（ML）在风险调整后指标（夏普0.66）上表现最优。</w:t>
      </w:r>
    </w:p>
    <w:p w14:paraId="66A2B1F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超额收益体现在哪些场景？</w:t>
      </w:r>
      <w:r>
        <w:rPr>
          <w:rFonts w:hint="eastAsia" w:asciiTheme="minorEastAsia" w:hAnsiTheme="minorEastAsia" w:cstheme="minorEastAsia"/>
          <w:sz w:val="24"/>
          <w:szCs w:val="24"/>
          <w:lang w:val="en-US" w:eastAsia="zh-CN"/>
        </w:rPr>
        <w:t>策略的超额收益主要体现于震荡市与熊市——2021年后的1307天中，动态评分较等权策略超额收益为23%；2015年股灾期间，其最大回撤仅为等权策略的三分之一。</w:t>
      </w:r>
    </w:p>
    <w:p w14:paraId="693305D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策略为何具备优势？通过对</w:t>
      </w:r>
      <w:r>
        <w:rPr>
          <w:rFonts w:hint="eastAsia" w:asciiTheme="minorEastAsia" w:hAnsiTheme="minorEastAsia" w:cstheme="minorEastAsia"/>
          <w:sz w:val="24"/>
          <w:szCs w:val="24"/>
          <w:lang w:val="en-US" w:eastAsia="zh-CN"/>
        </w:rPr>
        <w:t>市场环境分类识别不同市场状态，进而采用差异化仓位策略，可在熊市对组合形成保护、在震荡市维持超额收益、在牛市跟进市场涨幅。</w:t>
      </w:r>
    </w:p>
    <w:p w14:paraId="1AA0F7E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b/>
          <w:bCs/>
          <w:sz w:val="24"/>
          <w:szCs w:val="24"/>
          <w:lang w:val="en-US" w:eastAsia="zh-CN"/>
        </w:rPr>
        <w:t>策略是否具备实用性</w:t>
      </w:r>
      <w:r>
        <w:rPr>
          <w:rFonts w:hint="default" w:asciiTheme="minorEastAsia" w:hAnsiTheme="minorEastAsia" w:cstheme="minorEastAsia"/>
          <w:b/>
          <w:bCs/>
          <w:sz w:val="24"/>
          <w:szCs w:val="24"/>
          <w:lang w:val="en-US" w:eastAsia="zh-CN"/>
        </w:rPr>
        <w:t>？</w:t>
      </w:r>
      <w:r>
        <w:rPr>
          <w:rFonts w:hint="default" w:asciiTheme="minorEastAsia" w:hAnsiTheme="minorEastAsia" w:cstheme="minorEastAsia"/>
          <w:sz w:val="24"/>
          <w:szCs w:val="24"/>
          <w:lang w:val="en-US" w:eastAsia="zh-CN"/>
        </w:rPr>
        <w:t>稳健性测试（权重/滑点/频率/成本）全部通过，三档风险组合可直接</w:t>
      </w:r>
      <w:r>
        <w:rPr>
          <w:rFonts w:hint="eastAsia" w:asciiTheme="minorEastAsia" w:hAnsiTheme="minorEastAsia" w:cstheme="minorEastAsia"/>
          <w:sz w:val="24"/>
          <w:szCs w:val="24"/>
          <w:lang w:val="en-US" w:eastAsia="zh-CN"/>
        </w:rPr>
        <w:t>匹配</w:t>
      </w:r>
      <w:r>
        <w:rPr>
          <w:rFonts w:hint="default" w:asciiTheme="minorEastAsia" w:hAnsiTheme="minorEastAsia" w:cstheme="minorEastAsia"/>
          <w:sz w:val="24"/>
          <w:szCs w:val="24"/>
          <w:lang w:val="en-US" w:eastAsia="zh-CN"/>
        </w:rPr>
        <w:t>零售客户画像</w:t>
      </w:r>
      <w:r>
        <w:rPr>
          <w:rFonts w:hint="eastAsia" w:asciiTheme="minorEastAsia" w:hAnsiTheme="minorEastAsia" w:cstheme="minorEastAsia"/>
          <w:sz w:val="24"/>
          <w:szCs w:val="24"/>
          <w:lang w:val="en-US" w:eastAsia="zh-CN"/>
        </w:rPr>
        <w:t>。</w:t>
      </w:r>
    </w:p>
    <w:p w14:paraId="407D04E0">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92" w:name="_Toc25591"/>
      <w:r>
        <w:rPr>
          <w:rFonts w:hint="default" w:ascii="Segoe UI" w:hAnsi="Segoe UI" w:eastAsia="Segoe UI" w:cs="Segoe UI"/>
          <w:b/>
          <w:bCs/>
          <w:caps w:val="0"/>
          <w:color w:val="0F1115"/>
          <w:spacing w:val="0"/>
          <w:sz w:val="22"/>
          <w:szCs w:val="22"/>
          <w:shd w:val="clear" w:fill="FFFFFF"/>
        </w:rPr>
        <w:t> </w:t>
      </w:r>
      <w:r>
        <w:rPr>
          <w:rFonts w:hint="default" w:ascii="黑体" w:hAnsi="黑体" w:eastAsia="黑体" w:cs="黑体"/>
          <w:sz w:val="32"/>
          <w:szCs w:val="32"/>
          <w:lang w:val="en-US" w:eastAsia="zh-CN"/>
        </w:rPr>
        <w:t>服务方案与落地设计</w:t>
      </w:r>
      <w:bookmarkEnd w:id="92"/>
    </w:p>
    <w:p w14:paraId="535DA13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策略的核心价值最终体现为“可落地应用”。本章将前六章的量化研究成果整合封装为面向银行理财经理的实操服务方案，涵盖客户画像与风险匹配、三档配置方案、调仓推送服务、理财经理工作手册及银行系统对接预留方案五个维度，构建了从“策略输出”到“客户服务”的完整落地闭环。</w:t>
      </w:r>
    </w:p>
    <w:p w14:paraId="535FAC25">
      <w:pPr>
        <w:numPr>
          <w:ilvl w:val="0"/>
          <w:numId w:val="33"/>
        </w:numPr>
        <w:ind w:left="0" w:leftChars="0" w:firstLine="420" w:firstLineChars="0"/>
        <w:outlineLvl w:val="0"/>
        <w:rPr>
          <w:rFonts w:hint="default" w:ascii="黑体" w:hAnsi="黑体" w:eastAsia="黑体" w:cs="黑体"/>
          <w:sz w:val="30"/>
          <w:szCs w:val="30"/>
          <w:lang w:val="en-US" w:eastAsia="zh-CN"/>
        </w:rPr>
      </w:pPr>
      <w:bookmarkStart w:id="93" w:name="_Toc8150"/>
      <w:r>
        <w:rPr>
          <w:rFonts w:hint="default" w:ascii="黑体" w:hAnsi="黑体" w:eastAsia="黑体" w:cs="黑体"/>
          <w:sz w:val="30"/>
          <w:szCs w:val="30"/>
          <w:lang w:val="en-US" w:eastAsia="zh-CN"/>
        </w:rPr>
        <w:t>客户画像与风险匹配</w:t>
      </w:r>
      <w:bookmarkEnd w:id="93"/>
    </w:p>
    <w:p w14:paraId="4B3E9646">
      <w:pPr>
        <w:numPr>
          <w:ilvl w:val="0"/>
          <w:numId w:val="34"/>
        </w:numPr>
        <w:ind w:left="845" w:leftChars="0" w:hanging="425" w:firstLineChars="0"/>
        <w:outlineLvl w:val="1"/>
        <w:rPr>
          <w:rFonts w:hint="default" w:ascii="楷体" w:hAnsi="楷体" w:eastAsia="楷体" w:cs="楷体"/>
          <w:sz w:val="28"/>
          <w:szCs w:val="28"/>
          <w:lang w:val="en-US" w:eastAsia="zh-CN"/>
        </w:rPr>
      </w:pPr>
      <w:bookmarkStart w:id="94" w:name="_Toc14714"/>
      <w:r>
        <w:rPr>
          <w:rFonts w:hint="default" w:ascii="楷体" w:hAnsi="楷体" w:eastAsia="楷体" w:cs="楷体"/>
          <w:sz w:val="28"/>
          <w:szCs w:val="28"/>
          <w:lang w:val="en-US" w:eastAsia="zh-CN"/>
        </w:rPr>
        <w:t>政策依据</w:t>
      </w:r>
      <w:r>
        <w:rPr>
          <w:rFonts w:hint="eastAsia" w:ascii="楷体" w:hAnsi="楷体" w:eastAsia="楷体" w:cs="楷体"/>
          <w:sz w:val="28"/>
          <w:szCs w:val="28"/>
          <w:lang w:val="en-US" w:eastAsia="zh-CN"/>
        </w:rPr>
        <w:t>与设计理念</w:t>
      </w:r>
      <w:bookmarkEnd w:id="94"/>
    </w:p>
    <w:p w14:paraId="618DCAE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2025年7月，国家金融监督管理总局发布《金融机构产品适当性管理办法》</w:t>
      </w:r>
      <w:r>
        <w:rPr>
          <w:rFonts w:hint="eastAsia" w:asciiTheme="minorEastAsia" w:hAnsiTheme="minorEastAsia" w:cstheme="minorEastAsia"/>
          <w:sz w:val="24"/>
          <w:szCs w:val="24"/>
          <w:lang w:val="en-US" w:eastAsia="zh-CN"/>
        </w:rPr>
        <w:t>，该办法自</w:t>
      </w:r>
      <w:r>
        <w:rPr>
          <w:rFonts w:hint="default" w:asciiTheme="minorEastAsia" w:hAnsiTheme="minorEastAsia" w:cstheme="minorEastAsia"/>
          <w:sz w:val="24"/>
          <w:szCs w:val="24"/>
          <w:lang w:val="en-US" w:eastAsia="zh-CN"/>
        </w:rPr>
        <w:t>2026年2月1日起施行。该办法要求金融机构“根据产品的基本属性、风险特征等，结合客户金融需求、财务状况、风险承受能力等因素，开展识别、提示、匹配、销售、交易等活动”，并将投资者</w:t>
      </w:r>
      <w:r>
        <w:rPr>
          <w:rFonts w:hint="eastAsia" w:asciiTheme="minorEastAsia" w:hAnsiTheme="minorEastAsia" w:cstheme="minorEastAsia"/>
          <w:sz w:val="24"/>
          <w:szCs w:val="24"/>
          <w:lang w:val="en-US" w:eastAsia="zh-CN"/>
        </w:rPr>
        <w:t>划分</w:t>
      </w:r>
      <w:r>
        <w:rPr>
          <w:rFonts w:hint="default" w:asciiTheme="minorEastAsia" w:hAnsiTheme="minorEastAsia" w:cstheme="minorEastAsia"/>
          <w:sz w:val="24"/>
          <w:szCs w:val="24"/>
          <w:lang w:val="en-US" w:eastAsia="zh-CN"/>
        </w:rPr>
        <w:t>为专业投资者与普通投资者</w:t>
      </w:r>
      <w:r>
        <w:rPr>
          <w:rFonts w:hint="eastAsia" w:asciiTheme="minorEastAsia" w:hAnsiTheme="minorEastAsia" w:cstheme="minorEastAsia"/>
          <w:sz w:val="24"/>
          <w:szCs w:val="24"/>
          <w:lang w:val="en-US" w:eastAsia="zh-CN"/>
        </w:rPr>
        <w:t>两类</w:t>
      </w:r>
      <w:r>
        <w:rPr>
          <w:rFonts w:hint="default" w:asciiTheme="minorEastAsia" w:hAnsiTheme="minorEastAsia" w:cstheme="minorEastAsia"/>
          <w:sz w:val="24"/>
          <w:szCs w:val="24"/>
          <w:lang w:val="en-US" w:eastAsia="zh-CN"/>
        </w:rPr>
        <w:t>，对普通投资者</w:t>
      </w:r>
      <w:r>
        <w:rPr>
          <w:rFonts w:hint="eastAsia" w:asciiTheme="minorEastAsia" w:hAnsiTheme="minorEastAsia" w:cstheme="minorEastAsia"/>
          <w:sz w:val="24"/>
          <w:szCs w:val="24"/>
          <w:lang w:val="en-US" w:eastAsia="zh-CN"/>
        </w:rPr>
        <w:t>实施</w:t>
      </w:r>
      <w:r>
        <w:rPr>
          <w:rFonts w:hint="default" w:asciiTheme="minorEastAsia" w:hAnsiTheme="minorEastAsia" w:cstheme="minorEastAsia"/>
          <w:sz w:val="24"/>
          <w:szCs w:val="24"/>
          <w:lang w:val="en-US" w:eastAsia="zh-CN"/>
        </w:rPr>
        <w:t>特别保护。</w:t>
      </w:r>
    </w:p>
    <w:p w14:paraId="1876C12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该办法明确划定三大“不匹配”监管红线：风险等级不匹配、财务状况不匹配、其他明显不匹配情形。金融机构不得向投资者销售不符合适当性要求的产品。该规定对银行财富管理业务提出了明确的合规要求。</w:t>
      </w:r>
    </w:p>
    <w:p w14:paraId="479D59F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农业银行规定，个人客户首次办理基金业务须由本人填写《个人客户风险承受能力评估问卷》，风险等级测评结果默认有效期为一年。在银行现有风险评估体系中，C1-C5五档（对应保守型至激进型投资者）分别匹配不同范围的产品风险等级。</w:t>
      </w:r>
    </w:p>
    <w:p w14:paraId="3CC89B8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基于上述监管框架，本</w:t>
      </w:r>
      <w:r>
        <w:rPr>
          <w:rFonts w:hint="eastAsia" w:asciiTheme="minorEastAsia" w:hAnsiTheme="minorEastAsia" w:cstheme="minorEastAsia"/>
          <w:sz w:val="24"/>
          <w:szCs w:val="24"/>
          <w:lang w:val="en-US" w:eastAsia="zh-CN"/>
        </w:rPr>
        <w:t>项目</w:t>
      </w:r>
      <w:r>
        <w:rPr>
          <w:rFonts w:hint="default" w:asciiTheme="minorEastAsia" w:hAnsiTheme="minorEastAsia" w:cstheme="minorEastAsia"/>
          <w:sz w:val="24"/>
          <w:szCs w:val="24"/>
          <w:lang w:val="en-US" w:eastAsia="zh-CN"/>
        </w:rPr>
        <w:t>客户画像体系设计遵循以下原则：全面性——覆盖收入、资产、负债、经验、知识、目标、行为等核心维度；可量化——每道题目对应明确分值，</w:t>
      </w:r>
      <w:r>
        <w:rPr>
          <w:rFonts w:hint="eastAsia" w:asciiTheme="minorEastAsia" w:hAnsiTheme="minorEastAsia" w:cstheme="minorEastAsia"/>
          <w:sz w:val="24"/>
          <w:szCs w:val="24"/>
          <w:lang w:val="en-US" w:eastAsia="zh-CN"/>
        </w:rPr>
        <w:t>测评</w:t>
      </w:r>
      <w:r>
        <w:rPr>
          <w:rFonts w:hint="default" w:asciiTheme="minorEastAsia" w:hAnsiTheme="minorEastAsia" w:cstheme="minorEastAsia"/>
          <w:sz w:val="24"/>
          <w:szCs w:val="24"/>
          <w:lang w:val="en-US" w:eastAsia="zh-CN"/>
        </w:rPr>
        <w:t>总分自动映射</w:t>
      </w:r>
      <w:r>
        <w:rPr>
          <w:rFonts w:hint="eastAsia" w:asciiTheme="minorEastAsia" w:hAnsiTheme="minorEastAsia" w:cstheme="minorEastAsia"/>
          <w:sz w:val="24"/>
          <w:szCs w:val="24"/>
          <w:lang w:val="en-US" w:eastAsia="zh-CN"/>
        </w:rPr>
        <w:t>对应</w:t>
      </w:r>
      <w:r>
        <w:rPr>
          <w:rFonts w:hint="default" w:asciiTheme="minorEastAsia" w:hAnsiTheme="minorEastAsia" w:cstheme="minorEastAsia"/>
          <w:sz w:val="24"/>
          <w:szCs w:val="24"/>
          <w:lang w:val="en-US" w:eastAsia="zh-CN"/>
        </w:rPr>
        <w:t>风险等级；合规性——匹配规则严格遵循《</w:t>
      </w:r>
      <w:r>
        <w:rPr>
          <w:rFonts w:hint="eastAsia" w:asciiTheme="minorEastAsia" w:hAnsiTheme="minorEastAsia" w:cstheme="minorEastAsia"/>
          <w:sz w:val="24"/>
          <w:szCs w:val="24"/>
          <w:lang w:val="en-US" w:eastAsia="zh-CN"/>
        </w:rPr>
        <w:t>金融机构产品适当性管理</w:t>
      </w:r>
      <w:r>
        <w:rPr>
          <w:rFonts w:hint="default" w:asciiTheme="minorEastAsia" w:hAnsiTheme="minorEastAsia" w:cstheme="minorEastAsia"/>
          <w:sz w:val="24"/>
          <w:szCs w:val="24"/>
          <w:lang w:val="en-US" w:eastAsia="zh-CN"/>
        </w:rPr>
        <w:t>办法》要求；可操作——理财经理完成一次有效测评</w:t>
      </w:r>
      <w:r>
        <w:rPr>
          <w:rFonts w:hint="eastAsia" w:asciiTheme="minorEastAsia" w:hAnsiTheme="minorEastAsia" w:cstheme="minorEastAsia"/>
          <w:sz w:val="24"/>
          <w:szCs w:val="24"/>
          <w:lang w:val="en-US" w:eastAsia="zh-CN"/>
        </w:rPr>
        <w:t>仅需3-5分钟</w:t>
      </w:r>
      <w:r>
        <w:rPr>
          <w:rFonts w:hint="default" w:asciiTheme="minorEastAsia" w:hAnsiTheme="minorEastAsia" w:cstheme="minorEastAsia"/>
          <w:sz w:val="24"/>
          <w:szCs w:val="24"/>
          <w:lang w:val="en-US" w:eastAsia="zh-CN"/>
        </w:rPr>
        <w:t>。</w:t>
      </w:r>
    </w:p>
    <w:p w14:paraId="00AC43F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问卷设计同时参考了行为金融学的相关研究成果：Kahneman与Tversky（1979）的前景理论指出，投资者在面临亏损时的风险偏好与面临盈利时存在非对称性——这正是“亏损反应”题目的理论基础。Barbaris与Thaler（2003）的研究表明，过度自信与投资经验密切相关，高学历投资者未必具备更高的实际风险承受能力。</w:t>
      </w:r>
    </w:p>
    <w:p w14:paraId="575E2D66">
      <w:pPr>
        <w:numPr>
          <w:ilvl w:val="0"/>
          <w:numId w:val="34"/>
        </w:numPr>
        <w:ind w:left="845" w:leftChars="0" w:hanging="425" w:firstLineChars="0"/>
        <w:outlineLvl w:val="1"/>
        <w:rPr>
          <w:rFonts w:hint="default" w:ascii="楷体" w:hAnsi="楷体" w:eastAsia="楷体" w:cs="楷体"/>
          <w:sz w:val="28"/>
          <w:szCs w:val="28"/>
          <w:lang w:val="en-US" w:eastAsia="zh-CN"/>
        </w:rPr>
      </w:pPr>
      <w:bookmarkStart w:id="95" w:name="_Toc31352"/>
      <w:r>
        <w:rPr>
          <w:rFonts w:hint="default" w:ascii="楷体" w:hAnsi="楷体" w:eastAsia="楷体" w:cs="楷体"/>
          <w:sz w:val="28"/>
          <w:szCs w:val="28"/>
          <w:lang w:val="en-US" w:eastAsia="zh-CN"/>
        </w:rPr>
        <w:t>客户画像问卷设计</w:t>
      </w:r>
      <w:bookmarkEnd w:id="95"/>
    </w:p>
    <w:p w14:paraId="6206946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基于上述监管要求与理论基础，本项目设计了一套15题客户画像测评问卷，覆盖财务状况、投资经验、风险态度、投资目标与行为反应五大维度：</w:t>
      </w:r>
    </w:p>
    <w:p w14:paraId="00AC15C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问卷设计</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1"/>
        <w:gridCol w:w="1038"/>
        <w:gridCol w:w="5125"/>
        <w:gridCol w:w="1179"/>
      </w:tblGrid>
      <w:tr w14:paraId="09A0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1598D3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模块</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AB8AB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题号</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68FE3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题目</w:t>
            </w:r>
          </w:p>
        </w:tc>
        <w:tc>
          <w:tcPr>
            <w:tcW w:w="117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118E2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选项数</w:t>
            </w:r>
          </w:p>
        </w:tc>
      </w:tr>
      <w:tr w14:paraId="16E84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49D500D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基本信息</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B1994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25B1DF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年龄、学历</w:t>
            </w:r>
          </w:p>
        </w:tc>
        <w:tc>
          <w:tcPr>
            <w:tcW w:w="117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11EA72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w:t>
            </w:r>
          </w:p>
        </w:tc>
      </w:tr>
      <w:tr w14:paraId="5D67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502F59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财务状况</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FF944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6E1F03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职业、收入来源、年收入、投资占比、债务情况</w:t>
            </w:r>
          </w:p>
        </w:tc>
        <w:tc>
          <w:tcPr>
            <w:tcW w:w="1179" w:type="dxa"/>
            <w:tcBorders>
              <w:top w:val="nil"/>
              <w:left w:val="nil"/>
              <w:bottom w:val="nil"/>
              <w:right w:val="nil"/>
            </w:tcBorders>
            <w:shd w:val="clear" w:color="auto" w:fill="FFFFFF"/>
            <w:noWrap w:val="0"/>
            <w:tcMar>
              <w:top w:w="100" w:type="dxa"/>
              <w:left w:w="160" w:type="dxa"/>
              <w:bottom w:w="100" w:type="dxa"/>
              <w:right w:w="-1" w:type="dxa"/>
            </w:tcMar>
            <w:vAlign w:val="center"/>
          </w:tcPr>
          <w:p w14:paraId="613B0E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5/5/5/5/4</w:t>
            </w:r>
          </w:p>
        </w:tc>
      </w:tr>
      <w:tr w14:paraId="77231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0EF0F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投资经验</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763FC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8-10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3B1C7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投资年限、投资品种、知识水平</w:t>
            </w:r>
          </w:p>
        </w:tc>
        <w:tc>
          <w:tcPr>
            <w:tcW w:w="1179" w:type="dxa"/>
            <w:tcBorders>
              <w:top w:val="nil"/>
              <w:left w:val="nil"/>
              <w:bottom w:val="nil"/>
              <w:right w:val="nil"/>
            </w:tcBorders>
            <w:shd w:val="clear" w:color="auto" w:fill="FFFFFF"/>
            <w:noWrap w:val="0"/>
            <w:tcMar>
              <w:top w:w="100" w:type="dxa"/>
              <w:left w:w="160" w:type="dxa"/>
              <w:bottom w:w="100" w:type="dxa"/>
              <w:right w:w="-1" w:type="dxa"/>
            </w:tcMar>
            <w:vAlign w:val="center"/>
          </w:tcPr>
          <w:p w14:paraId="24DBA0B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5/5/5</w:t>
            </w:r>
          </w:p>
        </w:tc>
      </w:tr>
      <w:tr w14:paraId="5CF22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ABC0C1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风险态度</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F8C091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11-12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7D22B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投资倾向、最大亏损承受</w:t>
            </w:r>
          </w:p>
        </w:tc>
        <w:tc>
          <w:tcPr>
            <w:tcW w:w="1179" w:type="dxa"/>
            <w:tcBorders>
              <w:top w:val="nil"/>
              <w:left w:val="nil"/>
              <w:bottom w:val="nil"/>
              <w:right w:val="nil"/>
            </w:tcBorders>
            <w:shd w:val="clear" w:color="auto" w:fill="FFFFFF"/>
            <w:noWrap w:val="0"/>
            <w:tcMar>
              <w:top w:w="100" w:type="dxa"/>
              <w:left w:w="160" w:type="dxa"/>
              <w:bottom w:w="100" w:type="dxa"/>
              <w:right w:w="-1" w:type="dxa"/>
            </w:tcMar>
            <w:vAlign w:val="center"/>
          </w:tcPr>
          <w:p w14:paraId="54B4CFC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w:t>
            </w:r>
          </w:p>
        </w:tc>
      </w:tr>
      <w:tr w14:paraId="2164E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4201495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行为反应</w:t>
            </w:r>
          </w:p>
        </w:tc>
        <w:tc>
          <w:tcPr>
            <w:tcW w:w="103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26DED3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13-15</w:t>
            </w:r>
          </w:p>
        </w:tc>
        <w:tc>
          <w:tcPr>
            <w:tcW w:w="512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6A8D4D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亏损反应、投资目标、资金期限</w:t>
            </w:r>
          </w:p>
        </w:tc>
        <w:tc>
          <w:tcPr>
            <w:tcW w:w="117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68FE8CF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5/5/5</w:t>
            </w:r>
          </w:p>
        </w:tc>
      </w:tr>
    </w:tbl>
    <w:p w14:paraId="1A5DD368">
      <w:pPr>
        <w:rPr>
          <w:rFonts w:hint="default"/>
          <w:lang w:val="en-US" w:eastAsia="zh-CN"/>
        </w:rPr>
      </w:pPr>
    </w:p>
    <w:p w14:paraId="35ED732B">
      <w:pPr>
        <w:numPr>
          <w:ilvl w:val="0"/>
          <w:numId w:val="34"/>
        </w:numPr>
        <w:ind w:left="845" w:leftChars="0" w:hanging="425" w:firstLineChars="0"/>
        <w:outlineLvl w:val="1"/>
        <w:rPr>
          <w:rFonts w:hint="default" w:ascii="楷体" w:hAnsi="楷体" w:eastAsia="楷体" w:cs="楷体"/>
          <w:sz w:val="28"/>
          <w:szCs w:val="28"/>
          <w:lang w:val="en-US" w:eastAsia="zh-CN"/>
        </w:rPr>
      </w:pPr>
      <w:bookmarkStart w:id="96" w:name="_Toc27820"/>
      <w:r>
        <w:rPr>
          <w:rFonts w:hint="default" w:ascii="楷体" w:hAnsi="楷体" w:eastAsia="楷体" w:cs="楷体"/>
          <w:sz w:val="28"/>
          <w:szCs w:val="28"/>
          <w:lang w:val="en-US" w:eastAsia="zh-CN"/>
        </w:rPr>
        <w:t>计分规则与风险等级映射</w:t>
      </w:r>
      <w:bookmarkEnd w:id="96"/>
    </w:p>
    <w:p w14:paraId="7FB69D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各题目选项按A→E（或A→D）分值递增，得分越高代表风险承受能力越强。第7题（债务情况）和第9题（投资品种）为特殊计分题：</w:t>
      </w:r>
    </w:p>
    <w:p w14:paraId="68A20BF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第7题：无债务（10分）→长期债务（7分）→短期债务（4分）→多笔债务压力大（2分），债务负担越重，风险承受能力越低。</w:t>
      </w:r>
    </w:p>
    <w:p w14:paraId="5E87213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第9题：多选题，以所选选项中最高分值计分，不累计加分。最高选项为E（12分），确保不会因多选而过度拉高得分。</w:t>
      </w:r>
    </w:p>
    <w:p w14:paraId="4F70703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问卷满分为148分（第7题满分10分+其余14题各10分+第9题额外加2分封顶=148分）。总分与风险等级的对应关系如下：</w:t>
      </w:r>
    </w:p>
    <w:p w14:paraId="6B278B3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t>计分规则与风险等级映射</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19"/>
        <w:gridCol w:w="1723"/>
        <w:gridCol w:w="3950"/>
        <w:gridCol w:w="1471"/>
      </w:tblGrid>
      <w:tr w14:paraId="38A91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44F621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测评总分</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8D80F6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风险等级</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303ACE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等级描述</w:t>
            </w:r>
          </w:p>
        </w:tc>
        <w:tc>
          <w:tcPr>
            <w:tcW w:w="1471"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71ECB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可购买产品</w:t>
            </w:r>
          </w:p>
        </w:tc>
      </w:tr>
      <w:tr w14:paraId="10617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261531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20分及以下</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8F62D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C1（保守型）</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2C096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风险承受能力极低，仅适合低风险产品</w:t>
            </w:r>
          </w:p>
        </w:tc>
        <w:tc>
          <w:tcPr>
            <w:tcW w:w="1471"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2F748C3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仅限R1</w:t>
            </w:r>
          </w:p>
        </w:tc>
      </w:tr>
      <w:tr w14:paraId="6B117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8F14D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21–40分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1A624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C2（谨慎型）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AA33B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风险承受能力较低，适合中低风险产品</w:t>
            </w:r>
          </w:p>
        </w:tc>
        <w:tc>
          <w:tcPr>
            <w:tcW w:w="1471" w:type="dxa"/>
            <w:tcBorders>
              <w:top w:val="nil"/>
              <w:left w:val="nil"/>
              <w:bottom w:val="nil"/>
              <w:right w:val="nil"/>
            </w:tcBorders>
            <w:shd w:val="clear" w:color="auto" w:fill="FFFFFF"/>
            <w:noWrap w:val="0"/>
            <w:tcMar>
              <w:top w:w="100" w:type="dxa"/>
              <w:left w:w="160" w:type="dxa"/>
              <w:bottom w:w="100" w:type="dxa"/>
              <w:right w:w="-1" w:type="dxa"/>
            </w:tcMar>
            <w:vAlign w:val="center"/>
          </w:tcPr>
          <w:p w14:paraId="79BA2C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R1、R2</w:t>
            </w:r>
          </w:p>
        </w:tc>
      </w:tr>
      <w:tr w14:paraId="78A7B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C3246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41–65分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01E15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C3（稳健型）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9D282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风险承受能力中等，适合中风险产品</w:t>
            </w:r>
          </w:p>
        </w:tc>
        <w:tc>
          <w:tcPr>
            <w:tcW w:w="1471" w:type="dxa"/>
            <w:tcBorders>
              <w:top w:val="nil"/>
              <w:left w:val="nil"/>
              <w:bottom w:val="nil"/>
              <w:right w:val="nil"/>
            </w:tcBorders>
            <w:shd w:val="clear" w:color="auto" w:fill="FFFFFF"/>
            <w:noWrap w:val="0"/>
            <w:tcMar>
              <w:top w:w="100" w:type="dxa"/>
              <w:left w:w="160" w:type="dxa"/>
              <w:bottom w:w="100" w:type="dxa"/>
              <w:right w:w="-1" w:type="dxa"/>
            </w:tcMar>
            <w:vAlign w:val="center"/>
          </w:tcPr>
          <w:p w14:paraId="466C31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R1、R2、R3</w:t>
            </w:r>
          </w:p>
        </w:tc>
      </w:tr>
      <w:tr w14:paraId="0282E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54FEA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66–90分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FCB97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C4（积极型）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EA8437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风险承受能力较高，适合中高风险产品</w:t>
            </w:r>
          </w:p>
        </w:tc>
        <w:tc>
          <w:tcPr>
            <w:tcW w:w="1471" w:type="dxa"/>
            <w:tcBorders>
              <w:top w:val="nil"/>
              <w:left w:val="nil"/>
              <w:bottom w:val="nil"/>
              <w:right w:val="nil"/>
            </w:tcBorders>
            <w:shd w:val="clear" w:color="auto" w:fill="FFFFFF"/>
            <w:noWrap w:val="0"/>
            <w:tcMar>
              <w:top w:w="100" w:type="dxa"/>
              <w:left w:w="160" w:type="dxa"/>
              <w:bottom w:w="100" w:type="dxa"/>
              <w:right w:w="-1" w:type="dxa"/>
            </w:tcMar>
            <w:vAlign w:val="center"/>
          </w:tcPr>
          <w:p w14:paraId="5FAE96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R1–R4</w:t>
            </w:r>
          </w:p>
        </w:tc>
      </w:tr>
      <w:tr w14:paraId="36DB4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1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E28A29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91分及以上</w:t>
            </w:r>
          </w:p>
        </w:tc>
        <w:tc>
          <w:tcPr>
            <w:tcW w:w="172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3CD03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C5（激进型）</w:t>
            </w:r>
          </w:p>
        </w:tc>
        <w:tc>
          <w:tcPr>
            <w:tcW w:w="395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EC185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风险承受能力高，可投资所有等级产品</w:t>
            </w:r>
          </w:p>
        </w:tc>
        <w:tc>
          <w:tcPr>
            <w:tcW w:w="1471"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183A2C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R1–R5</w:t>
            </w:r>
          </w:p>
        </w:tc>
      </w:tr>
    </w:tbl>
    <w:p w14:paraId="0F65064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特殊认定规则：若用户在第12题（最大亏损承受）中选择A（不能承受任何亏损）且总分在30分以下，可认定为“风险承受能力最低类别”，仅能购买R1级产品。这一规则与《办法》对普通投资者的特别保护要求对齐。</w:t>
      </w:r>
    </w:p>
    <w:p w14:paraId="268EBAD7">
      <w:pPr>
        <w:numPr>
          <w:ilvl w:val="0"/>
          <w:numId w:val="34"/>
        </w:numPr>
        <w:ind w:left="845" w:leftChars="0" w:hanging="425" w:firstLineChars="0"/>
        <w:outlineLvl w:val="1"/>
        <w:rPr>
          <w:rFonts w:hint="default" w:ascii="楷体" w:hAnsi="楷体" w:eastAsia="楷体" w:cs="楷体"/>
          <w:sz w:val="28"/>
          <w:szCs w:val="28"/>
          <w:lang w:val="en-US" w:eastAsia="zh-CN"/>
        </w:rPr>
      </w:pPr>
      <w:bookmarkStart w:id="97" w:name="_Toc6580"/>
      <w:r>
        <w:rPr>
          <w:rFonts w:hint="default" w:ascii="楷体" w:hAnsi="楷体" w:eastAsia="楷体" w:cs="楷体"/>
          <w:sz w:val="28"/>
          <w:szCs w:val="28"/>
          <w:lang w:val="en-US" w:eastAsia="zh-CN"/>
        </w:rPr>
        <w:t> 适当性管理规则</w:t>
      </w:r>
      <w:bookmarkEnd w:id="97"/>
    </w:p>
    <w:p w14:paraId="62C84ED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测评有效期：本次测评结果有效期为12个月，有效期届满后需重新进行测评。若用户财务状况、投资目标发生重大变化，应当主动申请重新测评。</w:t>
      </w:r>
    </w:p>
    <w:p w14:paraId="4DAE4C7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测评频次限制：单日测评次数不超过2次，12个月内累计测评次数不超过8次，防范用户通过反复测评调整得分的行为。</w:t>
      </w:r>
    </w:p>
    <w:p w14:paraId="5E5BB5A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如实作答义务：用户应当保证所填报信息真实、准确、完整，否则测评结果可能失效。</w:t>
      </w:r>
    </w:p>
    <w:p w14:paraId="7093529D">
      <w:pPr>
        <w:numPr>
          <w:ilvl w:val="0"/>
          <w:numId w:val="34"/>
        </w:numPr>
        <w:ind w:left="845" w:leftChars="0" w:hanging="425" w:firstLineChars="0"/>
        <w:outlineLvl w:val="1"/>
        <w:rPr>
          <w:rFonts w:hint="default" w:ascii="楷体" w:hAnsi="楷体" w:eastAsia="楷体" w:cs="楷体"/>
          <w:sz w:val="28"/>
          <w:szCs w:val="28"/>
          <w:lang w:val="en-US" w:eastAsia="zh-CN"/>
        </w:rPr>
      </w:pPr>
      <w:bookmarkStart w:id="98" w:name="_Toc24098"/>
      <w:r>
        <w:rPr>
          <w:rFonts w:hint="default" w:ascii="楷体" w:hAnsi="楷体" w:eastAsia="楷体" w:cs="楷体"/>
          <w:sz w:val="28"/>
          <w:szCs w:val="28"/>
          <w:lang w:val="en-US" w:eastAsia="zh-CN"/>
        </w:rPr>
        <w:t>风险等级到策略档位的映射</w:t>
      </w:r>
      <w:bookmarkEnd w:id="98"/>
    </w:p>
    <w:p w14:paraId="43CD457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在平台内部，C1-C5五档进一步简化为</w:t>
      </w:r>
      <w:r>
        <w:rPr>
          <w:rFonts w:hint="default" w:asciiTheme="minorEastAsia" w:hAnsiTheme="minorEastAsia" w:cstheme="minorEastAsia"/>
          <w:sz w:val="24"/>
          <w:szCs w:val="24"/>
          <w:lang w:val="en-US" w:eastAsia="zh-CN"/>
        </w:rPr>
        <w:t>三档配置方案（保守/平衡/进取），映射关系如下：</w:t>
      </w:r>
    </w:p>
    <w:p w14:paraId="51A902D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t>风险等级到策略档位的映射</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81"/>
        <w:gridCol w:w="1654"/>
        <w:gridCol w:w="1246"/>
        <w:gridCol w:w="4082"/>
      </w:tblGrid>
      <w:tr w14:paraId="52036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B1309B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农行风险等级</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F2FAB4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平台配置档位</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42F4E8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权益中枢</w:t>
            </w:r>
          </w:p>
        </w:tc>
        <w:tc>
          <w:tcPr>
            <w:tcW w:w="4082"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B416C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适用客群描述</w:t>
            </w:r>
          </w:p>
        </w:tc>
      </w:tr>
      <w:tr w14:paraId="0A46A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6B92A78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C1（保守型）</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2E6DE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61878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w:t>
            </w:r>
          </w:p>
        </w:tc>
        <w:tc>
          <w:tcPr>
            <w:tcW w:w="4082"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4EFD7A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仅限R1产品，不参与本策略配置</w:t>
            </w:r>
          </w:p>
        </w:tc>
      </w:tr>
      <w:tr w14:paraId="1308D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E32142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C2（谨慎型）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394B98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保守型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F45E5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w:t>
            </w:r>
          </w:p>
        </w:tc>
        <w:tc>
          <w:tcPr>
            <w:tcW w:w="4082" w:type="dxa"/>
            <w:tcBorders>
              <w:top w:val="nil"/>
              <w:left w:val="nil"/>
              <w:bottom w:val="nil"/>
              <w:right w:val="nil"/>
            </w:tcBorders>
            <w:shd w:val="clear" w:color="auto" w:fill="FFFFFF"/>
            <w:noWrap w:val="0"/>
            <w:tcMar>
              <w:top w:w="100" w:type="dxa"/>
              <w:left w:w="160" w:type="dxa"/>
              <w:bottom w:w="100" w:type="dxa"/>
              <w:right w:w="-1" w:type="dxa"/>
            </w:tcMar>
            <w:vAlign w:val="center"/>
          </w:tcPr>
          <w:p w14:paraId="7B2072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退休客户、风险承受能力低、追求本金安全</w:t>
            </w:r>
          </w:p>
        </w:tc>
      </w:tr>
      <w:tr w14:paraId="502F8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CCC802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C3（稳健型）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A5CD7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平衡型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1513A0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50%</w:t>
            </w:r>
          </w:p>
        </w:tc>
        <w:tc>
          <w:tcPr>
            <w:tcW w:w="4082" w:type="dxa"/>
            <w:tcBorders>
              <w:top w:val="nil"/>
              <w:left w:val="nil"/>
              <w:bottom w:val="nil"/>
              <w:right w:val="nil"/>
            </w:tcBorders>
            <w:shd w:val="clear" w:color="auto" w:fill="FFFFFF"/>
            <w:noWrap w:val="0"/>
            <w:tcMar>
              <w:top w:w="100" w:type="dxa"/>
              <w:left w:w="160" w:type="dxa"/>
              <w:bottom w:w="100" w:type="dxa"/>
              <w:right w:w="-1" w:type="dxa"/>
            </w:tcMar>
            <w:vAlign w:val="center"/>
          </w:tcPr>
          <w:p w14:paraId="2EA79F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大部分普通投资者，追求资产稳健增长</w:t>
            </w:r>
          </w:p>
        </w:tc>
      </w:tr>
      <w:tr w14:paraId="5CDE5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DC7E32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C4（积极型）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BEBF7C5">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904F70A">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4082" w:type="dxa"/>
            <w:tcBorders>
              <w:top w:val="nil"/>
              <w:left w:val="nil"/>
              <w:bottom w:val="nil"/>
              <w:right w:val="nil"/>
            </w:tcBorders>
            <w:shd w:val="clear" w:color="auto" w:fill="FFFFFF"/>
            <w:noWrap w:val="0"/>
            <w:tcMar>
              <w:top w:w="100" w:type="dxa"/>
              <w:left w:w="160" w:type="dxa"/>
              <w:bottom w:w="100" w:type="dxa"/>
              <w:right w:w="-1" w:type="dxa"/>
            </w:tcMar>
            <w:vAlign w:val="center"/>
          </w:tcPr>
          <w:p w14:paraId="44532C66">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07931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8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5736DE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C5（激进型）</w:t>
            </w:r>
          </w:p>
        </w:tc>
        <w:tc>
          <w:tcPr>
            <w:tcW w:w="1654"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FE9BE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进取型</w:t>
            </w:r>
          </w:p>
        </w:tc>
        <w:tc>
          <w:tcPr>
            <w:tcW w:w="1246"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B3F31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70%</w:t>
            </w:r>
          </w:p>
        </w:tc>
        <w:tc>
          <w:tcPr>
            <w:tcW w:w="4082"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01E4F6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年轻客户、长期投资、追求高回报</w:t>
            </w:r>
          </w:p>
        </w:tc>
      </w:tr>
    </w:tbl>
    <w:p w14:paraId="66D026F4">
      <w:pPr>
        <w:numPr>
          <w:ilvl w:val="0"/>
          <w:numId w:val="33"/>
        </w:numPr>
        <w:ind w:left="0" w:leftChars="0" w:firstLine="420" w:firstLineChars="0"/>
        <w:outlineLvl w:val="0"/>
        <w:rPr>
          <w:rFonts w:hint="default" w:ascii="黑体" w:hAnsi="黑体" w:eastAsia="黑体" w:cs="黑体"/>
          <w:sz w:val="30"/>
          <w:szCs w:val="30"/>
          <w:lang w:val="en-US" w:eastAsia="zh-CN"/>
        </w:rPr>
      </w:pPr>
      <w:bookmarkStart w:id="99" w:name="_Toc27378"/>
      <w:r>
        <w:rPr>
          <w:rFonts w:hint="default" w:ascii="黑体" w:hAnsi="黑体" w:eastAsia="黑体" w:cs="黑体"/>
          <w:sz w:val="30"/>
          <w:szCs w:val="30"/>
          <w:lang w:val="en-US" w:eastAsia="zh-CN"/>
        </w:rPr>
        <w:t>三档风险配置方案</w:t>
      </w:r>
      <w:bookmarkEnd w:id="99"/>
    </w:p>
    <w:p w14:paraId="784EA3C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基于客户风险档位，匹配对应的策略与ETF组合。三档方案的权益中枢分别为20%（保守型）、50%（平衡型）、70%（进取型），各档位在动态评分和LGB融合两种策略下的回测结果如下：</w:t>
      </w:r>
    </w:p>
    <w:p w14:paraId="61B1F4C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回测结果</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28"/>
        <w:gridCol w:w="947"/>
        <w:gridCol w:w="967"/>
        <w:gridCol w:w="947"/>
        <w:gridCol w:w="950"/>
        <w:gridCol w:w="947"/>
        <w:gridCol w:w="947"/>
        <w:gridCol w:w="1889"/>
      </w:tblGrid>
      <w:tr w14:paraId="49B64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929"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58B1C8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风险档</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FDC996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权益中枢</w:t>
            </w:r>
          </w:p>
        </w:tc>
        <w:tc>
          <w:tcPr>
            <w:tcW w:w="96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B7115F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策略</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E730C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年化收益</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4238B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最大回撤</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8E0FD3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夏普比率</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E2EF9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最终净值</w:t>
            </w:r>
          </w:p>
        </w:tc>
        <w:tc>
          <w:tcPr>
            <w:tcW w:w="189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B2B63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适合人群</w:t>
            </w:r>
          </w:p>
        </w:tc>
      </w:tr>
      <w:tr w14:paraId="73E77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38B4B0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保守型C2</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CF06F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w:t>
            </w:r>
          </w:p>
        </w:tc>
        <w:tc>
          <w:tcPr>
            <w:tcW w:w="96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53F816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EFEE63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7.5%</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0D478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-12.7%</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C39DC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0.48</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8BC63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2.16</w:t>
            </w:r>
          </w:p>
        </w:tc>
        <w:tc>
          <w:tcPr>
            <w:tcW w:w="1890"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173EC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退休/低风险承受</w:t>
            </w:r>
          </w:p>
        </w:tc>
      </w:tr>
      <w:tr w14:paraId="5D037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772400A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73CA8FF">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A64A8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1F82E4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8.0%</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6A7B1A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-12.7%</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F98D77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0.53</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596E63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2.29</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7AB7BC1B">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1AF11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7E03EF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平衡型C3</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0BB80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50%</w:t>
            </w: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C1931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A444E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10.8%</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AC99C5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-27.2%</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4A8D26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0.43</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6C3769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2.75</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7DE1AC4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中年/稳健（sweet spot）</w:t>
            </w:r>
          </w:p>
        </w:tc>
      </w:tr>
      <w:tr w14:paraId="5A64F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1DAF236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62671D5">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68E493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385F9A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12.2%</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673C20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-24.7%</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CFBDAB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0.49</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87392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3.19</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36EF1DFB">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7EC81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434F0DD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进取型C4</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330ECB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70%</w:t>
            </w: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67536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036DF0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13.0%</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E36D6B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-39.4%</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F0531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0.40</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0AE13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3.07</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1451CA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年轻/高风险承受</w:t>
            </w:r>
          </w:p>
        </w:tc>
      </w:tr>
      <w:tr w14:paraId="73D9E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305FB9E0">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AFFE1AD">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6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55FEF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EC3E9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15.0%</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8D959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-34.0%</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63340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0.47</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BB494C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3.78</w:t>
            </w:r>
          </w:p>
        </w:tc>
        <w:tc>
          <w:tcPr>
            <w:tcW w:w="1890"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6304410B">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bl>
    <w:p w14:paraId="2CC1DA2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各档位推荐选择：</w:t>
      </w:r>
    </w:p>
    <w:p w14:paraId="57544F5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保守型客户（C2）：推荐采用LGB融合策略。该策略年化收益率为8.0%，最大回撤仅为-12.7%，夏普比率为0.53，在三档策略中为最高值。适配退休客户及风险承受能力有限的投资者，可在控制亏损的前提下，获取高于存款的稳健收益。</w:t>
      </w:r>
    </w:p>
    <w:p w14:paraId="52C1FA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平衡型客户（C3）：推荐采用LGB融合策略。该策略年化收益率为12.2%，最大回撤为-24.7%。对多数零售客户而言，该策略是收益与风险的最优平衡点，在“控制亏损”与“获取收益”间性价比最高。</w:t>
      </w:r>
    </w:p>
    <w:p w14:paraId="1F7AE57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进取型客户（C4-C5）：推荐</w:t>
      </w:r>
      <w:r>
        <w:rPr>
          <w:rFonts w:hint="eastAsia" w:asciiTheme="minorEastAsia" w:hAnsiTheme="minorEastAsia" w:cstheme="minorEastAsia"/>
          <w:sz w:val="24"/>
          <w:szCs w:val="24"/>
          <w:lang w:val="en-US" w:eastAsia="zh-CN"/>
        </w:rPr>
        <w:t>采用</w:t>
      </w:r>
      <w:r>
        <w:rPr>
          <w:rFonts w:hint="default" w:asciiTheme="minorEastAsia" w:hAnsiTheme="minorEastAsia" w:cstheme="minorEastAsia"/>
          <w:sz w:val="24"/>
          <w:szCs w:val="24"/>
          <w:lang w:val="en-US" w:eastAsia="zh-CN"/>
        </w:rPr>
        <w:t>动态评分策略。</w:t>
      </w:r>
      <w:r>
        <w:rPr>
          <w:rFonts w:hint="eastAsia" w:asciiTheme="minorEastAsia" w:hAnsiTheme="minorEastAsia" w:cstheme="minorEastAsia"/>
          <w:sz w:val="24"/>
          <w:szCs w:val="24"/>
          <w:lang w:val="en-US" w:eastAsia="zh-CN"/>
        </w:rPr>
        <w:t>该策略年化收益率为13.0%，最大回撤为-39.4%。适配投资期限较长、能够承受较大波动的年轻客户。</w:t>
      </w:r>
      <w:r>
        <w:rPr>
          <w:rFonts w:hint="default" w:asciiTheme="minorEastAsia" w:hAnsiTheme="minorEastAsia" w:cstheme="minorEastAsia"/>
          <w:sz w:val="24"/>
          <w:szCs w:val="24"/>
          <w:lang w:val="en-US" w:eastAsia="zh-CN"/>
        </w:rPr>
        <w:t>需注意：</w:t>
      </w:r>
      <w:r>
        <w:rPr>
          <w:rFonts w:hint="eastAsia" w:asciiTheme="minorEastAsia" w:hAnsiTheme="minorEastAsia" w:cstheme="minorEastAsia"/>
          <w:sz w:val="24"/>
          <w:szCs w:val="24"/>
          <w:lang w:val="en-US" w:eastAsia="zh-CN"/>
        </w:rPr>
        <w:t>该策略</w:t>
      </w:r>
      <w:r>
        <w:rPr>
          <w:rFonts w:hint="default" w:asciiTheme="minorEastAsia" w:hAnsiTheme="minorEastAsia" w:cstheme="minorEastAsia"/>
          <w:sz w:val="24"/>
          <w:szCs w:val="24"/>
          <w:lang w:val="en-US" w:eastAsia="zh-CN"/>
        </w:rPr>
        <w:t>回撤接近-40%，超出多数零售客户的心理承受范围</w:t>
      </w:r>
      <w:r>
        <w:rPr>
          <w:rFonts w:hint="eastAsia" w:asciiTheme="minorEastAsia" w:hAnsiTheme="minorEastAsia" w:cstheme="minorEastAsia"/>
          <w:sz w:val="24"/>
          <w:szCs w:val="24"/>
          <w:lang w:val="en-US" w:eastAsia="zh-CN"/>
        </w:rPr>
        <w:t>，产品</w:t>
      </w:r>
      <w:r>
        <w:rPr>
          <w:rFonts w:hint="default" w:asciiTheme="minorEastAsia" w:hAnsiTheme="minorEastAsia" w:cstheme="minorEastAsia"/>
          <w:sz w:val="24"/>
          <w:szCs w:val="24"/>
          <w:lang w:val="en-US" w:eastAsia="zh-CN"/>
        </w:rPr>
        <w:t>推荐时须充分揭示风险。</w:t>
      </w:r>
    </w:p>
    <w:p w14:paraId="05015D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各档位典型配置示例（以LGB融合策略、2026年6月市场状态“震荡偏强”为例）：</w:t>
      </w:r>
    </w:p>
    <w:p w14:paraId="138F9B8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经典配置</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51"/>
        <w:gridCol w:w="1463"/>
        <w:gridCol w:w="1783"/>
        <w:gridCol w:w="1783"/>
        <w:gridCol w:w="1783"/>
      </w:tblGrid>
      <w:tr w14:paraId="1C620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505A48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资产类别</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0331AE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ETF</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C23D00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保守型C2</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EEF3B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平衡型C3</w:t>
            </w:r>
          </w:p>
        </w:tc>
        <w:tc>
          <w:tcPr>
            <w:tcW w:w="178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EC0A1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进取型C4</w:t>
            </w:r>
          </w:p>
        </w:tc>
      </w:tr>
      <w:tr w14:paraId="4B7F4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1F2EFA0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大盘宽基</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9321CD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510300</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439B7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675DDA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18%</w:t>
            </w:r>
          </w:p>
        </w:tc>
        <w:tc>
          <w:tcPr>
            <w:tcW w:w="1783"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3B31A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22%</w:t>
            </w:r>
          </w:p>
        </w:tc>
      </w:tr>
      <w:tr w14:paraId="682FD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7159B3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中小盘宽基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78315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510500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2D574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E4A69C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198A9D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16%</w:t>
            </w:r>
          </w:p>
        </w:tc>
      </w:tr>
      <w:tr w14:paraId="66C5C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B7849B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科技宽基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0CD57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588000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856C79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CEE95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02F7EC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r>
      <w:tr w14:paraId="4E4FE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1B84A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消费行业</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A98D2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159928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43E8E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BBCCE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35B699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r>
      <w:tr w14:paraId="5DD9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F7976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芯片主题</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55DA5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159995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DC0A0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103AA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3DE04AF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w:t>
            </w:r>
          </w:p>
        </w:tc>
      </w:tr>
      <w:tr w14:paraId="2A640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5EC4A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商品对冲</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301B53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518880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1AD28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689D3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550DE30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w:t>
            </w:r>
          </w:p>
        </w:tc>
      </w:tr>
      <w:tr w14:paraId="54300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E4D8D1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债券防御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DB0104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511260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9A350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0F29D1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45%</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602816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30%</w:t>
            </w:r>
          </w:p>
        </w:tc>
      </w:tr>
      <w:tr w14:paraId="01FAD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5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4155DD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权益合计</w:t>
            </w:r>
          </w:p>
        </w:tc>
        <w:tc>
          <w:tcPr>
            <w:tcW w:w="146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11A786A">
            <w:pPr>
              <w:snapToGrid w:val="0"/>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p>
        </w:tc>
        <w:tc>
          <w:tcPr>
            <w:tcW w:w="178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40AED8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20%</w:t>
            </w:r>
          </w:p>
        </w:tc>
        <w:tc>
          <w:tcPr>
            <w:tcW w:w="178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12D4C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50%</w:t>
            </w:r>
          </w:p>
        </w:tc>
        <w:tc>
          <w:tcPr>
            <w:tcW w:w="1783"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11636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70%</w:t>
            </w:r>
          </w:p>
        </w:tc>
      </w:tr>
    </w:tbl>
    <w:p w14:paraId="31072E6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说明：上表为示例配置，实际权重根据每月市场评分动态调整。</w:t>
      </w:r>
    </w:p>
    <w:p w14:paraId="2B22419B">
      <w:pPr>
        <w:numPr>
          <w:ilvl w:val="0"/>
          <w:numId w:val="33"/>
        </w:numPr>
        <w:ind w:left="0" w:leftChars="0" w:firstLine="420" w:firstLineChars="0"/>
        <w:outlineLvl w:val="0"/>
        <w:rPr>
          <w:rFonts w:hint="default" w:ascii="黑体" w:hAnsi="黑体" w:eastAsia="黑体" w:cs="黑体"/>
          <w:sz w:val="30"/>
          <w:szCs w:val="30"/>
          <w:lang w:val="en-US" w:eastAsia="zh-CN"/>
        </w:rPr>
      </w:pPr>
      <w:bookmarkStart w:id="100" w:name="_Toc16421"/>
      <w:r>
        <w:rPr>
          <w:rFonts w:hint="default" w:ascii="黑体" w:hAnsi="黑体" w:eastAsia="黑体" w:cs="黑体"/>
          <w:sz w:val="30"/>
          <w:szCs w:val="30"/>
          <w:lang w:val="en-US" w:eastAsia="zh-CN"/>
        </w:rPr>
        <w:t>调仓推送服务设计</w:t>
      </w:r>
      <w:bookmarkEnd w:id="100"/>
    </w:p>
    <w:p w14:paraId="307B2473">
      <w:pPr>
        <w:numPr>
          <w:ilvl w:val="0"/>
          <w:numId w:val="35"/>
        </w:numPr>
        <w:ind w:left="845" w:leftChars="0" w:hanging="425" w:firstLineChars="0"/>
        <w:outlineLvl w:val="1"/>
        <w:rPr>
          <w:rFonts w:hint="default" w:ascii="楷体" w:hAnsi="楷体" w:eastAsia="楷体" w:cs="楷体"/>
          <w:sz w:val="28"/>
          <w:szCs w:val="28"/>
          <w:lang w:val="en-US" w:eastAsia="zh-CN"/>
        </w:rPr>
      </w:pPr>
      <w:bookmarkStart w:id="101" w:name="_Toc28629"/>
      <w:r>
        <w:rPr>
          <w:rFonts w:hint="default" w:ascii="楷体" w:hAnsi="楷体" w:eastAsia="楷体" w:cs="楷体"/>
          <w:sz w:val="28"/>
          <w:szCs w:val="28"/>
          <w:lang w:val="en-US" w:eastAsia="zh-CN"/>
        </w:rPr>
        <w:t>调仓触达渠道</w:t>
      </w:r>
      <w:bookmarkEnd w:id="101"/>
    </w:p>
    <w:p w14:paraId="0925F2D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平台在每月调仓日自动生成调仓指令，通过以下渠道触达客户：</w:t>
      </w:r>
    </w:p>
    <w:p w14:paraId="04FFCA50">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调仓触达渠道</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37"/>
        <w:gridCol w:w="1891"/>
        <w:gridCol w:w="3398"/>
        <w:gridCol w:w="1437"/>
      </w:tblGrid>
      <w:tr w14:paraId="70447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0B59FB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渠道</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F8C96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触达对象</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0FCBF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内容</w:t>
            </w:r>
          </w:p>
        </w:tc>
        <w:tc>
          <w:tcPr>
            <w:tcW w:w="1437"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03942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发送时机</w:t>
            </w:r>
          </w:p>
        </w:tc>
      </w:tr>
      <w:tr w14:paraId="4BB54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6C1CF9A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APP推送</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074B0BC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客户本人</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31D300F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调仓摘要+一键确认</w:t>
            </w:r>
          </w:p>
        </w:tc>
        <w:tc>
          <w:tcPr>
            <w:tcW w:w="1437" w:type="dxa"/>
            <w:tcBorders>
              <w:top w:val="single" w:color="000000" w:sz="4" w:space="0"/>
            </w:tcBorders>
            <w:shd w:val="clear" w:color="auto" w:fill="FFFFFF"/>
            <w:tcMar>
              <w:top w:w="100" w:type="dxa"/>
              <w:left w:w="160" w:type="dxa"/>
              <w:bottom w:w="100" w:type="dxa"/>
              <w:right w:w="0" w:type="dxa"/>
            </w:tcMar>
            <w:vAlign w:val="center"/>
          </w:tcPr>
          <w:p w14:paraId="7DB03E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调仓日9:00</w:t>
            </w:r>
          </w:p>
        </w:tc>
      </w:tr>
      <w:tr w14:paraId="2E1D8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188830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短信</w:t>
            </w:r>
          </w:p>
        </w:tc>
        <w:tc>
          <w:tcPr>
            <w:tcW w:w="0" w:type="auto"/>
            <w:shd w:val="clear" w:color="auto" w:fill="FFFFFF"/>
            <w:tcMar>
              <w:top w:w="100" w:type="dxa"/>
              <w:left w:w="160" w:type="dxa"/>
              <w:bottom w:w="100" w:type="dxa"/>
              <w:right w:w="160" w:type="dxa"/>
            </w:tcMar>
            <w:vAlign w:val="center"/>
          </w:tcPr>
          <w:p w14:paraId="43C4081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客户本人</w:t>
            </w:r>
          </w:p>
        </w:tc>
        <w:tc>
          <w:tcPr>
            <w:tcW w:w="0" w:type="auto"/>
            <w:shd w:val="clear" w:color="auto" w:fill="FFFFFF"/>
            <w:tcMar>
              <w:top w:w="100" w:type="dxa"/>
              <w:left w:w="160" w:type="dxa"/>
              <w:bottom w:w="100" w:type="dxa"/>
              <w:right w:w="160" w:type="dxa"/>
            </w:tcMar>
            <w:vAlign w:val="center"/>
          </w:tcPr>
          <w:p w14:paraId="4677E94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精简版调仓提示+APP跳转链接</w:t>
            </w:r>
          </w:p>
        </w:tc>
        <w:tc>
          <w:tcPr>
            <w:tcW w:w="1437" w:type="dxa"/>
            <w:shd w:val="clear" w:color="auto" w:fill="FFFFFF"/>
            <w:tcMar>
              <w:top w:w="100" w:type="dxa"/>
              <w:left w:w="160" w:type="dxa"/>
              <w:bottom w:w="100" w:type="dxa"/>
              <w:right w:w="0" w:type="dxa"/>
            </w:tcMar>
            <w:vAlign w:val="center"/>
          </w:tcPr>
          <w:p w14:paraId="2BC7C20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调仓日9:30</w:t>
            </w:r>
          </w:p>
        </w:tc>
      </w:tr>
      <w:tr w14:paraId="3DA41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B07D1B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微信图文</w:t>
            </w:r>
          </w:p>
        </w:tc>
        <w:tc>
          <w:tcPr>
            <w:tcW w:w="0" w:type="auto"/>
            <w:shd w:val="clear" w:color="auto" w:fill="FFFFFF"/>
            <w:tcMar>
              <w:top w:w="100" w:type="dxa"/>
              <w:left w:w="160" w:type="dxa"/>
              <w:bottom w:w="100" w:type="dxa"/>
              <w:right w:w="160" w:type="dxa"/>
            </w:tcMar>
            <w:vAlign w:val="center"/>
          </w:tcPr>
          <w:p w14:paraId="0CC69F0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客户+理财经理</w:t>
            </w:r>
          </w:p>
        </w:tc>
        <w:tc>
          <w:tcPr>
            <w:tcW w:w="0" w:type="auto"/>
            <w:shd w:val="clear" w:color="auto" w:fill="FFFFFF"/>
            <w:tcMar>
              <w:top w:w="100" w:type="dxa"/>
              <w:left w:w="160" w:type="dxa"/>
              <w:bottom w:w="100" w:type="dxa"/>
              <w:right w:w="160" w:type="dxa"/>
            </w:tcMar>
            <w:vAlign w:val="center"/>
          </w:tcPr>
          <w:p w14:paraId="23D2069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详细调仓理由+市场状态解读</w:t>
            </w:r>
          </w:p>
        </w:tc>
        <w:tc>
          <w:tcPr>
            <w:tcW w:w="1437" w:type="dxa"/>
            <w:shd w:val="clear" w:color="auto" w:fill="FFFFFF"/>
            <w:tcMar>
              <w:top w:w="100" w:type="dxa"/>
              <w:left w:w="160" w:type="dxa"/>
              <w:bottom w:w="100" w:type="dxa"/>
              <w:right w:w="0" w:type="dxa"/>
            </w:tcMar>
            <w:vAlign w:val="center"/>
          </w:tcPr>
          <w:p w14:paraId="104B0A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调仓日10:00</w:t>
            </w:r>
          </w:p>
        </w:tc>
      </w:tr>
      <w:tr w14:paraId="643B5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37" w:type="dxa"/>
            <w:tcBorders>
              <w:bottom w:val="single" w:color="000000" w:sz="12" w:space="0"/>
            </w:tcBorders>
            <w:shd w:val="clear" w:color="auto" w:fill="FFFFFF"/>
            <w:tcMar>
              <w:top w:w="100" w:type="dxa"/>
              <w:left w:w="0" w:type="dxa"/>
              <w:bottom w:w="100" w:type="dxa"/>
              <w:right w:w="160" w:type="dxa"/>
            </w:tcMar>
            <w:vAlign w:val="center"/>
          </w:tcPr>
          <w:p w14:paraId="549A9EC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理财经理工作台</w:t>
            </w:r>
          </w:p>
        </w:tc>
        <w:tc>
          <w:tcPr>
            <w:tcW w:w="1891" w:type="dxa"/>
            <w:tcBorders>
              <w:bottom w:val="single" w:color="000000" w:sz="12" w:space="0"/>
            </w:tcBorders>
            <w:shd w:val="clear" w:color="auto" w:fill="FFFFFF"/>
            <w:tcMar>
              <w:top w:w="100" w:type="dxa"/>
              <w:left w:w="160" w:type="dxa"/>
              <w:bottom w:w="100" w:type="dxa"/>
              <w:right w:w="160" w:type="dxa"/>
            </w:tcMar>
            <w:vAlign w:val="center"/>
          </w:tcPr>
          <w:p w14:paraId="7F51195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理财经理</w:t>
            </w:r>
          </w:p>
        </w:tc>
        <w:tc>
          <w:tcPr>
            <w:tcW w:w="3398" w:type="dxa"/>
            <w:tcBorders>
              <w:bottom w:val="single" w:color="000000" w:sz="12" w:space="0"/>
            </w:tcBorders>
            <w:shd w:val="clear" w:color="auto" w:fill="FFFFFF"/>
            <w:tcMar>
              <w:top w:w="100" w:type="dxa"/>
              <w:left w:w="160" w:type="dxa"/>
              <w:bottom w:w="100" w:type="dxa"/>
              <w:right w:w="160" w:type="dxa"/>
            </w:tcMar>
            <w:vAlign w:val="center"/>
          </w:tcPr>
          <w:p w14:paraId="5058DA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完整调仓指令+客户沟通话术</w:t>
            </w:r>
          </w:p>
        </w:tc>
        <w:tc>
          <w:tcPr>
            <w:tcW w:w="1437" w:type="dxa"/>
            <w:tcBorders>
              <w:bottom w:val="single" w:color="000000" w:sz="12" w:space="0"/>
            </w:tcBorders>
            <w:shd w:val="clear" w:color="auto" w:fill="FFFFFF"/>
            <w:vAlign w:val="center"/>
          </w:tcPr>
          <w:p w14:paraId="319364BF">
            <w:pPr>
              <w:snapToGrid w:val="0"/>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sz w:val="21"/>
                <w:szCs w:val="21"/>
                <w:shd w:val="clear" w:fill="FFFFFF"/>
                <w:lang w:val="en-US" w:eastAsia="zh-CN"/>
              </w:rPr>
              <w:t xml:space="preserve"> </w:t>
            </w:r>
            <w:r>
              <w:rPr>
                <w:rFonts w:hint="eastAsia" w:asciiTheme="minorEastAsia" w:hAnsiTheme="minorEastAsia" w:eastAsiaTheme="minorEastAsia" w:cstheme="minorEastAsia"/>
                <w:b w:val="0"/>
                <w:i w:val="0"/>
                <w:iCs w:val="0"/>
                <w:caps w:val="0"/>
                <w:color w:val="000000"/>
                <w:spacing w:val="0"/>
                <w:sz w:val="21"/>
                <w:szCs w:val="21"/>
                <w:shd w:val="clear" w:fill="FFFFFF"/>
              </w:rPr>
              <w:t>调仓日8:30</w:t>
            </w:r>
          </w:p>
        </w:tc>
      </w:tr>
    </w:tbl>
    <w:p w14:paraId="66EA41C4">
      <w:pPr>
        <w:numPr>
          <w:ilvl w:val="0"/>
          <w:numId w:val="35"/>
        </w:numPr>
        <w:ind w:left="845" w:leftChars="0" w:hanging="425" w:firstLineChars="0"/>
        <w:outlineLvl w:val="1"/>
        <w:rPr>
          <w:rFonts w:hint="default" w:ascii="楷体" w:hAnsi="楷体" w:eastAsia="楷体" w:cs="楷体"/>
          <w:sz w:val="28"/>
          <w:szCs w:val="28"/>
          <w:lang w:val="en-US" w:eastAsia="zh-CN"/>
        </w:rPr>
      </w:pPr>
      <w:bookmarkStart w:id="102" w:name="_Toc11358"/>
      <w:r>
        <w:rPr>
          <w:rFonts w:hint="default" w:ascii="楷体" w:hAnsi="楷体" w:eastAsia="楷体" w:cs="楷体"/>
          <w:sz w:val="28"/>
          <w:szCs w:val="28"/>
          <w:lang w:val="en-US" w:eastAsia="zh-CN"/>
        </w:rPr>
        <w:t>三类推送模板</w:t>
      </w:r>
      <w:bookmarkEnd w:id="102"/>
    </w:p>
    <w:p w14:paraId="3327BC9D">
      <w:pPr>
        <w:keepNext w:val="0"/>
        <w:keepLines w:val="0"/>
        <w:pageBreakBefore w:val="0"/>
        <w:widowControl w:val="0"/>
        <w:numPr>
          <w:ilvl w:val="0"/>
          <w:numId w:val="3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103" w:name="_Toc18342"/>
      <w:r>
        <w:rPr>
          <w:rFonts w:hint="eastAsia" w:asciiTheme="minorEastAsia" w:hAnsiTheme="minorEastAsia" w:cstheme="minorEastAsia"/>
          <w:sz w:val="24"/>
          <w:szCs w:val="24"/>
          <w:lang w:val="en-US" w:eastAsia="zh-CN"/>
        </w:rPr>
        <w:t>短信模板</w:t>
      </w:r>
      <w:bookmarkEnd w:id="103"/>
    </w:p>
    <w:p w14:paraId="3B84BD78">
      <w:pPr>
        <w:keepNext w:val="0"/>
        <w:keepLines w:val="0"/>
        <w:widowControl/>
        <w:suppressLineNumbers w:val="0"/>
        <w:jc w:val="left"/>
        <w:rPr>
          <w:rFonts w:hint="default" w:asciiTheme="minorEastAsia" w:hAnsiTheme="minorEastAsia" w:cstheme="minorEastAsia"/>
          <w:sz w:val="24"/>
          <w:szCs w:val="24"/>
          <w:lang w:val="en-US" w:eastAsia="zh-CN"/>
        </w:rPr>
      </w:pPr>
    </w:p>
    <w:p w14:paraId="73AF58F6">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139315" cy="3599815"/>
            <wp:effectExtent l="0" t="0" r="13335"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rcRect r="296" b="5765"/>
                    <a:stretch>
                      <a:fillRect/>
                    </a:stretch>
                  </pic:blipFill>
                  <pic:spPr>
                    <a:xfrm>
                      <a:off x="0" y="0"/>
                      <a:ext cx="2139315" cy="3599815"/>
                    </a:xfrm>
                    <a:prstGeom prst="rect">
                      <a:avLst/>
                    </a:prstGeom>
                    <a:noFill/>
                    <a:ln w="9525">
                      <a:noFill/>
                    </a:ln>
                  </pic:spPr>
                </pic:pic>
              </a:graphicData>
            </a:graphic>
          </wp:inline>
        </w:drawing>
      </w:r>
    </w:p>
    <w:p w14:paraId="277807E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 3 短信推送模板</w:t>
      </w:r>
    </w:p>
    <w:p w14:paraId="18306466">
      <w:pPr>
        <w:keepNext w:val="0"/>
        <w:keepLines w:val="0"/>
        <w:pageBreakBefore w:val="0"/>
        <w:widowControl w:val="0"/>
        <w:numPr>
          <w:ilvl w:val="0"/>
          <w:numId w:val="3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104" w:name="_Toc10257"/>
      <w:r>
        <w:rPr>
          <w:rFonts w:hint="eastAsia" w:asciiTheme="minorEastAsia" w:hAnsiTheme="minorEastAsia" w:cstheme="minorEastAsia"/>
          <w:sz w:val="24"/>
          <w:szCs w:val="24"/>
          <w:lang w:val="en-US" w:eastAsia="zh-CN"/>
        </w:rPr>
        <w:t>APP图文模板</w:t>
      </w:r>
      <w:bookmarkEnd w:id="104"/>
    </w:p>
    <w:p w14:paraId="32C1139B">
      <w:pPr>
        <w:keepNext w:val="0"/>
        <w:keepLines w:val="0"/>
        <w:pageBreakBefore w:val="0"/>
        <w:widowControl w:val="0"/>
        <w:numPr>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drawing>
          <wp:inline distT="0" distB="0" distL="114300" distR="114300">
            <wp:extent cx="2022475" cy="3599815"/>
            <wp:effectExtent l="0" t="0" r="15875" b="635"/>
            <wp:docPr id="8" name="图片 8" descr="5db0a6ebc2894044b92362157c651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db0a6ebc2894044b92362157c65100d"/>
                    <pic:cNvPicPr>
                      <a:picLocks noChangeAspect="1"/>
                    </pic:cNvPicPr>
                  </pic:nvPicPr>
                  <pic:blipFill>
                    <a:blip r:embed="rId11"/>
                    <a:stretch>
                      <a:fillRect/>
                    </a:stretch>
                  </pic:blipFill>
                  <pic:spPr>
                    <a:xfrm>
                      <a:off x="0" y="0"/>
                      <a:ext cx="2022475" cy="3599815"/>
                    </a:xfrm>
                    <a:prstGeom prst="rect">
                      <a:avLst/>
                    </a:prstGeom>
                  </pic:spPr>
                </pic:pic>
              </a:graphicData>
            </a:graphic>
          </wp:inline>
        </w:drawing>
      </w:r>
    </w:p>
    <w:p w14:paraId="54F0E430">
      <w:pPr>
        <w:pStyle w:val="5"/>
        <w:keepNext w:val="0"/>
        <w:keepLines w:val="0"/>
        <w:pageBreakBefore w:val="0"/>
        <w:widowControl w:val="0"/>
        <w:numPr>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eastAsiaTheme="minorEastAsia" w:cstheme="minorEastAsia"/>
          <w:kern w:val="2"/>
          <w:sz w:val="24"/>
          <w:szCs w:val="24"/>
          <w:lang w:val="en-US" w:eastAsia="zh-CN" w:bidi="ar-SA"/>
        </w:rPr>
        <w:t xml:space="preserve">图 </w:t>
      </w:r>
      <w:r>
        <w:rPr>
          <w:rFonts w:hint="eastAsia" w:asciiTheme="minorEastAsia" w:hAnsiTheme="minorEastAsia" w:eastAsiaTheme="minorEastAsia" w:cstheme="minorEastAsia"/>
          <w:kern w:val="2"/>
          <w:sz w:val="24"/>
          <w:szCs w:val="24"/>
          <w:lang w:val="en-US" w:eastAsia="zh-CN" w:bidi="ar-SA"/>
        </w:rPr>
        <w:t>4 APP配置推送模版</w:t>
      </w:r>
    </w:p>
    <w:p w14:paraId="2940950A">
      <w:pPr>
        <w:keepNext w:val="0"/>
        <w:keepLines w:val="0"/>
        <w:pageBreakBefore w:val="0"/>
        <w:widowControl w:val="0"/>
        <w:numPr>
          <w:ilvl w:val="0"/>
          <w:numId w:val="3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105" w:name="_Toc16696"/>
      <w:r>
        <w:rPr>
          <w:rFonts w:hint="eastAsia" w:asciiTheme="minorEastAsia" w:hAnsiTheme="minorEastAsia" w:cstheme="minorEastAsia"/>
          <w:sz w:val="24"/>
          <w:szCs w:val="24"/>
          <w:lang w:val="en-US" w:eastAsia="zh-CN"/>
        </w:rPr>
        <w:t>APP弹窗模板</w:t>
      </w:r>
      <w:bookmarkEnd w:id="105"/>
    </w:p>
    <w:p w14:paraId="69A9E393">
      <w:pPr>
        <w:keepNext w:val="0"/>
        <w:keepLines w:val="0"/>
        <w:pageBreakBefore w:val="0"/>
        <w:widowControl w:val="0"/>
        <w:numPr>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drawing>
          <wp:inline distT="0" distB="0" distL="114300" distR="114300">
            <wp:extent cx="2096770" cy="3599815"/>
            <wp:effectExtent l="0" t="0" r="17780" b="635"/>
            <wp:docPr id="9" name="图片 9" descr="7c19c42928c84142954325110b203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c19c42928c84142954325110b2034d2"/>
                    <pic:cNvPicPr>
                      <a:picLocks noChangeAspect="1"/>
                    </pic:cNvPicPr>
                  </pic:nvPicPr>
                  <pic:blipFill>
                    <a:blip r:embed="rId12"/>
                    <a:srcRect r="539" b="4094"/>
                    <a:stretch>
                      <a:fillRect/>
                    </a:stretch>
                  </pic:blipFill>
                  <pic:spPr>
                    <a:xfrm>
                      <a:off x="0" y="0"/>
                      <a:ext cx="2096770" cy="3599815"/>
                    </a:xfrm>
                    <a:prstGeom prst="rect">
                      <a:avLst/>
                    </a:prstGeom>
                  </pic:spPr>
                </pic:pic>
              </a:graphicData>
            </a:graphic>
          </wp:inline>
        </w:drawing>
      </w:r>
    </w:p>
    <w:p w14:paraId="4438677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kern w:val="2"/>
          <w:sz w:val="24"/>
          <w:szCs w:val="24"/>
          <w:lang w:val="en-US" w:eastAsia="zh-CN" w:bidi="ar-SA"/>
        </w:rPr>
        <w:t>图 5 APP弹窗模板</w:t>
      </w:r>
    </w:p>
    <w:p w14:paraId="14FE1DF0">
      <w:pPr>
        <w:numPr>
          <w:ilvl w:val="0"/>
          <w:numId w:val="35"/>
        </w:numPr>
        <w:ind w:left="845" w:leftChars="0" w:hanging="425" w:firstLineChars="0"/>
        <w:outlineLvl w:val="1"/>
        <w:rPr>
          <w:rFonts w:hint="default" w:ascii="楷体" w:hAnsi="楷体" w:eastAsia="楷体" w:cs="楷体"/>
          <w:sz w:val="28"/>
          <w:szCs w:val="28"/>
          <w:lang w:val="en-US" w:eastAsia="zh-CN"/>
        </w:rPr>
      </w:pPr>
      <w:bookmarkStart w:id="106" w:name="_Toc4860"/>
      <w:r>
        <w:rPr>
          <w:rFonts w:hint="default" w:ascii="楷体" w:hAnsi="楷体" w:eastAsia="楷体" w:cs="楷体"/>
          <w:sz w:val="28"/>
          <w:szCs w:val="28"/>
          <w:lang w:val="en-US" w:eastAsia="zh-CN"/>
        </w:rPr>
        <w:t>调仓理由生成逻辑</w:t>
      </w:r>
      <w:bookmarkEnd w:id="106"/>
    </w:p>
    <w:p w14:paraId="1FB45A0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每次调仓推送所附“调仓理由”由系统自动生成，涵盖以下维度：</w:t>
      </w:r>
    </w:p>
    <w:p w14:paraId="53A39A9C">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调仓理由</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66"/>
        <w:gridCol w:w="2428"/>
        <w:gridCol w:w="5069"/>
      </w:tblGrid>
      <w:tr w14:paraId="698A8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07D0F6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维度</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21003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生成逻辑</w:t>
            </w:r>
          </w:p>
        </w:tc>
        <w:tc>
          <w:tcPr>
            <w:tcW w:w="506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AA16E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示例话术</w:t>
            </w:r>
          </w:p>
        </w:tc>
      </w:tr>
      <w:tr w14:paraId="3A7D5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7D743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估值变化</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DAF66D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对比上月PE分位数变化</w:t>
            </w:r>
          </w:p>
        </w:tc>
        <w:tc>
          <w:tcPr>
            <w:tcW w:w="506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16925BE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“沪深300 PE分位从32%升至48%，估值修复接近尾声”</w:t>
            </w:r>
          </w:p>
        </w:tc>
      </w:tr>
      <w:tr w14:paraId="0E2D0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48AA2F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宏观信号</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775CA3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PMI和期限利差变化</w:t>
            </w:r>
          </w:p>
        </w:tc>
        <w:tc>
          <w:tcPr>
            <w:tcW w:w="5069" w:type="dxa"/>
            <w:tcBorders>
              <w:top w:val="nil"/>
              <w:left w:val="nil"/>
              <w:bottom w:val="nil"/>
              <w:right w:val="nil"/>
            </w:tcBorders>
            <w:shd w:val="clear" w:color="auto" w:fill="FFFFFF"/>
            <w:noWrap w:val="0"/>
            <w:tcMar>
              <w:top w:w="100" w:type="dxa"/>
              <w:left w:w="160" w:type="dxa"/>
              <w:bottom w:w="100" w:type="dxa"/>
              <w:right w:w="-1" w:type="dxa"/>
            </w:tcMar>
            <w:vAlign w:val="center"/>
          </w:tcPr>
          <w:p w14:paraId="58B0FC7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“PMI连续3月高于51，经济扩张趋势确认”</w:t>
            </w:r>
          </w:p>
        </w:tc>
      </w:tr>
      <w:tr w14:paraId="15FD7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16DEC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情绪信号</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F41863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两融和北向资金变化</w:t>
            </w:r>
          </w:p>
        </w:tc>
        <w:tc>
          <w:tcPr>
            <w:tcW w:w="5069" w:type="dxa"/>
            <w:tcBorders>
              <w:top w:val="nil"/>
              <w:left w:val="nil"/>
              <w:bottom w:val="nil"/>
              <w:right w:val="nil"/>
            </w:tcBorders>
            <w:shd w:val="clear" w:color="auto" w:fill="FFFFFF"/>
            <w:noWrap w:val="0"/>
            <w:tcMar>
              <w:top w:w="100" w:type="dxa"/>
              <w:left w:w="160" w:type="dxa"/>
              <w:bottom w:w="100" w:type="dxa"/>
              <w:right w:w="-1" w:type="dxa"/>
            </w:tcMar>
            <w:vAlign w:val="center"/>
          </w:tcPr>
          <w:p w14:paraId="59ECD9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“北向资金本月净流入385亿元，外资配置意愿增强”</w:t>
            </w:r>
          </w:p>
        </w:tc>
      </w:tr>
      <w:tr w14:paraId="02BDB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66"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24C50E0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趋势信号</w:t>
            </w:r>
          </w:p>
        </w:tc>
        <w:tc>
          <w:tcPr>
            <w:tcW w:w="242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007FBA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价格相对均线位置</w:t>
            </w:r>
          </w:p>
        </w:tc>
        <w:tc>
          <w:tcPr>
            <w:tcW w:w="506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5515EAB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“沪深300站上MA20且MA5上穿MA20，短期趋势转强”</w:t>
            </w:r>
          </w:p>
        </w:tc>
      </w:tr>
    </w:tbl>
    <w:p w14:paraId="4ADDAF0B">
      <w:pPr>
        <w:numPr>
          <w:ilvl w:val="0"/>
          <w:numId w:val="33"/>
        </w:numPr>
        <w:ind w:left="0" w:leftChars="0" w:firstLine="420" w:firstLineChars="0"/>
        <w:outlineLvl w:val="0"/>
        <w:rPr>
          <w:rFonts w:hint="default" w:ascii="黑体" w:hAnsi="黑体" w:eastAsia="黑体" w:cs="黑体"/>
          <w:sz w:val="30"/>
          <w:szCs w:val="30"/>
          <w:lang w:val="en-US" w:eastAsia="zh-CN"/>
        </w:rPr>
      </w:pPr>
      <w:bookmarkStart w:id="107" w:name="_Toc8378"/>
      <w:r>
        <w:rPr>
          <w:rFonts w:hint="default" w:ascii="黑体" w:hAnsi="黑体" w:eastAsia="黑体" w:cs="黑体"/>
          <w:sz w:val="30"/>
          <w:szCs w:val="30"/>
          <w:lang w:val="en-US" w:eastAsia="zh-CN"/>
        </w:rPr>
        <w:t>理财经理工作手册</w:t>
      </w:r>
      <w:bookmarkEnd w:id="107"/>
    </w:p>
    <w:p w14:paraId="63287FDF">
      <w:pPr>
        <w:numPr>
          <w:ilvl w:val="0"/>
          <w:numId w:val="37"/>
        </w:numPr>
        <w:ind w:left="845" w:leftChars="0" w:hanging="425" w:firstLineChars="0"/>
        <w:outlineLvl w:val="1"/>
        <w:rPr>
          <w:rFonts w:hint="default" w:ascii="楷体" w:hAnsi="楷体" w:eastAsia="楷体" w:cs="楷体"/>
          <w:sz w:val="28"/>
          <w:szCs w:val="28"/>
          <w:lang w:val="en-US" w:eastAsia="zh-CN"/>
        </w:rPr>
      </w:pPr>
      <w:bookmarkStart w:id="108" w:name="_Toc7759"/>
      <w:r>
        <w:rPr>
          <w:rFonts w:hint="default" w:ascii="楷体" w:hAnsi="楷体" w:eastAsia="楷体" w:cs="楷体"/>
          <w:sz w:val="28"/>
          <w:szCs w:val="28"/>
          <w:lang w:val="en-US" w:eastAsia="zh-CN"/>
        </w:rPr>
        <w:t>平台使用场景</w:t>
      </w:r>
      <w:bookmarkEnd w:id="108"/>
    </w:p>
    <w:p w14:paraId="2DE2CAB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平台设计场景</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11"/>
        <w:gridCol w:w="1225"/>
        <w:gridCol w:w="2915"/>
        <w:gridCol w:w="3371"/>
      </w:tblGrid>
      <w:tr w14:paraId="04322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012"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8AD00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场景</w:t>
            </w:r>
          </w:p>
        </w:tc>
        <w:tc>
          <w:tcPr>
            <w:tcW w:w="122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CA88D9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触发条件</w:t>
            </w:r>
          </w:p>
        </w:tc>
        <w:tc>
          <w:tcPr>
            <w:tcW w:w="291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FE0DA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理财经理操作</w:t>
            </w:r>
          </w:p>
        </w:tc>
        <w:tc>
          <w:tcPr>
            <w:tcW w:w="3371"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EBB30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客户沟通要点</w:t>
            </w:r>
          </w:p>
        </w:tc>
      </w:tr>
      <w:tr w14:paraId="380B4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2"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28F8C67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新客户配置</w:t>
            </w:r>
          </w:p>
        </w:tc>
        <w:tc>
          <w:tcPr>
            <w:tcW w:w="1225"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E287C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客户首次购买基金</w:t>
            </w:r>
          </w:p>
        </w:tc>
        <w:tc>
          <w:tcPr>
            <w:tcW w:w="2915"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9373F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引导完成15题画像问卷→系统自动匹配风险档→展示推荐组合</w:t>
            </w:r>
          </w:p>
        </w:tc>
        <w:tc>
          <w:tcPr>
            <w:tcW w:w="3371"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D64CB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“根据您的风险评估结果，我们为您匹配了[风险档位]配置方案”</w:t>
            </w:r>
          </w:p>
        </w:tc>
      </w:tr>
      <w:tr w14:paraId="0595F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2" w:type="dxa"/>
            <w:tcBorders>
              <w:top w:val="nil"/>
              <w:left w:val="nil"/>
              <w:bottom w:val="nil"/>
              <w:right w:val="nil"/>
            </w:tcBorders>
            <w:shd w:val="clear" w:color="auto" w:fill="FFFFFF"/>
            <w:noWrap w:val="0"/>
            <w:tcMar>
              <w:top w:w="100" w:type="dxa"/>
              <w:left w:w="-1" w:type="dxa"/>
              <w:bottom w:w="100" w:type="dxa"/>
              <w:right w:w="160" w:type="dxa"/>
            </w:tcMar>
            <w:vAlign w:val="center"/>
          </w:tcPr>
          <w:p w14:paraId="59C359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月度调仓</w:t>
            </w:r>
          </w:p>
        </w:tc>
        <w:tc>
          <w:tcPr>
            <w:tcW w:w="122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38FC89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每月调仓日</w:t>
            </w:r>
          </w:p>
        </w:tc>
        <w:tc>
          <w:tcPr>
            <w:tcW w:w="291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0D2F3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查看调仓指令→阅读调仓理由→联系客户解释调仓</w:t>
            </w:r>
          </w:p>
        </w:tc>
        <w:tc>
          <w:tcPr>
            <w:tcW w:w="3371" w:type="dxa"/>
            <w:tcBorders>
              <w:top w:val="nil"/>
              <w:left w:val="nil"/>
              <w:bottom w:val="nil"/>
              <w:right w:val="nil"/>
            </w:tcBorders>
            <w:shd w:val="clear" w:color="auto" w:fill="FFFFFF"/>
            <w:noWrap w:val="0"/>
            <w:tcMar>
              <w:top w:w="100" w:type="dxa"/>
              <w:left w:w="160" w:type="dxa"/>
              <w:bottom w:w="100" w:type="dxa"/>
              <w:right w:w="-1" w:type="dxa"/>
            </w:tcMar>
            <w:vAlign w:val="center"/>
          </w:tcPr>
          <w:p w14:paraId="4435AB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“本月市场环境从[旧状态]变为[新状态]，建议微调您的组合”</w:t>
            </w:r>
          </w:p>
        </w:tc>
      </w:tr>
      <w:tr w14:paraId="7C6AC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2" w:type="dxa"/>
            <w:tcBorders>
              <w:top w:val="nil"/>
              <w:left w:val="nil"/>
              <w:bottom w:val="nil"/>
              <w:right w:val="nil"/>
            </w:tcBorders>
            <w:shd w:val="clear" w:color="auto" w:fill="FFFFFF"/>
            <w:noWrap w:val="0"/>
            <w:tcMar>
              <w:top w:w="100" w:type="dxa"/>
              <w:left w:w="-1" w:type="dxa"/>
              <w:bottom w:w="100" w:type="dxa"/>
              <w:right w:w="160" w:type="dxa"/>
            </w:tcMar>
            <w:vAlign w:val="center"/>
          </w:tcPr>
          <w:p w14:paraId="43CBFB5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市场异动</w:t>
            </w:r>
          </w:p>
        </w:tc>
        <w:tc>
          <w:tcPr>
            <w:tcW w:w="122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CE7DA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市场单日跌幅&gt;3%</w:t>
            </w:r>
          </w:p>
        </w:tc>
        <w:tc>
          <w:tcPr>
            <w:tcW w:w="291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42D3CA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查看平台“市场异动”提示→准备安抚话术→主动联系客户</w:t>
            </w:r>
          </w:p>
        </w:tc>
        <w:tc>
          <w:tcPr>
            <w:tcW w:w="3371" w:type="dxa"/>
            <w:tcBorders>
              <w:top w:val="nil"/>
              <w:left w:val="nil"/>
              <w:bottom w:val="nil"/>
              <w:right w:val="nil"/>
            </w:tcBorders>
            <w:shd w:val="clear" w:color="auto" w:fill="FFFFFF"/>
            <w:noWrap w:val="0"/>
            <w:tcMar>
              <w:top w:w="100" w:type="dxa"/>
              <w:left w:w="160" w:type="dxa"/>
              <w:bottom w:w="100" w:type="dxa"/>
              <w:right w:w="-1" w:type="dxa"/>
            </w:tcMar>
            <w:vAlign w:val="center"/>
          </w:tcPr>
          <w:p w14:paraId="1E54E19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“今天市场大跌，但我们组合的回撤控制在了[实际回撤]%，远低于市场平均”</w:t>
            </w:r>
          </w:p>
        </w:tc>
      </w:tr>
      <w:tr w14:paraId="16E0B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2"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306AE0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定期检视</w:t>
            </w:r>
          </w:p>
        </w:tc>
        <w:tc>
          <w:tcPr>
            <w:tcW w:w="122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723AE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每季度</w:t>
            </w:r>
          </w:p>
        </w:tc>
        <w:tc>
          <w:tcPr>
            <w:tcW w:w="291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371871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生成客户持仓诊断报告→预约客户面谈→回顾组合表现</w:t>
            </w:r>
          </w:p>
        </w:tc>
        <w:tc>
          <w:tcPr>
            <w:tcW w:w="3371"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138C67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“过去一季度您的组合收益[X]%，最大回撤[Y]%，整体运行符合预期”</w:t>
            </w:r>
          </w:p>
        </w:tc>
      </w:tr>
    </w:tbl>
    <w:p w14:paraId="52E4FE15">
      <w:pPr>
        <w:numPr>
          <w:ilvl w:val="0"/>
          <w:numId w:val="37"/>
        </w:numPr>
        <w:ind w:left="845" w:leftChars="0" w:hanging="425" w:firstLineChars="0"/>
        <w:outlineLvl w:val="1"/>
        <w:rPr>
          <w:rFonts w:hint="default" w:ascii="楷体" w:hAnsi="楷体" w:eastAsia="楷体" w:cs="楷体"/>
          <w:sz w:val="28"/>
          <w:szCs w:val="28"/>
          <w:lang w:val="en-US" w:eastAsia="zh-CN"/>
        </w:rPr>
      </w:pPr>
      <w:bookmarkStart w:id="109" w:name="_Toc24918"/>
      <w:r>
        <w:rPr>
          <w:rFonts w:hint="default" w:ascii="楷体" w:hAnsi="楷体" w:eastAsia="楷体" w:cs="楷体"/>
          <w:sz w:val="28"/>
          <w:szCs w:val="28"/>
          <w:lang w:val="en-US" w:eastAsia="zh-CN"/>
        </w:rPr>
        <w:t>关键场景话术模板</w:t>
      </w:r>
      <w:bookmarkEnd w:id="109"/>
    </w:p>
    <w:p w14:paraId="55E48F6A">
      <w:pPr>
        <w:keepNext w:val="0"/>
        <w:keepLines w:val="0"/>
        <w:pageBreakBefore w:val="0"/>
        <w:widowControl w:val="0"/>
        <w:numPr>
          <w:ilvl w:val="0"/>
          <w:numId w:val="38"/>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110" w:name="_Toc5217"/>
      <w:r>
        <w:rPr>
          <w:rFonts w:hint="eastAsia" w:asciiTheme="minorEastAsia" w:hAnsiTheme="minorEastAsia" w:cstheme="minorEastAsia"/>
          <w:sz w:val="24"/>
          <w:szCs w:val="24"/>
          <w:lang w:val="en-US" w:eastAsia="zh-CN"/>
        </w:rPr>
        <w:t>场景一：市场暴跌时安抚客户</w:t>
      </w:r>
      <w:bookmarkEnd w:id="110"/>
    </w:p>
    <w:p w14:paraId="7D4046B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王先生，今天市场跌幅较大（沪深300跌了[X]%），但您的[风险档位]组合今天只跌了[Y]%，远小于市场平均。我们在月初的调仓中已经把权益仓位从[旧比例]%降到了[新比例]%，所以这一轮下跌对您的影响控制在较小范围内。建议您保持耐心，我们会持续跟踪市场变化，在合适的时机为您调整。</w:t>
      </w:r>
    </w:p>
    <w:p w14:paraId="75C92AD3">
      <w:pPr>
        <w:keepNext w:val="0"/>
        <w:keepLines w:val="0"/>
        <w:pageBreakBefore w:val="0"/>
        <w:widowControl w:val="0"/>
        <w:numPr>
          <w:ilvl w:val="0"/>
          <w:numId w:val="38"/>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111" w:name="_Toc14479"/>
      <w:r>
        <w:rPr>
          <w:rFonts w:hint="eastAsia" w:asciiTheme="minorEastAsia" w:hAnsiTheme="minorEastAsia" w:cstheme="minorEastAsia"/>
          <w:sz w:val="24"/>
          <w:szCs w:val="24"/>
          <w:lang w:val="en-US" w:eastAsia="zh-CN"/>
        </w:rPr>
        <w:t>场景二：客户质疑“为什么没买某只大涨的ETF”</w:t>
      </w:r>
      <w:bookmarkEnd w:id="111"/>
    </w:p>
    <w:p w14:paraId="342F01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李女士，您提到的[某ETF]最近确实涨得很好。但我们的策略追求的是‘稳稳的幸福’——通过分散配置和仓位择时，在控制回撤的前提下获取合理收益。单只ETF大涨往往也伴随大跌风险，我们更关注您组合整体的长期稳健表现。从回测数据看，过去11年我们的策略年化收益[X]%，最大回撤仅[Y]%，这个风险收益比在同类策略中是最优的。</w:t>
      </w:r>
    </w:p>
    <w:p w14:paraId="5B2EB387">
      <w:pPr>
        <w:keepNext w:val="0"/>
        <w:keepLines w:val="0"/>
        <w:pageBreakBefore w:val="0"/>
        <w:widowControl w:val="0"/>
        <w:numPr>
          <w:ilvl w:val="0"/>
          <w:numId w:val="38"/>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112" w:name="_Toc16138"/>
      <w:r>
        <w:rPr>
          <w:rFonts w:hint="eastAsia" w:asciiTheme="minorEastAsia" w:hAnsiTheme="minorEastAsia" w:cstheme="minorEastAsia"/>
          <w:sz w:val="24"/>
          <w:szCs w:val="24"/>
          <w:lang w:val="en-US" w:eastAsia="zh-CN"/>
        </w:rPr>
        <w:t>引导客户完成画像问卷</w:t>
      </w:r>
      <w:bookmarkEnd w:id="112"/>
    </w:p>
    <w:p w14:paraId="6763D78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张先生，为了更好地为您匹配适合的配置方案，请您花3-5分钟完成这15道题。这些问题主要了解您的收入、投资期限和风险偏好——就像医生开药前要先问诊一样，我们需要先了解您的‘投资体质’，才能开出最适合您的‘配置处方’。</w:t>
      </w:r>
    </w:p>
    <w:p w14:paraId="24E0728A">
      <w:pPr>
        <w:numPr>
          <w:ilvl w:val="0"/>
          <w:numId w:val="37"/>
        </w:numPr>
        <w:ind w:left="845" w:leftChars="0" w:hanging="425" w:firstLineChars="0"/>
        <w:outlineLvl w:val="1"/>
        <w:rPr>
          <w:rFonts w:hint="default" w:ascii="楷体" w:hAnsi="楷体" w:eastAsia="楷体" w:cs="楷体"/>
          <w:sz w:val="28"/>
          <w:szCs w:val="28"/>
          <w:lang w:val="en-US" w:eastAsia="zh-CN"/>
        </w:rPr>
      </w:pPr>
      <w:bookmarkStart w:id="113" w:name="_Toc4533"/>
      <w:r>
        <w:rPr>
          <w:rFonts w:hint="default" w:ascii="楷体" w:hAnsi="楷体" w:eastAsia="楷体" w:cs="楷体"/>
          <w:sz w:val="28"/>
          <w:szCs w:val="28"/>
          <w:lang w:val="en-US" w:eastAsia="zh-CN"/>
        </w:rPr>
        <w:t>异议处理指南</w:t>
      </w:r>
      <w:bookmarkEnd w:id="113"/>
    </w:p>
    <w:p w14:paraId="1400928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异常处理指南</w:t>
      </w:r>
    </w:p>
    <w:tbl>
      <w:tblPr>
        <w:tblStyle w:val="13"/>
        <w:tblW w:w="84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78"/>
        <w:gridCol w:w="7288"/>
      </w:tblGrid>
      <w:tr w14:paraId="7C0A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793C1B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客户异议</w:t>
            </w:r>
          </w:p>
        </w:tc>
        <w:tc>
          <w:tcPr>
            <w:tcW w:w="7288"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60" w:type="dxa"/>
            </w:tcMar>
            <w:vAlign w:val="center"/>
          </w:tcPr>
          <w:p w14:paraId="120089F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标准回应</w:t>
            </w:r>
          </w:p>
        </w:tc>
      </w:tr>
      <w:tr w14:paraId="44B60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5D30AD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“我自己炒股就行，不用配置”</w:t>
            </w:r>
          </w:p>
        </w:tc>
        <w:tc>
          <w:tcPr>
            <w:tcW w:w="7288"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56A28A3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“个股波动很大，而且选股需要大量专业研究。我们的策略是通过7只ETF分散配置，覆盖不同资产类别，在控制风险的同时获取市场平均以上的收益。您可以把专业的事交给模型，把时间留给生活。”</w:t>
            </w:r>
          </w:p>
        </w:tc>
      </w:tr>
      <w:tr w14:paraId="144E9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6AEA113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“现在市场不好，先不投了”</w:t>
            </w:r>
          </w:p>
        </w:tc>
        <w:tc>
          <w:tcPr>
            <w:tcW w:w="7288"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342C9F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市场不好的时候反而是布局的好时机——我们的估值维度会在市场便宜时给出高分信号。完全空仓可能错过反弹，完全满仓又怕继续下跌。我们的动态策略会根据市场状态自动调整仓位，帮您‘在别人恐惧时贪婪、在别人贪婪时恐惧’。”</w:t>
            </w:r>
          </w:p>
        </w:tc>
      </w:tr>
      <w:tr w14:paraId="0D0BF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78" w:type="dxa"/>
            <w:tcBorders>
              <w:top w:val="single" w:color="auto" w:sz="4" w:space="0"/>
              <w:left w:val="single" w:color="auto" w:sz="4" w:space="0"/>
              <w:bottom w:val="single" w:color="auto" w:sz="4" w:space="0"/>
              <w:right w:val="nil"/>
            </w:tcBorders>
            <w:shd w:val="clear" w:color="auto" w:fill="FFFFFF"/>
            <w:noWrap w:val="0"/>
            <w:tcMar>
              <w:top w:w="100" w:type="dxa"/>
              <w:left w:w="-1" w:type="dxa"/>
              <w:bottom w:w="100" w:type="dxa"/>
              <w:right w:w="160" w:type="dxa"/>
            </w:tcMar>
            <w:vAlign w:val="center"/>
          </w:tcPr>
          <w:p w14:paraId="51F001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“费用怎么算？”</w:t>
            </w:r>
          </w:p>
        </w:tc>
        <w:tc>
          <w:tcPr>
            <w:tcW w:w="7288" w:type="dxa"/>
            <w:tcBorders>
              <w:top w:val="single" w:color="auto" w:sz="4" w:space="0"/>
              <w:left w:val="single" w:color="auto" w:sz="4" w:space="0"/>
              <w:bottom w:val="single" w:color="auto" w:sz="4" w:space="0"/>
              <w:right w:val="single" w:color="auto" w:sz="4" w:space="0"/>
            </w:tcBorders>
            <w:shd w:val="clear" w:color="auto" w:fill="FFFFFF"/>
            <w:noWrap w:val="0"/>
            <w:tcMar>
              <w:top w:w="100" w:type="dxa"/>
              <w:left w:w="160" w:type="dxa"/>
              <w:bottom w:w="100" w:type="dxa"/>
              <w:right w:w="-1" w:type="dxa"/>
            </w:tcMar>
            <w:vAlign w:val="center"/>
          </w:tcPr>
          <w:p w14:paraId="36B868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“我们配置的都是低费率ETF，管理费+托管费合计仅0.20%-0.60%/年，远低于主动型基金1.2%的水平。调仓产生的交易成本也已计入回测，不会出现‘回测好看、实盘亏钱’的情况。”</w:t>
            </w:r>
          </w:p>
        </w:tc>
      </w:tr>
    </w:tbl>
    <w:p w14:paraId="56FA7BC2">
      <w:pPr>
        <w:numPr>
          <w:ilvl w:val="0"/>
          <w:numId w:val="33"/>
        </w:numPr>
        <w:ind w:left="0" w:leftChars="0" w:firstLine="420" w:firstLineChars="0"/>
        <w:outlineLvl w:val="0"/>
        <w:rPr>
          <w:rFonts w:hint="default" w:ascii="黑体" w:hAnsi="黑体" w:eastAsia="黑体" w:cs="黑体"/>
          <w:sz w:val="30"/>
          <w:szCs w:val="30"/>
          <w:lang w:val="en-US" w:eastAsia="zh-CN"/>
        </w:rPr>
      </w:pPr>
      <w:bookmarkStart w:id="114" w:name="_Toc27084"/>
      <w:r>
        <w:rPr>
          <w:rFonts w:hint="default" w:ascii="黑体" w:hAnsi="黑体" w:eastAsia="黑体" w:cs="黑体"/>
          <w:sz w:val="30"/>
          <w:szCs w:val="30"/>
          <w:lang w:val="en-US" w:eastAsia="zh-CN"/>
        </w:rPr>
        <w:t>银行系统对接预留方案</w:t>
      </w:r>
      <w:bookmarkEnd w:id="114"/>
    </w:p>
    <w:p w14:paraId="3FE22D8D">
      <w:pPr>
        <w:numPr>
          <w:ilvl w:val="0"/>
          <w:numId w:val="39"/>
        </w:numPr>
        <w:ind w:left="845" w:leftChars="0" w:hanging="425" w:firstLineChars="0"/>
        <w:outlineLvl w:val="1"/>
        <w:rPr>
          <w:rFonts w:hint="default" w:ascii="黑体" w:hAnsi="黑体" w:eastAsia="黑体" w:cs="黑体"/>
          <w:sz w:val="30"/>
          <w:szCs w:val="30"/>
          <w:lang w:val="en-US" w:eastAsia="zh-CN"/>
        </w:rPr>
      </w:pPr>
      <w:bookmarkStart w:id="115" w:name="_Toc10739"/>
      <w:r>
        <w:rPr>
          <w:rFonts w:hint="default" w:ascii="楷体" w:hAnsi="楷体" w:eastAsia="楷体" w:cs="楷体"/>
          <w:sz w:val="28"/>
          <w:szCs w:val="28"/>
          <w:lang w:val="en-US" w:eastAsia="zh-CN"/>
        </w:rPr>
        <w:t> 对接架构</w:t>
      </w:r>
      <w:bookmarkEnd w:id="115"/>
    </w:p>
    <w:p w14:paraId="528E2F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平台与银行系统的对接采用“轻量化预留接口”设计，不依赖银行核心系统改造即可运行：</w:t>
      </w:r>
    </w:p>
    <w:p w14:paraId="3787C5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drawing>
          <wp:inline distT="0" distB="0" distL="114300" distR="114300">
            <wp:extent cx="5250815" cy="4719320"/>
            <wp:effectExtent l="0" t="0" r="6985" b="5080"/>
            <wp:docPr id="5" name="图片 5" descr="ef5bdf6d1f41a6d357feae90c94a8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f5bdf6d1f41a6d357feae90c94a8758"/>
                    <pic:cNvPicPr>
                      <a:picLocks noChangeAspect="1"/>
                    </pic:cNvPicPr>
                  </pic:nvPicPr>
                  <pic:blipFill>
                    <a:blip r:embed="rId13"/>
                    <a:stretch>
                      <a:fillRect/>
                    </a:stretch>
                  </pic:blipFill>
                  <pic:spPr>
                    <a:xfrm>
                      <a:off x="0" y="0"/>
                      <a:ext cx="5250815" cy="4719320"/>
                    </a:xfrm>
                    <a:prstGeom prst="rect">
                      <a:avLst/>
                    </a:prstGeom>
                  </pic:spPr>
                </pic:pic>
              </a:graphicData>
            </a:graphic>
          </wp:inline>
        </w:drawing>
      </w:r>
    </w:p>
    <w:p w14:paraId="12701AC2">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图 </w:t>
      </w:r>
      <w:r>
        <w:rPr>
          <w:rFonts w:hint="eastAsia" w:asciiTheme="minorEastAsia" w:hAnsiTheme="minorEastAsia" w:eastAsiaTheme="minorEastAsia" w:cstheme="minorEastAsia"/>
          <w:sz w:val="24"/>
          <w:szCs w:val="24"/>
          <w:lang w:val="en-US" w:eastAsia="zh-CN"/>
        </w:rPr>
        <w:t>6</w:t>
      </w:r>
      <w:bookmarkStart w:id="137" w:name="_GoBack"/>
      <w:bookmarkEnd w:id="137"/>
      <w:r>
        <w:rPr>
          <w:rFonts w:hint="eastAsia" w:asciiTheme="minorEastAsia" w:hAnsiTheme="minorEastAsia" w:eastAsiaTheme="minorEastAsia" w:cstheme="minorEastAsia"/>
          <w:sz w:val="24"/>
          <w:szCs w:val="24"/>
          <w:lang w:val="en-US" w:eastAsia="zh-CN"/>
        </w:rPr>
        <w:t xml:space="preserve"> 银行对接流程图</w:t>
      </w:r>
    </w:p>
    <w:p w14:paraId="67CDF050">
      <w:pPr>
        <w:numPr>
          <w:ilvl w:val="0"/>
          <w:numId w:val="39"/>
        </w:numPr>
        <w:ind w:left="845" w:leftChars="0" w:hanging="425" w:firstLineChars="0"/>
        <w:outlineLvl w:val="1"/>
        <w:rPr>
          <w:rFonts w:hint="default" w:ascii="楷体" w:hAnsi="楷体" w:eastAsia="楷体" w:cs="楷体"/>
          <w:sz w:val="28"/>
          <w:szCs w:val="28"/>
          <w:lang w:val="en-US" w:eastAsia="zh-CN"/>
        </w:rPr>
      </w:pPr>
      <w:bookmarkStart w:id="116" w:name="_Toc9769"/>
      <w:r>
        <w:rPr>
          <w:rFonts w:hint="default" w:ascii="楷体" w:hAnsi="楷体" w:eastAsia="楷体" w:cs="楷体"/>
          <w:sz w:val="28"/>
          <w:szCs w:val="28"/>
          <w:lang w:val="en-US" w:eastAsia="zh-CN"/>
        </w:rPr>
        <w:t>对接方式</w:t>
      </w:r>
      <w:bookmarkEnd w:id="116"/>
    </w:p>
    <w:p w14:paraId="5AE0676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对接方式</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68"/>
        <w:gridCol w:w="1531"/>
        <w:gridCol w:w="6123"/>
      </w:tblGrid>
      <w:tr w14:paraId="0F0D4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868"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6EF7E2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对接层级</w:t>
            </w:r>
          </w:p>
        </w:tc>
        <w:tc>
          <w:tcPr>
            <w:tcW w:w="1531"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BB210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方式</w:t>
            </w:r>
          </w:p>
        </w:tc>
        <w:tc>
          <w:tcPr>
            <w:tcW w:w="612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CE4E03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说明</w:t>
            </w:r>
          </w:p>
        </w:tc>
      </w:tr>
      <w:tr w14:paraId="114EB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68"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10CCC4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数据层</w:t>
            </w:r>
          </w:p>
        </w:tc>
        <w:tc>
          <w:tcPr>
            <w:tcW w:w="1531"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5EFEB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手动导入/API</w:t>
            </w:r>
          </w:p>
        </w:tc>
        <w:tc>
          <w:tcPr>
            <w:tcW w:w="6123"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798979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理财经理手动输入客户持仓，或通过API读取持仓数据（需银行开放接口）</w:t>
            </w:r>
          </w:p>
        </w:tc>
      </w:tr>
      <w:tr w14:paraId="6C43D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68" w:type="dxa"/>
            <w:tcBorders>
              <w:top w:val="nil"/>
              <w:left w:val="nil"/>
              <w:bottom w:val="nil"/>
              <w:right w:val="nil"/>
            </w:tcBorders>
            <w:shd w:val="clear" w:color="auto" w:fill="FFFFFF"/>
            <w:noWrap w:val="0"/>
            <w:tcMar>
              <w:top w:w="100" w:type="dxa"/>
              <w:left w:w="-1" w:type="dxa"/>
              <w:bottom w:w="100" w:type="dxa"/>
              <w:right w:w="160" w:type="dxa"/>
            </w:tcMar>
            <w:vAlign w:val="center"/>
          </w:tcPr>
          <w:p w14:paraId="350034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展示层</w:t>
            </w:r>
          </w:p>
        </w:tc>
        <w:tc>
          <w:tcPr>
            <w:tcW w:w="1531"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AE157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H5嵌入</w:t>
            </w:r>
          </w:p>
        </w:tc>
        <w:tc>
          <w:tcPr>
            <w:tcW w:w="6123" w:type="dxa"/>
            <w:tcBorders>
              <w:top w:val="nil"/>
              <w:left w:val="nil"/>
              <w:bottom w:val="nil"/>
              <w:right w:val="nil"/>
            </w:tcBorders>
            <w:shd w:val="clear" w:color="auto" w:fill="FFFFFF"/>
            <w:noWrap w:val="0"/>
            <w:tcMar>
              <w:top w:w="100" w:type="dxa"/>
              <w:left w:w="160" w:type="dxa"/>
              <w:bottom w:w="100" w:type="dxa"/>
              <w:right w:w="-1" w:type="dxa"/>
            </w:tcMar>
            <w:vAlign w:val="center"/>
          </w:tcPr>
          <w:p w14:paraId="27AAE7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平台页面以H5形式嵌入农行掌银，客户完成画像问卷后直接展示配置建议</w:t>
            </w:r>
          </w:p>
        </w:tc>
      </w:tr>
      <w:tr w14:paraId="11FF0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68"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6EC312F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交易层</w:t>
            </w:r>
          </w:p>
        </w:tc>
        <w:tc>
          <w:tcPr>
            <w:tcW w:w="153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DD832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手动执行/一键调仓</w:t>
            </w:r>
          </w:p>
        </w:tc>
        <w:tc>
          <w:tcPr>
            <w:tcW w:w="6123"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CDBFC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当前为“建议+确认”模式——客户确认调仓后，自行在APP内执行交易；预留一键调仓API接口</w:t>
            </w:r>
          </w:p>
        </w:tc>
      </w:tr>
    </w:tbl>
    <w:p w14:paraId="0DAA8FD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当前方案采用“建议+确认”模式，客户在APP内查看调仓建议后自行确认执行。一键调仓功能需银行开放交易接口，作为二期规划预留。</w:t>
      </w:r>
    </w:p>
    <w:p w14:paraId="524936D1">
      <w:pPr>
        <w:numPr>
          <w:ilvl w:val="0"/>
          <w:numId w:val="39"/>
        </w:numPr>
        <w:ind w:left="845" w:leftChars="0" w:hanging="425" w:firstLineChars="0"/>
        <w:outlineLvl w:val="1"/>
        <w:rPr>
          <w:rFonts w:hint="default" w:ascii="楷体" w:hAnsi="楷体" w:eastAsia="楷体" w:cs="楷体"/>
          <w:sz w:val="28"/>
          <w:szCs w:val="28"/>
          <w:lang w:val="en-US" w:eastAsia="zh-CN"/>
        </w:rPr>
      </w:pPr>
      <w:bookmarkStart w:id="117" w:name="_Toc31162"/>
      <w:r>
        <w:rPr>
          <w:rFonts w:hint="default" w:ascii="楷体" w:hAnsi="楷体" w:eastAsia="楷体" w:cs="楷体"/>
          <w:sz w:val="28"/>
          <w:szCs w:val="28"/>
          <w:lang w:val="en-US" w:eastAsia="zh-CN"/>
        </w:rPr>
        <w:t>数据安全与合规</w:t>
      </w:r>
      <w:bookmarkEnd w:id="117"/>
    </w:p>
    <w:p w14:paraId="41C50A0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数据安全维护措施</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19"/>
        <w:gridCol w:w="7503"/>
      </w:tblGrid>
      <w:tr w14:paraId="6CDFC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019"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DBE7403">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维度</w:t>
            </w:r>
          </w:p>
        </w:tc>
        <w:tc>
          <w:tcPr>
            <w:tcW w:w="750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83B182E">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措施</w:t>
            </w:r>
          </w:p>
        </w:tc>
      </w:tr>
      <w:tr w14:paraId="53DCB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9"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030DF8F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客户数据</w:t>
            </w:r>
          </w:p>
        </w:tc>
        <w:tc>
          <w:tcPr>
            <w:tcW w:w="7503"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62175B7F">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平台不存储客户真实身份信息，仅存储脱敏后的风险画像结果</w:t>
            </w:r>
          </w:p>
        </w:tc>
      </w:tr>
      <w:tr w14:paraId="6B0C2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9" w:type="dxa"/>
            <w:tcBorders>
              <w:top w:val="nil"/>
              <w:left w:val="nil"/>
              <w:bottom w:val="nil"/>
              <w:right w:val="nil"/>
            </w:tcBorders>
            <w:shd w:val="clear" w:color="auto" w:fill="FFFFFF"/>
            <w:noWrap w:val="0"/>
            <w:tcMar>
              <w:top w:w="100" w:type="dxa"/>
              <w:left w:w="-1" w:type="dxa"/>
              <w:bottom w:w="100" w:type="dxa"/>
              <w:right w:w="160" w:type="dxa"/>
            </w:tcMar>
            <w:vAlign w:val="center"/>
          </w:tcPr>
          <w:p w14:paraId="09C70A35">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持仓数据</w:t>
            </w:r>
          </w:p>
        </w:tc>
        <w:tc>
          <w:tcPr>
            <w:tcW w:w="7503" w:type="dxa"/>
            <w:tcBorders>
              <w:top w:val="nil"/>
              <w:left w:val="nil"/>
              <w:bottom w:val="nil"/>
              <w:right w:val="nil"/>
            </w:tcBorders>
            <w:shd w:val="clear" w:color="auto" w:fill="FFFFFF"/>
            <w:noWrap w:val="0"/>
            <w:tcMar>
              <w:top w:w="100" w:type="dxa"/>
              <w:left w:w="160" w:type="dxa"/>
              <w:bottom w:w="100" w:type="dxa"/>
              <w:right w:w="-1" w:type="dxa"/>
            </w:tcMar>
            <w:vAlign w:val="center"/>
          </w:tcPr>
          <w:p w14:paraId="6C3DCFDE">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调仓建议仅基于市场信号生成，不涉及客户具体持仓金额</w:t>
            </w:r>
          </w:p>
        </w:tc>
      </w:tr>
      <w:tr w14:paraId="657AD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9" w:type="dxa"/>
            <w:tcBorders>
              <w:top w:val="nil"/>
              <w:left w:val="nil"/>
              <w:bottom w:val="nil"/>
              <w:right w:val="nil"/>
            </w:tcBorders>
            <w:shd w:val="clear" w:color="auto" w:fill="FFFFFF"/>
            <w:noWrap w:val="0"/>
            <w:tcMar>
              <w:top w:w="100" w:type="dxa"/>
              <w:left w:w="-1" w:type="dxa"/>
              <w:bottom w:w="100" w:type="dxa"/>
              <w:right w:w="160" w:type="dxa"/>
            </w:tcMar>
            <w:vAlign w:val="center"/>
          </w:tcPr>
          <w:p w14:paraId="4356738A">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合规底线</w:t>
            </w:r>
          </w:p>
        </w:tc>
        <w:tc>
          <w:tcPr>
            <w:tcW w:w="7503" w:type="dxa"/>
            <w:tcBorders>
              <w:top w:val="nil"/>
              <w:left w:val="nil"/>
              <w:bottom w:val="nil"/>
              <w:right w:val="nil"/>
            </w:tcBorders>
            <w:shd w:val="clear" w:color="auto" w:fill="FFFFFF"/>
            <w:noWrap w:val="0"/>
            <w:tcMar>
              <w:top w:w="100" w:type="dxa"/>
              <w:left w:w="160" w:type="dxa"/>
              <w:bottom w:w="100" w:type="dxa"/>
              <w:right w:w="-1" w:type="dxa"/>
            </w:tcMar>
            <w:vAlign w:val="center"/>
          </w:tcPr>
          <w:p w14:paraId="1DD4EA85">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平台输出“建议”而非“指令”，最终交易决策由客户在APP内确认执行；遵循《办法》“孰高原则”进行风险匹配</w:t>
            </w:r>
          </w:p>
        </w:tc>
      </w:tr>
      <w:tr w14:paraId="291C3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09FA373">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适当性管理</w:t>
            </w:r>
          </w:p>
        </w:tc>
        <w:tc>
          <w:tcPr>
            <w:tcW w:w="7503"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126C8101">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配置建议严格匹配客户风险等级，不向C1客户推荐本策略，不向C2客户推荐进取型方案</w:t>
            </w:r>
          </w:p>
        </w:tc>
      </w:tr>
    </w:tbl>
    <w:p w14:paraId="3AF32C54">
      <w:pPr>
        <w:numPr>
          <w:ilvl w:val="0"/>
          <w:numId w:val="1"/>
        </w:numPr>
        <w:ind w:left="-210" w:leftChars="0" w:firstLine="420" w:firstLineChars="0"/>
        <w:outlineLvl w:val="2"/>
        <w:rPr>
          <w:rFonts w:hint="eastAsia" w:ascii="黑体" w:hAnsi="黑体" w:eastAsia="黑体" w:cs="黑体"/>
          <w:sz w:val="32"/>
          <w:szCs w:val="32"/>
          <w:lang w:val="en-US" w:eastAsia="zh-CN"/>
        </w:rPr>
      </w:pPr>
      <w:bookmarkStart w:id="118" w:name="_Toc27615"/>
      <w:r>
        <w:rPr>
          <w:rFonts w:hint="default" w:ascii="黑体" w:hAnsi="黑体" w:eastAsia="黑体" w:cs="黑体"/>
          <w:sz w:val="32"/>
          <w:szCs w:val="32"/>
          <w:lang w:val="en-US" w:eastAsia="zh-CN"/>
        </w:rPr>
        <w:t>总结与展望</w:t>
      </w:r>
      <w:bookmarkEnd w:id="118"/>
    </w:p>
    <w:p w14:paraId="32A3930F">
      <w:pPr>
        <w:numPr>
          <w:ilvl w:val="0"/>
          <w:numId w:val="40"/>
        </w:numPr>
        <w:ind w:left="0" w:leftChars="0" w:firstLine="420" w:firstLineChars="0"/>
        <w:outlineLvl w:val="0"/>
        <w:rPr>
          <w:rFonts w:hint="default" w:ascii="黑体" w:hAnsi="黑体" w:eastAsia="黑体" w:cs="黑体"/>
          <w:sz w:val="30"/>
          <w:szCs w:val="30"/>
          <w:lang w:val="en-US" w:eastAsia="zh-CN"/>
        </w:rPr>
      </w:pPr>
      <w:bookmarkStart w:id="119" w:name="_Toc16024"/>
      <w:r>
        <w:rPr>
          <w:rFonts w:hint="default" w:ascii="黑体" w:hAnsi="黑体" w:eastAsia="黑体" w:cs="黑体"/>
          <w:sz w:val="30"/>
          <w:szCs w:val="30"/>
          <w:lang w:val="en-US" w:eastAsia="zh-CN"/>
        </w:rPr>
        <w:t>核心贡献</w:t>
      </w:r>
      <w:bookmarkEnd w:id="119"/>
    </w:p>
    <w:p w14:paraId="33645B2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本项目围绕“不同市场环境下的指数型基金动态配置策略设计”这一赛题，构建形成了从数据基建、环境识别、策略构建到回测验证、服务落地的完整研究闭环。核心贡献主要包括以下五个方面：</w:t>
      </w:r>
    </w:p>
    <w:p w14:paraId="0A20822F">
      <w:pPr>
        <w:numPr>
          <w:ilvl w:val="0"/>
          <w:numId w:val="41"/>
        </w:numPr>
        <w:ind w:left="845" w:leftChars="0" w:hanging="425" w:firstLineChars="0"/>
        <w:outlineLvl w:val="1"/>
        <w:rPr>
          <w:rFonts w:hint="eastAsia" w:ascii="楷体" w:hAnsi="楷体" w:eastAsia="楷体" w:cs="楷体"/>
          <w:sz w:val="28"/>
          <w:szCs w:val="28"/>
          <w:lang w:val="en-US" w:eastAsia="zh-CN"/>
        </w:rPr>
      </w:pPr>
      <w:bookmarkStart w:id="120" w:name="_Toc15334"/>
      <w:r>
        <w:rPr>
          <w:rFonts w:hint="default" w:ascii="楷体" w:hAnsi="楷体" w:eastAsia="楷体" w:cs="楷体"/>
          <w:sz w:val="28"/>
          <w:szCs w:val="28"/>
          <w:lang w:val="en-US" w:eastAsia="zh-CN"/>
        </w:rPr>
        <w:t>构建了可解释的四维市场环境评分系统</w:t>
      </w:r>
      <w:bookmarkEnd w:id="120"/>
    </w:p>
    <w:p w14:paraId="68E157F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项目从估值、宏观、情绪、趋势四个维度构建市场环境评分系统，各维度权重分别为25%、25%、20%、30%，可将复杂市场信息映射为“上行—震荡偏强—震荡—下行—极寒”五档状态标签。权重敏感性验证结果显示：在±5%范围内进行100次随机扰动后，状态标签一致率达94.3%，最低一致率仍为89.2%，说明所得结论对权重选择不敏感</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。该系统可将量化信号转化为理财经理与客户均可理解的市场语言，解决了传统量化策略的“黑箱”问题。</w:t>
      </w:r>
    </w:p>
    <w:p w14:paraId="49E91D0C">
      <w:pPr>
        <w:numPr>
          <w:ilvl w:val="0"/>
          <w:numId w:val="41"/>
        </w:numPr>
        <w:ind w:left="845" w:leftChars="0" w:hanging="425" w:firstLineChars="0"/>
        <w:outlineLvl w:val="1"/>
        <w:rPr>
          <w:rFonts w:hint="eastAsia" w:ascii="楷体" w:hAnsi="楷体" w:eastAsia="楷体" w:cs="楷体"/>
          <w:sz w:val="28"/>
          <w:szCs w:val="28"/>
          <w:lang w:val="en-US" w:eastAsia="zh-CN"/>
        </w:rPr>
      </w:pPr>
      <w:bookmarkStart w:id="121" w:name="_Toc20671"/>
      <w:r>
        <w:rPr>
          <w:rFonts w:hint="default" w:ascii="楷体" w:hAnsi="楷体" w:eastAsia="楷体" w:cs="楷体"/>
          <w:sz w:val="28"/>
          <w:szCs w:val="28"/>
          <w:lang w:val="en-US" w:eastAsia="zh-CN"/>
        </w:rPr>
        <w:t>验证了“市场状态分类→差异化配置”的核心逻辑</w:t>
      </w:r>
      <w:bookmarkEnd w:id="121"/>
    </w:p>
    <w:p w14:paraId="31B2873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回测数据显示：在2021年后的长期震荡市中（1307个交易日，占回测区间一半），动态评分策略累计收益为34.4%，LGB融合策略累计收益为37.1%，等权策略累计收益仅为7.5%</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。在2015年股灾中，动态评分策略最大回撤为-13.4%，仅为等权策略（-35.3%）的三分之一</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。上述结果充分表明：通过精准识别市场状态并据此调整配置，能够在投资者承压显著的行情中持续获取超额收益，并在极端下跌行情中对投资组合形成有效保护。</w:t>
      </w:r>
    </w:p>
    <w:p w14:paraId="196760F7">
      <w:pPr>
        <w:numPr>
          <w:ilvl w:val="0"/>
          <w:numId w:val="41"/>
        </w:numPr>
        <w:ind w:left="845" w:leftChars="0" w:hanging="425" w:firstLineChars="0"/>
        <w:outlineLvl w:val="1"/>
        <w:rPr>
          <w:rFonts w:hint="eastAsia" w:ascii="楷体" w:hAnsi="楷体" w:eastAsia="楷体" w:cs="楷体"/>
          <w:sz w:val="28"/>
          <w:szCs w:val="28"/>
          <w:lang w:val="en-US" w:eastAsia="zh-CN"/>
        </w:rPr>
      </w:pPr>
      <w:bookmarkStart w:id="122" w:name="_Toc25691"/>
      <w:r>
        <w:rPr>
          <w:rFonts w:hint="default" w:ascii="楷体" w:hAnsi="楷体" w:eastAsia="楷体" w:cs="楷体"/>
          <w:sz w:val="28"/>
          <w:szCs w:val="28"/>
          <w:lang w:val="en-US" w:eastAsia="zh-CN"/>
        </w:rPr>
        <w:t>系统比较了三条技术路线，得出明确的方法论结论</w:t>
      </w:r>
      <w:bookmarkEnd w:id="122"/>
    </w:p>
    <w:p w14:paraId="4C04395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本项目</w:t>
      </w:r>
      <w:r>
        <w:rPr>
          <w:rFonts w:hint="eastAsia" w:asciiTheme="minorEastAsia" w:hAnsiTheme="minorEastAsia" w:cstheme="minorEastAsia"/>
          <w:sz w:val="24"/>
          <w:szCs w:val="24"/>
          <w:lang w:val="en-US" w:eastAsia="zh-CN"/>
        </w:rPr>
        <w:t>基于</w:t>
      </w:r>
      <w:r>
        <w:rPr>
          <w:rFonts w:hint="default" w:asciiTheme="minorEastAsia" w:hAnsiTheme="minorEastAsia" w:cstheme="minorEastAsia"/>
          <w:sz w:val="24"/>
          <w:szCs w:val="24"/>
          <w:lang w:val="en-US" w:eastAsia="zh-CN"/>
        </w:rPr>
        <w:t>同一数据</w:t>
      </w:r>
      <w:r>
        <w:rPr>
          <w:rFonts w:hint="eastAsia" w:asciiTheme="minorEastAsia" w:hAnsiTheme="minorEastAsia" w:cstheme="minorEastAsia"/>
          <w:sz w:val="24"/>
          <w:szCs w:val="24"/>
          <w:lang w:val="en-US" w:eastAsia="zh-CN"/>
        </w:rPr>
        <w:t>集</w:t>
      </w:r>
      <w:r>
        <w:rPr>
          <w:rFonts w:hint="default" w:asciiTheme="minorEastAsia" w:hAnsiTheme="minorEastAsia" w:cstheme="minorEastAsia"/>
          <w:sz w:val="24"/>
          <w:szCs w:val="24"/>
          <w:lang w:val="en-US" w:eastAsia="zh-CN"/>
        </w:rPr>
        <w:t>、同一回测规则，系统对比了规则（动态评分）、监督学习（LGB融合）和强化学习（PPO全局）三条技术路线：</w:t>
      </w:r>
    </w:p>
    <w:p w14:paraId="453BC2A1">
      <w:pPr>
        <w:keepNext w:val="0"/>
        <w:keepLines w:val="0"/>
        <w:pageBreakBefore w:val="0"/>
        <w:widowControl w:val="0"/>
        <w:numPr>
          <w:ilvl w:val="0"/>
          <w:numId w:val="42"/>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规则路线（动态评分）：年化收益19.8%，最大回撤仅-16.5%，卡玛比率1.20为三条路线最高，在仓位择时和极端行情保护方面表现</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最优。</w:t>
      </w:r>
    </w:p>
    <w:p w14:paraId="5BAD63D6">
      <w:pPr>
        <w:keepNext w:val="0"/>
        <w:keepLines w:val="0"/>
        <w:pageBreakBefore w:val="0"/>
        <w:widowControl w:val="0"/>
        <w:numPr>
          <w:ilvl w:val="0"/>
          <w:numId w:val="42"/>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监督学习路线（LGB融合）：夏普比率0.66</w:t>
      </w:r>
      <w:r>
        <w:rPr>
          <w:rFonts w:hint="eastAsia" w:asciiTheme="minorEastAsia" w:hAnsiTheme="minorEastAsia" w:cstheme="minorEastAsia"/>
          <w:sz w:val="24"/>
          <w:szCs w:val="24"/>
          <w:lang w:val="en-US" w:eastAsia="zh-CN"/>
        </w:rPr>
        <w:t>为三条路线</w:t>
      </w:r>
      <w:r>
        <w:rPr>
          <w:rFonts w:hint="default" w:asciiTheme="minorEastAsia" w:hAnsiTheme="minorEastAsia" w:cstheme="minorEastAsia"/>
          <w:sz w:val="24"/>
          <w:szCs w:val="24"/>
          <w:lang w:val="en-US" w:eastAsia="zh-CN"/>
        </w:rPr>
        <w:t>最高，最大回撤-18.8%，月均换手12.2%仅为动态评分的56%，风险调整后收益最优</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w:t>
      </w:r>
    </w:p>
    <w:p w14:paraId="12578255">
      <w:pPr>
        <w:keepNext w:val="0"/>
        <w:keepLines w:val="0"/>
        <w:pageBreakBefore w:val="0"/>
        <w:widowControl w:val="0"/>
        <w:numPr>
          <w:ilvl w:val="0"/>
          <w:numId w:val="42"/>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强化学习路线（PPO全局）：年化收益26.9%，夏普比率1.41，收益端表现突出，但训练耗时远高于可秒级完成的LightGBM，且在Walk-Forward框架下存在严重过拟合</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问题。</w:t>
      </w:r>
    </w:p>
    <w:p w14:paraId="5C4697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三条路线的对比结论为：规则可提供具备可解释性的仓位择时框架，监督学习可提供稳健的选券增量信息，二者融合（LGB+动态评分）在可解释性与风险调整后收益之间实现了最佳平衡；强化学习在资产配置领域具备理论潜力，但对数据规模和训练范式要求较高。</w:t>
      </w:r>
    </w:p>
    <w:p w14:paraId="5F798AC2">
      <w:pPr>
        <w:numPr>
          <w:ilvl w:val="0"/>
          <w:numId w:val="41"/>
        </w:numPr>
        <w:ind w:left="845" w:leftChars="0" w:hanging="425" w:firstLineChars="0"/>
        <w:outlineLvl w:val="1"/>
        <w:rPr>
          <w:rFonts w:hint="eastAsia" w:ascii="楷体" w:hAnsi="楷体" w:eastAsia="楷体" w:cs="楷体"/>
          <w:sz w:val="28"/>
          <w:szCs w:val="28"/>
          <w:lang w:val="en-US" w:eastAsia="zh-CN"/>
        </w:rPr>
      </w:pPr>
      <w:bookmarkStart w:id="123" w:name="_Toc2500"/>
      <w:r>
        <w:rPr>
          <w:rFonts w:hint="default" w:ascii="楷体" w:hAnsi="楷体" w:eastAsia="楷体" w:cs="楷体"/>
          <w:sz w:val="28"/>
          <w:szCs w:val="28"/>
          <w:lang w:val="en-US" w:eastAsia="zh-CN"/>
        </w:rPr>
        <w:t>产出了可直接落地的三档风险配置方案</w:t>
      </w:r>
      <w:bookmarkEnd w:id="123"/>
    </w:p>
    <w:p w14:paraId="08B8E85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依据《金融机构产品适当性管理办法》（2026年2月1日起施行）</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，本项目设计包含15个题项的客户画像测评问卷，将客户风险等级对应为保守型（C2）、平衡型（C3）、进取型（C4）三档配置方案</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三档方案在11.5年回测检验中均呈现明确的风险收益梯度：保守型LGB融合策略年化收益率8.0%、最大回撤-12.7%；平衡型LGB融合策略年化收益率12.2%、最大回撤-24.7%；进取型动态评分策略年化收益率13.0%、最大回撤-39.4%。回撤修复天数分析进一步验证了方案的客户适配性：在2015年股灾中，等权策略需1440天（约4年）完成回撤修复，动态评分策略仅需343天（不到1年）</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。该方案可直接接入银行理财经理日常工作流程。</w:t>
      </w:r>
    </w:p>
    <w:p w14:paraId="0843A23A">
      <w:pPr>
        <w:numPr>
          <w:ilvl w:val="0"/>
          <w:numId w:val="41"/>
        </w:numPr>
        <w:ind w:left="845" w:leftChars="0" w:hanging="425" w:firstLineChars="0"/>
        <w:outlineLvl w:val="1"/>
        <w:rPr>
          <w:rFonts w:hint="eastAsia" w:ascii="楷体" w:hAnsi="楷体" w:eastAsia="楷体" w:cs="楷体"/>
          <w:sz w:val="28"/>
          <w:szCs w:val="28"/>
          <w:lang w:val="en-US" w:eastAsia="zh-CN"/>
        </w:rPr>
      </w:pPr>
      <w:bookmarkStart w:id="124" w:name="_Toc13500"/>
      <w:r>
        <w:rPr>
          <w:rFonts w:hint="default" w:ascii="楷体" w:hAnsi="楷体" w:eastAsia="楷体" w:cs="楷体"/>
          <w:sz w:val="28"/>
          <w:szCs w:val="28"/>
          <w:lang w:val="en-US" w:eastAsia="zh-CN"/>
        </w:rPr>
        <w:t>为指数化投资高质量发展提供了可复用的技术框架</w:t>
      </w:r>
      <w:bookmarkEnd w:id="124"/>
    </w:p>
    <w:p w14:paraId="069F3E1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本项目响应了新“国九条”关于“建立交易型开放式指数基金（ETF）快速审批通道，推动指数化投资发展”的政策导向</w:t>
      </w:r>
      <w:r>
        <w:rPr>
          <w:rFonts w:hint="default" w:asciiTheme="minorEastAsia" w:hAnsiTheme="minorEastAsia" w:cstheme="minorEastAsia"/>
          <w:sz w:val="24"/>
          <w:szCs w:val="24"/>
          <w:lang w:val="en-US" w:eastAsia="zh-CN"/>
        </w:rPr>
        <w:t>，以及证监会《促进资本市场指数化投资高质量发展行动方案》关于“强化指数基金资产配置功能，稳步提升投资者长期回报”的目标要求</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。本项目的技术框架——从数据清洗、特征筛选、环境识别到策略构建、回测验证、服务落地的完整链条——为银行等金融机构开展指数基金智能配置服务提供了可复用的方法论和工程实现参考。</w:t>
      </w:r>
    </w:p>
    <w:p w14:paraId="730DC610">
      <w:pPr>
        <w:numPr>
          <w:ilvl w:val="0"/>
          <w:numId w:val="40"/>
        </w:numPr>
        <w:ind w:left="0" w:leftChars="0" w:firstLine="420" w:firstLineChars="0"/>
        <w:outlineLvl w:val="0"/>
        <w:rPr>
          <w:rFonts w:hint="default" w:ascii="黑体" w:hAnsi="黑体" w:eastAsia="黑体" w:cs="黑体"/>
          <w:sz w:val="30"/>
          <w:szCs w:val="30"/>
          <w:lang w:val="en-US" w:eastAsia="zh-CN"/>
        </w:rPr>
      </w:pPr>
      <w:bookmarkStart w:id="125" w:name="_Toc28261"/>
      <w:r>
        <w:rPr>
          <w:rFonts w:hint="default" w:ascii="黑体" w:hAnsi="黑体" w:eastAsia="黑体" w:cs="黑体"/>
          <w:sz w:val="30"/>
          <w:szCs w:val="30"/>
          <w:lang w:val="en-US" w:eastAsia="zh-CN"/>
        </w:rPr>
        <w:t>局限与展望</w:t>
      </w:r>
      <w:bookmarkEnd w:id="125"/>
    </w:p>
    <w:p w14:paraId="5F6742AC">
      <w:pPr>
        <w:numPr>
          <w:ilvl w:val="0"/>
          <w:numId w:val="43"/>
        </w:numPr>
        <w:ind w:left="845" w:leftChars="0" w:hanging="425" w:firstLineChars="0"/>
        <w:outlineLvl w:val="1"/>
        <w:rPr>
          <w:rFonts w:hint="eastAsia" w:ascii="楷体" w:hAnsi="楷体" w:eastAsia="楷体" w:cs="楷体"/>
          <w:sz w:val="28"/>
          <w:szCs w:val="28"/>
          <w:lang w:val="en-US" w:eastAsia="zh-CN"/>
        </w:rPr>
      </w:pPr>
      <w:bookmarkStart w:id="126" w:name="_Toc11563"/>
      <w:r>
        <w:rPr>
          <w:rFonts w:hint="default" w:ascii="楷体" w:hAnsi="楷体" w:eastAsia="楷体" w:cs="楷体"/>
          <w:sz w:val="28"/>
          <w:szCs w:val="28"/>
          <w:lang w:val="en-US" w:eastAsia="zh-CN"/>
        </w:rPr>
        <w:t>数据与回测方面的局限</w:t>
      </w:r>
      <w:bookmarkEnd w:id="126"/>
    </w:p>
    <w:p w14:paraId="21D31F3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回测区间覆盖范围有限。本项目回测区间设定为2015年1月至2026年6月，共计11.5年，已覆盖A股市场三轮牛熊周期。但该区间仍以A股结构性行情为主，未涵盖更长周期的市场环境，例如2005-2007年大牛市、2008年全球金融危机。策略在更长周期、更多元市场环境下的表现仍需进一步验证。</w:t>
      </w:r>
    </w:p>
    <w:p w14:paraId="5F59A43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资产类别</w:t>
      </w:r>
      <w:r>
        <w:rPr>
          <w:rFonts w:hint="eastAsia" w:asciiTheme="minorEastAsia" w:hAnsiTheme="minorEastAsia" w:cstheme="minorEastAsia"/>
          <w:sz w:val="24"/>
          <w:szCs w:val="24"/>
          <w:lang w:val="en-US" w:eastAsia="zh-CN"/>
        </w:rPr>
        <w:t>覆盖范围</w:t>
      </w:r>
      <w:r>
        <w:rPr>
          <w:rFonts w:hint="default" w:asciiTheme="minorEastAsia" w:hAnsiTheme="minorEastAsia" w:cstheme="minorEastAsia"/>
          <w:sz w:val="24"/>
          <w:szCs w:val="24"/>
          <w:lang w:val="en-US" w:eastAsia="zh-CN"/>
        </w:rPr>
        <w:t>有待扩展。</w:t>
      </w:r>
      <w:r>
        <w:rPr>
          <w:rFonts w:hint="eastAsia" w:asciiTheme="minorEastAsia" w:hAnsiTheme="minorEastAsia" w:cstheme="minorEastAsia"/>
          <w:sz w:val="24"/>
          <w:szCs w:val="24"/>
          <w:lang w:val="en-US" w:eastAsia="zh-CN"/>
        </w:rPr>
        <w:t>当前资产池包含7只ETF，已覆盖宽基、行业、商品、债券四大类资产。</w:t>
      </w:r>
      <w:r>
        <w:rPr>
          <w:rFonts w:hint="default" w:asciiTheme="minorEastAsia" w:hAnsiTheme="minorEastAsia" w:cstheme="minorEastAsia"/>
          <w:sz w:val="24"/>
          <w:szCs w:val="24"/>
          <w:lang w:val="en-US" w:eastAsia="zh-CN"/>
        </w:rPr>
        <w:t>但随着指数化投资市场的快速发展，资产类别</w:t>
      </w:r>
      <w:r>
        <w:rPr>
          <w:rFonts w:hint="eastAsia" w:asciiTheme="minorEastAsia" w:hAnsiTheme="minorEastAsia" w:cstheme="minorEastAsia"/>
          <w:sz w:val="24"/>
          <w:szCs w:val="24"/>
          <w:lang w:val="en-US" w:eastAsia="zh-CN"/>
        </w:rPr>
        <w:t>与</w:t>
      </w:r>
      <w:r>
        <w:rPr>
          <w:rFonts w:hint="default" w:asciiTheme="minorEastAsia" w:hAnsiTheme="minorEastAsia" w:cstheme="minorEastAsia"/>
          <w:sz w:val="24"/>
          <w:szCs w:val="24"/>
          <w:lang w:val="en-US" w:eastAsia="zh-CN"/>
        </w:rPr>
        <w:t>产品类型仍在持续丰富，</w:t>
      </w:r>
      <w:r>
        <w:rPr>
          <w:rFonts w:hint="eastAsia" w:asciiTheme="minorEastAsia" w:hAnsiTheme="minorEastAsia" w:cstheme="minorEastAsia"/>
          <w:sz w:val="24"/>
          <w:szCs w:val="24"/>
          <w:lang w:val="en-US" w:eastAsia="zh-CN"/>
        </w:rPr>
        <w:t>后续</w:t>
      </w:r>
      <w:r>
        <w:rPr>
          <w:rFonts w:hint="default" w:asciiTheme="minorEastAsia" w:hAnsiTheme="minorEastAsia" w:cstheme="minorEastAsia"/>
          <w:sz w:val="24"/>
          <w:szCs w:val="24"/>
          <w:lang w:val="en-US" w:eastAsia="zh-CN"/>
        </w:rPr>
        <w:t>可考虑纳入跨境ETF、REITs、商品期货ETF等更多元化资产类别，进一步拓展策略的配置空间。</w:t>
      </w:r>
    </w:p>
    <w:p w14:paraId="76FC7F5B">
      <w:pPr>
        <w:numPr>
          <w:ilvl w:val="0"/>
          <w:numId w:val="43"/>
        </w:numPr>
        <w:ind w:left="845" w:leftChars="0" w:hanging="425" w:firstLineChars="0"/>
        <w:outlineLvl w:val="1"/>
        <w:rPr>
          <w:rFonts w:hint="default" w:ascii="楷体" w:hAnsi="楷体" w:eastAsia="楷体" w:cs="楷体"/>
          <w:sz w:val="28"/>
          <w:szCs w:val="28"/>
          <w:lang w:val="en-US" w:eastAsia="zh-CN"/>
        </w:rPr>
      </w:pPr>
      <w:bookmarkStart w:id="127" w:name="_Toc6987"/>
      <w:r>
        <w:rPr>
          <w:rFonts w:hint="default" w:ascii="楷体" w:hAnsi="楷体" w:eastAsia="楷体" w:cs="楷体"/>
          <w:sz w:val="28"/>
          <w:szCs w:val="28"/>
          <w:lang w:val="en-US" w:eastAsia="zh-CN"/>
        </w:rPr>
        <w:t>策略与方法论方面的局限</w:t>
      </w:r>
      <w:bookmarkEnd w:id="127"/>
    </w:p>
    <w:p w14:paraId="15BB27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强化学习的适用边界仍有待进一步探索。本项目实验结果显示，Walk-Forward框架下的PPO存在严重过拟合（外样本年化0.15%）；全局训练PPO虽具备有效性（年化26.9%、夏普1.41），但相较规则与监督学习路径，在训练效率与可解释性层面仍存在差距</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。强化学习在资产配置中的适用条件、实践方案以及与其他方法的融合路径，仍需开展更深入的研究。</w:t>
      </w:r>
    </w:p>
    <w:p w14:paraId="3C5C654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策略在极端行情下的表现依赖历史数据模式。动态评分策略在2015股灾、2018熊市和2022加息冲击中均表现出色，但该结果基于历史数据回测得出。若未来出现历史未覆盖的新型市场冲击（如地缘政治突变、监管框架重大调整等），策略的有效性仍需实盘验证。</w:t>
      </w:r>
    </w:p>
    <w:p w14:paraId="1AD8C7E4">
      <w:pPr>
        <w:numPr>
          <w:ilvl w:val="0"/>
          <w:numId w:val="43"/>
        </w:numPr>
        <w:ind w:left="845" w:leftChars="0" w:hanging="425" w:firstLineChars="0"/>
        <w:outlineLvl w:val="1"/>
        <w:rPr>
          <w:rFonts w:hint="default" w:ascii="楷体" w:hAnsi="楷体" w:eastAsia="楷体" w:cs="楷体"/>
          <w:sz w:val="28"/>
          <w:szCs w:val="28"/>
          <w:lang w:val="en-US" w:eastAsia="zh-CN"/>
        </w:rPr>
      </w:pPr>
      <w:bookmarkStart w:id="128" w:name="_Toc18567"/>
      <w:r>
        <w:rPr>
          <w:rFonts w:hint="default" w:ascii="楷体" w:hAnsi="楷体" w:eastAsia="楷体" w:cs="楷体"/>
          <w:sz w:val="28"/>
          <w:szCs w:val="28"/>
          <w:lang w:val="en-US" w:eastAsia="zh-CN"/>
        </w:rPr>
        <w:t>服务落地方面的局限</w:t>
      </w:r>
      <w:bookmarkEnd w:id="128"/>
    </w:p>
    <w:p w14:paraId="21328E1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调仓建议与客户投资心理的匹配度仍需持续优化。本项目调仓频率设定为月度，其有效性已通过历史回测验证，但在实际服务场景中，该调仓频率仍可能引发零售客户的焦虑与质疑。如何将量化调仓信号转化为客户可理解、可接受的沟通内容，仍需在实践中持续迭代优化。</w:t>
      </w:r>
    </w:p>
    <w:p w14:paraId="287BC36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与银行系统对接的工程化工作仍需推进落地。本项目提出了“轻量化预留接口”的对接方案，但实际部署仍需银行端开放相应的数据接口与交易接口，该过程涉及系统改造、合规审批等多重环节，落地周期与实现路径存在不确定性。</w:t>
      </w:r>
    </w:p>
    <w:p w14:paraId="31E20A25">
      <w:pPr>
        <w:numPr>
          <w:ilvl w:val="0"/>
          <w:numId w:val="40"/>
        </w:numPr>
        <w:ind w:left="0" w:leftChars="0" w:firstLine="420" w:firstLineChars="0"/>
        <w:outlineLvl w:val="0"/>
        <w:rPr>
          <w:rFonts w:hint="default" w:ascii="黑体" w:hAnsi="黑体" w:eastAsia="黑体" w:cs="黑体"/>
          <w:sz w:val="30"/>
          <w:szCs w:val="30"/>
          <w:lang w:val="en-US" w:eastAsia="zh-CN"/>
        </w:rPr>
      </w:pPr>
      <w:bookmarkStart w:id="129" w:name="_Toc13611"/>
      <w:r>
        <w:rPr>
          <w:rFonts w:hint="default" w:ascii="黑体" w:hAnsi="黑体" w:eastAsia="黑体" w:cs="黑体"/>
          <w:sz w:val="30"/>
          <w:szCs w:val="30"/>
          <w:lang w:val="en-US" w:eastAsia="zh-CN"/>
        </w:rPr>
        <w:t> 未来方向</w:t>
      </w:r>
      <w:bookmarkEnd w:id="129"/>
    </w:p>
    <w:p w14:paraId="1CD3ABE4">
      <w:pPr>
        <w:numPr>
          <w:ilvl w:val="0"/>
          <w:numId w:val="44"/>
        </w:numPr>
        <w:ind w:left="845" w:leftChars="0" w:hanging="425" w:firstLineChars="0"/>
        <w:outlineLvl w:val="1"/>
        <w:rPr>
          <w:rFonts w:hint="eastAsia" w:ascii="楷体" w:hAnsi="楷体" w:eastAsia="楷体" w:cs="楷体"/>
          <w:sz w:val="28"/>
          <w:szCs w:val="28"/>
          <w:lang w:val="en-US" w:eastAsia="zh-CN"/>
        </w:rPr>
      </w:pPr>
      <w:bookmarkStart w:id="130" w:name="_Toc16548"/>
      <w:r>
        <w:rPr>
          <w:rFonts w:hint="default" w:ascii="楷体" w:hAnsi="楷体" w:eastAsia="楷体" w:cs="楷体"/>
          <w:sz w:val="28"/>
          <w:szCs w:val="28"/>
          <w:lang w:val="en-US" w:eastAsia="zh-CN"/>
        </w:rPr>
        <w:t>引入更多元化的资产类别与策略维度</w:t>
      </w:r>
      <w:bookmarkEnd w:id="130"/>
    </w:p>
    <w:p w14:paraId="5CA4E39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伴随指数化投资市场的持续扩容，未来可将跨境ETF（如港股、美股科技ETF）、商品期货ETF、REITs等纳入资产池，进一步拓宽配置空间。策略维度上，可探索引入宏观因子模型、行业景气度模型等，与现有评分系统形成互补。</w:t>
      </w:r>
    </w:p>
    <w:p w14:paraId="2550E974">
      <w:pPr>
        <w:numPr>
          <w:ilvl w:val="0"/>
          <w:numId w:val="44"/>
        </w:numPr>
        <w:ind w:left="845" w:leftChars="0" w:hanging="425" w:firstLineChars="0"/>
        <w:outlineLvl w:val="1"/>
        <w:rPr>
          <w:rFonts w:hint="eastAsia" w:ascii="楷体" w:hAnsi="楷体" w:eastAsia="楷体" w:cs="楷体"/>
          <w:sz w:val="28"/>
          <w:szCs w:val="28"/>
          <w:lang w:val="en-US" w:eastAsia="zh-CN"/>
        </w:rPr>
      </w:pPr>
      <w:bookmarkStart w:id="131" w:name="_Toc24251"/>
      <w:r>
        <w:rPr>
          <w:rFonts w:hint="default" w:ascii="楷体" w:hAnsi="楷体" w:eastAsia="楷体" w:cs="楷体"/>
          <w:sz w:val="28"/>
          <w:szCs w:val="28"/>
          <w:lang w:val="en-US" w:eastAsia="zh-CN"/>
        </w:rPr>
        <w:t>探索LLM情感特征与策略的深度融合</w:t>
      </w:r>
      <w:bookmarkEnd w:id="131"/>
    </w:p>
    <w:p w14:paraId="5E1A1C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当前策略已整合估值、宏观、情绪、趋势四维信号，未来可进一步探索将大语言模型（LLM）的财经新闻情感分析结果作为第五维信号融入现有评分系统</w:t>
      </w:r>
      <w:r>
        <w:rPr>
          <w:rFonts w:hint="default" w:asciiTheme="minorEastAsia" w:hAnsiTheme="minorEastAsia" w:cstheme="minorEastAsia"/>
          <w:sz w:val="24"/>
          <w:szCs w:val="24"/>
          <w:lang w:val="en-US" w:eastAsia="zh-CN"/>
        </w:rPr>
        <w:t>。2023年中央金融工作会议</w:t>
      </w:r>
      <w:r>
        <w:rPr>
          <w:rFonts w:hint="eastAsia" w:asciiTheme="minorEastAsia" w:hAnsiTheme="minorEastAsia" w:cstheme="minorEastAsia"/>
          <w:sz w:val="24"/>
          <w:szCs w:val="24"/>
          <w:lang w:val="en-US" w:eastAsia="zh-CN"/>
        </w:rPr>
        <w:t>已对推进</w:t>
      </w:r>
      <w:r>
        <w:rPr>
          <w:rFonts w:hint="default" w:asciiTheme="minorEastAsia" w:hAnsiTheme="minorEastAsia" w:cstheme="minorEastAsia"/>
          <w:sz w:val="24"/>
          <w:szCs w:val="24"/>
          <w:lang w:val="en-US" w:eastAsia="zh-CN"/>
        </w:rPr>
        <w:t>金融高质量发展</w:t>
      </w:r>
      <w:r>
        <w:rPr>
          <w:rFonts w:hint="eastAsia" w:asciiTheme="minorEastAsia" w:hAnsiTheme="minorEastAsia" w:cstheme="minorEastAsia"/>
          <w:sz w:val="24"/>
          <w:szCs w:val="24"/>
          <w:lang w:val="en-US" w:eastAsia="zh-CN"/>
        </w:rPr>
        <w:t>作出部署</w:t>
      </w:r>
      <w:r>
        <w:rPr>
          <w:rFonts w:hint="default" w:asciiTheme="minorEastAsia" w:hAnsiTheme="minorEastAsia" w:cstheme="minorEastAsia"/>
          <w:sz w:val="24"/>
          <w:szCs w:val="24"/>
          <w:lang w:val="en-US" w:eastAsia="zh-CN"/>
        </w:rPr>
        <w:t>，指数作为资金流动的“指挥棒”</w:t>
      </w:r>
      <w:r>
        <w:rPr>
          <w:rFonts w:hint="eastAsia" w:asciiTheme="minorEastAsia" w:hAnsiTheme="minorEastAsia" w:cstheme="minorEastAsia"/>
          <w:sz w:val="24"/>
          <w:szCs w:val="24"/>
          <w:lang w:val="en-US" w:eastAsia="zh-CN"/>
        </w:rPr>
        <w:t>与</w:t>
      </w:r>
      <w:r>
        <w:rPr>
          <w:rFonts w:hint="default" w:asciiTheme="minorEastAsia" w:hAnsiTheme="minorEastAsia" w:cstheme="minorEastAsia"/>
          <w:sz w:val="24"/>
          <w:szCs w:val="24"/>
          <w:lang w:val="en-US" w:eastAsia="zh-CN"/>
        </w:rPr>
        <w:t>市场“稳定器”，其与前沿AI技术的结合将成为重要发展方向。</w:t>
      </w:r>
    </w:p>
    <w:p w14:paraId="401FB8A7">
      <w:pPr>
        <w:numPr>
          <w:ilvl w:val="0"/>
          <w:numId w:val="44"/>
        </w:numPr>
        <w:ind w:left="845" w:leftChars="0" w:hanging="425" w:firstLineChars="0"/>
        <w:outlineLvl w:val="1"/>
        <w:rPr>
          <w:rFonts w:hint="eastAsia" w:ascii="楷体" w:hAnsi="楷体" w:eastAsia="楷体" w:cs="楷体"/>
          <w:sz w:val="28"/>
          <w:szCs w:val="28"/>
          <w:lang w:val="en-US" w:eastAsia="zh-CN"/>
        </w:rPr>
      </w:pPr>
      <w:bookmarkStart w:id="132" w:name="_Toc25831"/>
      <w:r>
        <w:rPr>
          <w:rFonts w:hint="default" w:ascii="楷体" w:hAnsi="楷体" w:eastAsia="楷体" w:cs="楷体"/>
          <w:sz w:val="28"/>
          <w:szCs w:val="28"/>
          <w:lang w:val="en-US" w:eastAsia="zh-CN"/>
        </w:rPr>
        <w:t>推进实盘模拟与策略迭代</w:t>
      </w:r>
      <w:bookmarkEnd w:id="132"/>
    </w:p>
    <w:p w14:paraId="1AD3562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基于现有回测框架，可进一步开展实盘模拟交易，在真实市场环境下检验策略的有效性与稳健性。依托实盘模拟积累的交易数据，持续优化评分系统的参数与调仓规则，构建“回测→模拟→优化”的迭代闭环。</w:t>
      </w:r>
    </w:p>
    <w:p w14:paraId="2A4EE35B">
      <w:pPr>
        <w:numPr>
          <w:ilvl w:val="0"/>
          <w:numId w:val="44"/>
        </w:numPr>
        <w:ind w:left="845" w:leftChars="0" w:hanging="425" w:firstLineChars="0"/>
        <w:outlineLvl w:val="1"/>
        <w:rPr>
          <w:rFonts w:hint="eastAsia" w:ascii="楷体" w:hAnsi="楷体" w:eastAsia="楷体" w:cs="楷体"/>
          <w:sz w:val="28"/>
          <w:szCs w:val="28"/>
          <w:lang w:val="en-US" w:eastAsia="zh-CN"/>
        </w:rPr>
      </w:pPr>
      <w:bookmarkStart w:id="133" w:name="_Toc2880"/>
      <w:r>
        <w:rPr>
          <w:rFonts w:hint="default" w:ascii="楷体" w:hAnsi="楷体" w:eastAsia="楷体" w:cs="楷体"/>
          <w:sz w:val="28"/>
          <w:szCs w:val="28"/>
          <w:lang w:val="en-US" w:eastAsia="zh-CN"/>
        </w:rPr>
        <w:t>深化银行场景的落地应用</w:t>
      </w:r>
      <w:bookmarkEnd w:id="133"/>
    </w:p>
    <w:p w14:paraId="707109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依据《金融机构产品适当性管理办法》（2026）的要求，进一步细化客户画像维度、优化风险匹配算法、丰富调仓推送话术模板</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。探索与银行财富管理系统的深度集成，实现从客户测评、方案推荐、调仓执行到绩效回顾的全流程自动化服务</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w:t>
      </w:r>
    </w:p>
    <w:p w14:paraId="4B22DDE3">
      <w:pPr>
        <w:numPr>
          <w:ilvl w:val="0"/>
          <w:numId w:val="44"/>
        </w:numPr>
        <w:ind w:left="845" w:leftChars="0" w:hanging="425" w:firstLineChars="0"/>
        <w:outlineLvl w:val="1"/>
        <w:rPr>
          <w:rFonts w:hint="eastAsia" w:ascii="楷体" w:hAnsi="楷体" w:eastAsia="楷体" w:cs="楷体"/>
          <w:sz w:val="28"/>
          <w:szCs w:val="28"/>
          <w:lang w:val="en-US" w:eastAsia="zh-CN"/>
        </w:rPr>
      </w:pPr>
      <w:bookmarkStart w:id="134" w:name="_Toc7947"/>
      <w:r>
        <w:rPr>
          <w:rFonts w:hint="default" w:ascii="楷体" w:hAnsi="楷体" w:eastAsia="楷体" w:cs="楷体"/>
          <w:sz w:val="28"/>
          <w:szCs w:val="28"/>
          <w:lang w:val="en-US" w:eastAsia="zh-CN"/>
        </w:rPr>
        <w:t>推动指数化投资生态建设</w:t>
      </w:r>
      <w:bookmarkEnd w:id="134"/>
    </w:p>
    <w:p w14:paraId="0094B9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响应证监会《促进资本市场指数化投资高质量发展行动方案》中“加快构建公募基金行业主动投资与被动投资协同发展、互促共进的新发展格局”的号召</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，本</w:t>
      </w:r>
      <w:r>
        <w:rPr>
          <w:rFonts w:hint="eastAsia" w:asciiTheme="minorEastAsia" w:hAnsiTheme="minorEastAsia" w:cstheme="minorEastAsia"/>
          <w:sz w:val="24"/>
          <w:szCs w:val="24"/>
          <w:lang w:val="en-US" w:eastAsia="zh-CN"/>
        </w:rPr>
        <w:t>项目</w:t>
      </w:r>
      <w:r>
        <w:rPr>
          <w:rFonts w:hint="default" w:asciiTheme="minorEastAsia" w:hAnsiTheme="minorEastAsia" w:cstheme="minorEastAsia"/>
          <w:sz w:val="24"/>
          <w:szCs w:val="24"/>
          <w:lang w:val="en-US" w:eastAsia="zh-CN"/>
        </w:rPr>
        <w:t>技术框架可进一步拓展为面向广</w:t>
      </w:r>
      <w:r>
        <w:rPr>
          <w:rFonts w:hint="eastAsia" w:asciiTheme="minorEastAsia" w:hAnsiTheme="minorEastAsia" w:cstheme="minorEastAsia"/>
          <w:sz w:val="24"/>
          <w:szCs w:val="24"/>
          <w:lang w:val="en-US" w:eastAsia="zh-CN"/>
        </w:rPr>
        <w:t>大</w:t>
      </w:r>
      <w:r>
        <w:rPr>
          <w:rFonts w:hint="default" w:asciiTheme="minorEastAsia" w:hAnsiTheme="minorEastAsia" w:cstheme="minorEastAsia"/>
          <w:sz w:val="24"/>
          <w:szCs w:val="24"/>
          <w:lang w:val="en-US" w:eastAsia="zh-CN"/>
        </w:rPr>
        <w:t>投资者的指数基金智能配置服务平台，助力构建资本市场“长钱长投”生态，</w:t>
      </w:r>
      <w:r>
        <w:rPr>
          <w:rFonts w:hint="eastAsia" w:asciiTheme="minorEastAsia" w:hAnsiTheme="minorEastAsia" w:cstheme="minorEastAsia"/>
          <w:sz w:val="24"/>
          <w:szCs w:val="24"/>
          <w:lang w:val="en-US" w:eastAsia="zh-CN"/>
        </w:rPr>
        <w:t>培育</w:t>
      </w:r>
      <w:r>
        <w:rPr>
          <w:rFonts w:hint="default" w:asciiTheme="minorEastAsia" w:hAnsiTheme="minorEastAsia" w:cstheme="minorEastAsia"/>
          <w:sz w:val="24"/>
          <w:szCs w:val="24"/>
          <w:lang w:val="en-US" w:eastAsia="zh-CN"/>
        </w:rPr>
        <w:t>壮大理性成熟的中长期投资力量</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w:t>
      </w:r>
    </w:p>
    <w:p w14:paraId="268950AE">
      <w:pPr>
        <w:numPr>
          <w:ilvl w:val="0"/>
          <w:numId w:val="40"/>
        </w:numPr>
        <w:ind w:left="0" w:leftChars="0" w:firstLine="420" w:firstLineChars="0"/>
        <w:outlineLvl w:val="0"/>
        <w:rPr>
          <w:rFonts w:hint="default" w:ascii="黑体" w:hAnsi="黑体" w:eastAsia="黑体" w:cs="黑体"/>
          <w:sz w:val="30"/>
          <w:szCs w:val="30"/>
          <w:lang w:val="en-US" w:eastAsia="zh-CN"/>
        </w:rPr>
      </w:pPr>
      <w:bookmarkStart w:id="135" w:name="_Toc31446"/>
      <w:r>
        <w:rPr>
          <w:rFonts w:hint="default" w:ascii="黑体" w:hAnsi="黑体" w:eastAsia="黑体" w:cs="黑体"/>
          <w:sz w:val="30"/>
          <w:szCs w:val="30"/>
          <w:lang w:val="en-US" w:eastAsia="zh-CN"/>
        </w:rPr>
        <w:t>结语</w:t>
      </w:r>
      <w:bookmarkEnd w:id="135"/>
    </w:p>
    <w:p w14:paraId="2084A6E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在指数基金规模突破6万亿元、指数化投资上升为国家战略方向的背景下</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，本项目以“可解释、可落地、可验证”为核心理念，</w:t>
      </w:r>
      <w:r>
        <w:rPr>
          <w:rFonts w:hint="eastAsia" w:asciiTheme="minorEastAsia" w:hAnsiTheme="minorEastAsia" w:cstheme="minorEastAsia"/>
          <w:sz w:val="24"/>
          <w:szCs w:val="24"/>
          <w:lang w:val="en-US" w:eastAsia="zh-CN"/>
        </w:rPr>
        <w:t>构建</w:t>
      </w:r>
      <w:r>
        <w:rPr>
          <w:rFonts w:hint="default" w:asciiTheme="minorEastAsia" w:hAnsiTheme="minorEastAsia" w:cstheme="minorEastAsia"/>
          <w:sz w:val="24"/>
          <w:szCs w:val="24"/>
          <w:lang w:val="en-US" w:eastAsia="zh-CN"/>
        </w:rPr>
        <w:t>完成从市场环境识别到动态配置、从回测验证到服务落地的完整研究闭环。项目验证了“市场状态分类→差异化配置”核心逻辑的有效性，</w:t>
      </w:r>
      <w:r>
        <w:rPr>
          <w:rFonts w:hint="eastAsia" w:asciiTheme="minorEastAsia" w:hAnsiTheme="minorEastAsia" w:cstheme="minorEastAsia"/>
          <w:sz w:val="24"/>
          <w:szCs w:val="24"/>
          <w:lang w:val="en-US" w:eastAsia="zh-CN"/>
        </w:rPr>
        <w:t>系统对</w:t>
      </w:r>
      <w:r>
        <w:rPr>
          <w:rFonts w:hint="default" w:asciiTheme="minorEastAsia" w:hAnsiTheme="minorEastAsia" w:cstheme="minorEastAsia"/>
          <w:sz w:val="24"/>
          <w:szCs w:val="24"/>
          <w:lang w:val="en-US" w:eastAsia="zh-CN"/>
        </w:rPr>
        <w:t>比了规则、监督学习、强化学习三条技术路线的优劣，形成了可直接对接银行理财经理日常工作的三档风险配置方案。</w:t>
      </w:r>
    </w:p>
    <w:p w14:paraId="639341C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使复杂的配置决策实现透明化、简易化、可执行——这是本项目贯穿始终的设计主线，也是指数基金智能配置平台落地银行一线、服务大众客户的必由之路。</w:t>
      </w:r>
    </w:p>
    <w:p w14:paraId="67F0CEAD">
      <w:pPr>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br w:type="page"/>
      </w:r>
    </w:p>
    <w:p w14:paraId="4EF1995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640" w:firstLineChars="200"/>
        <w:jc w:val="center"/>
        <w:textAlignment w:val="auto"/>
        <w:outlineLvl w:val="0"/>
        <w:rPr>
          <w:rFonts w:hint="eastAsia" w:ascii="黑体" w:hAnsi="黑体" w:eastAsia="黑体" w:cs="黑体"/>
          <w:sz w:val="32"/>
          <w:szCs w:val="32"/>
          <w:lang w:val="en-US" w:eastAsia="zh-CN"/>
        </w:rPr>
      </w:pPr>
      <w:bookmarkStart w:id="136" w:name="_Toc24293"/>
      <w:r>
        <w:rPr>
          <w:rFonts w:hint="eastAsia" w:ascii="黑体" w:hAnsi="黑体" w:eastAsia="黑体" w:cs="黑体"/>
          <w:sz w:val="32"/>
          <w:szCs w:val="32"/>
          <w:lang w:val="en-US" w:eastAsia="zh-CN"/>
        </w:rPr>
        <w:t>参考文献</w:t>
      </w:r>
      <w:bookmarkEnd w:id="136"/>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黑体"/>
    <w:panose1 w:val="02000000000000000000"/>
    <w:charset w:val="86"/>
    <w:family w:val="auto"/>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D9D81">
    <w:pPr>
      <w:pStyle w:val="8"/>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336"/>
                            <w:docPartObj>
                              <w:docPartGallery w:val="autotext"/>
                            </w:docPartObj>
                          </w:sdtPr>
                          <w:sdtContent>
                            <w:p w14:paraId="3A157039">
                              <w:pPr>
                                <w:pStyle w:val="8"/>
                                <w:jc w:val="center"/>
                              </w:pPr>
                              <w:r>
                                <w:fldChar w:fldCharType="begin"/>
                              </w:r>
                              <w:r>
                                <w:instrText xml:space="preserve">PAGE   \* MERGEFORMAT</w:instrText>
                              </w:r>
                              <w:r>
                                <w:fldChar w:fldCharType="separate"/>
                              </w:r>
                              <w:r>
                                <w:rPr>
                                  <w:lang w:val="zh-CN"/>
                                </w:rPr>
                                <w:t>2</w:t>
                              </w:r>
                              <w:r>
                                <w:fldChar w:fldCharType="end"/>
                              </w:r>
                            </w:p>
                          </w:sdtContent>
                        </w:sdt>
                        <w:p w14:paraId="5F5552C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sdt>
                    <w:sdtPr>
                      <w:id w:val="147464336"/>
                      <w:docPartObj>
                        <w:docPartGallery w:val="autotext"/>
                      </w:docPartObj>
                    </w:sdtPr>
                    <w:sdtContent>
                      <w:p w14:paraId="3A157039">
                        <w:pPr>
                          <w:pStyle w:val="8"/>
                          <w:jc w:val="center"/>
                        </w:pPr>
                        <w:r>
                          <w:fldChar w:fldCharType="begin"/>
                        </w:r>
                        <w:r>
                          <w:instrText xml:space="preserve">PAGE   \* MERGEFORMAT</w:instrText>
                        </w:r>
                        <w:r>
                          <w:fldChar w:fldCharType="separate"/>
                        </w:r>
                        <w:r>
                          <w:rPr>
                            <w:lang w:val="zh-CN"/>
                          </w:rPr>
                          <w:t>2</w:t>
                        </w:r>
                        <w:r>
                          <w:fldChar w:fldCharType="end"/>
                        </w:r>
                      </w:p>
                    </w:sdtContent>
                  </w:sdt>
                  <w:p w14:paraId="5F5552C3"/>
                </w:txbxContent>
              </v:textbox>
            </v:shape>
          </w:pict>
        </mc:Fallback>
      </mc:AlternateContent>
    </w:r>
  </w:p>
  <w:p w14:paraId="7163592C">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349FD">
    <w:pPr>
      <w:pStyle w:val="8"/>
      <w:framePr w:wrap="auto" w:vAnchor="text" w:hAnchor="margin" w:xAlign="center" w:y="1"/>
      <w:rPr>
        <w:rStyle w:val="16"/>
      </w:rPr>
    </w:pPr>
    <w:r>
      <w:rPr>
        <w:rStyle w:val="16"/>
      </w:rPr>
      <w:fldChar w:fldCharType="begin"/>
    </w:r>
    <w:r>
      <w:rPr>
        <w:rStyle w:val="16"/>
      </w:rPr>
      <w:instrText xml:space="preserve">PAGE  </w:instrText>
    </w:r>
    <w:r>
      <w:rPr>
        <w:rStyle w:val="16"/>
      </w:rPr>
      <w:fldChar w:fldCharType="separate"/>
    </w:r>
    <w:r>
      <w:rPr>
        <w:rStyle w:val="16"/>
      </w:rPr>
      <w:t>6</w:t>
    </w:r>
    <w:r>
      <w:rPr>
        <w:rStyle w:val="16"/>
      </w:rPr>
      <w:fldChar w:fldCharType="end"/>
    </w:r>
  </w:p>
  <w:p w14:paraId="0EA905B8">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47C24">
    <w:pPr>
      <w:pStyle w:val="9"/>
      <w:rPr>
        <w:rFonts w:hint="eastAsia"/>
        <w:lang w:val="en-US" w:eastAsia="zh-CN"/>
      </w:rPr>
    </w:pPr>
    <w:r>
      <w:rPr>
        <w:rFonts w:hint="eastAsia"/>
        <w:lang w:val="en-US" w:eastAsia="zh-CN"/>
      </w:rPr>
      <w:t>异质市场环境下指数基金动态配置优化策略研究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022D1">
    <w:pPr>
      <w:pStyle w:val="9"/>
    </w:pPr>
    <w:r>
      <w:rPr>
        <w:rFonts w:hint="eastAsia"/>
      </w:rPr>
      <w:t>项目名称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F072C"/>
    <w:multiLevelType w:val="singleLevel"/>
    <w:tmpl w:val="87AF072C"/>
    <w:lvl w:ilvl="0" w:tentative="0">
      <w:start w:val="1"/>
      <w:numFmt w:val="chineseCounting"/>
      <w:suff w:val="nothing"/>
      <w:lvlText w:val="（%1）"/>
      <w:lvlJc w:val="left"/>
      <w:pPr>
        <w:ind w:left="0" w:firstLine="420"/>
      </w:pPr>
      <w:rPr>
        <w:rFonts w:hint="eastAsia"/>
      </w:rPr>
    </w:lvl>
  </w:abstractNum>
  <w:abstractNum w:abstractNumId="1">
    <w:nsid w:val="88D591F6"/>
    <w:multiLevelType w:val="singleLevel"/>
    <w:tmpl w:val="88D591F6"/>
    <w:lvl w:ilvl="0" w:tentative="0">
      <w:start w:val="1"/>
      <w:numFmt w:val="decimal"/>
      <w:lvlText w:val="%1."/>
      <w:lvlJc w:val="left"/>
      <w:pPr>
        <w:ind w:left="845" w:hanging="425"/>
      </w:pPr>
      <w:rPr>
        <w:rFonts w:hint="default"/>
      </w:rPr>
    </w:lvl>
  </w:abstractNum>
  <w:abstractNum w:abstractNumId="2">
    <w:nsid w:val="993A29B9"/>
    <w:multiLevelType w:val="singleLevel"/>
    <w:tmpl w:val="993A29B9"/>
    <w:lvl w:ilvl="0" w:tentative="0">
      <w:start w:val="1"/>
      <w:numFmt w:val="decimal"/>
      <w:lvlText w:val="%1."/>
      <w:lvlJc w:val="left"/>
      <w:pPr>
        <w:ind w:left="845" w:hanging="425"/>
      </w:pPr>
      <w:rPr>
        <w:rFonts w:hint="default"/>
      </w:rPr>
    </w:lvl>
  </w:abstractNum>
  <w:abstractNum w:abstractNumId="3">
    <w:nsid w:val="A43F58DD"/>
    <w:multiLevelType w:val="singleLevel"/>
    <w:tmpl w:val="A43F58DD"/>
    <w:lvl w:ilvl="0" w:tentative="0">
      <w:start w:val="1"/>
      <w:numFmt w:val="decimal"/>
      <w:lvlText w:val="%1."/>
      <w:lvlJc w:val="left"/>
      <w:pPr>
        <w:ind w:left="845" w:hanging="425"/>
      </w:pPr>
      <w:rPr>
        <w:rFonts w:hint="default"/>
      </w:rPr>
    </w:lvl>
  </w:abstractNum>
  <w:abstractNum w:abstractNumId="4">
    <w:nsid w:val="AB944CAC"/>
    <w:multiLevelType w:val="singleLevel"/>
    <w:tmpl w:val="AB944CAC"/>
    <w:lvl w:ilvl="0" w:tentative="0">
      <w:start w:val="1"/>
      <w:numFmt w:val="decimal"/>
      <w:lvlText w:val="(%1)"/>
      <w:lvlJc w:val="left"/>
      <w:pPr>
        <w:ind w:left="845" w:hanging="425"/>
      </w:pPr>
      <w:rPr>
        <w:rFonts w:hint="default"/>
      </w:rPr>
    </w:lvl>
  </w:abstractNum>
  <w:abstractNum w:abstractNumId="5">
    <w:nsid w:val="ADAEC626"/>
    <w:multiLevelType w:val="singleLevel"/>
    <w:tmpl w:val="ADAEC626"/>
    <w:lvl w:ilvl="0" w:tentative="0">
      <w:start w:val="1"/>
      <w:numFmt w:val="decimal"/>
      <w:lvlText w:val="%1."/>
      <w:lvlJc w:val="left"/>
      <w:pPr>
        <w:ind w:left="845" w:hanging="425"/>
      </w:pPr>
      <w:rPr>
        <w:rFonts w:hint="default"/>
      </w:rPr>
    </w:lvl>
  </w:abstractNum>
  <w:abstractNum w:abstractNumId="6">
    <w:nsid w:val="B4C2F3F8"/>
    <w:multiLevelType w:val="singleLevel"/>
    <w:tmpl w:val="B4C2F3F8"/>
    <w:lvl w:ilvl="0" w:tentative="0">
      <w:start w:val="1"/>
      <w:numFmt w:val="chineseCounting"/>
      <w:suff w:val="nothing"/>
      <w:lvlText w:val="（%1）"/>
      <w:lvlJc w:val="left"/>
      <w:pPr>
        <w:ind w:left="0" w:firstLine="420"/>
      </w:pPr>
      <w:rPr>
        <w:rFonts w:hint="eastAsia"/>
      </w:rPr>
    </w:lvl>
  </w:abstractNum>
  <w:abstractNum w:abstractNumId="7">
    <w:nsid w:val="B7DD7FAE"/>
    <w:multiLevelType w:val="singleLevel"/>
    <w:tmpl w:val="B7DD7FAE"/>
    <w:lvl w:ilvl="0" w:tentative="0">
      <w:start w:val="1"/>
      <w:numFmt w:val="decimal"/>
      <w:lvlText w:val="(%1)"/>
      <w:lvlJc w:val="left"/>
      <w:pPr>
        <w:ind w:left="425" w:hanging="425"/>
      </w:pPr>
      <w:rPr>
        <w:rFonts w:hint="default"/>
      </w:rPr>
    </w:lvl>
  </w:abstractNum>
  <w:abstractNum w:abstractNumId="8">
    <w:nsid w:val="C1D00A99"/>
    <w:multiLevelType w:val="singleLevel"/>
    <w:tmpl w:val="C1D00A99"/>
    <w:lvl w:ilvl="0" w:tentative="0">
      <w:start w:val="1"/>
      <w:numFmt w:val="chineseCounting"/>
      <w:suff w:val="nothing"/>
      <w:lvlText w:val="（%1）"/>
      <w:lvlJc w:val="left"/>
      <w:pPr>
        <w:ind w:left="0" w:firstLine="420"/>
      </w:pPr>
      <w:rPr>
        <w:rFonts w:hint="eastAsia"/>
      </w:rPr>
    </w:lvl>
  </w:abstractNum>
  <w:abstractNum w:abstractNumId="9">
    <w:nsid w:val="C62D534D"/>
    <w:multiLevelType w:val="singleLevel"/>
    <w:tmpl w:val="C62D534D"/>
    <w:lvl w:ilvl="0" w:tentative="0">
      <w:start w:val="1"/>
      <w:numFmt w:val="decimal"/>
      <w:lvlText w:val="%1."/>
      <w:lvlJc w:val="left"/>
      <w:pPr>
        <w:ind w:left="845" w:hanging="425"/>
      </w:pPr>
      <w:rPr>
        <w:rFonts w:hint="default"/>
      </w:rPr>
    </w:lvl>
  </w:abstractNum>
  <w:abstractNum w:abstractNumId="10">
    <w:nsid w:val="CAFFC234"/>
    <w:multiLevelType w:val="singleLevel"/>
    <w:tmpl w:val="CAFFC234"/>
    <w:lvl w:ilvl="0" w:tentative="0">
      <w:start w:val="1"/>
      <w:numFmt w:val="decimal"/>
      <w:lvlText w:val="%1."/>
      <w:lvlJc w:val="left"/>
      <w:pPr>
        <w:ind w:left="845" w:hanging="425"/>
      </w:pPr>
      <w:rPr>
        <w:rFonts w:hint="default"/>
      </w:rPr>
    </w:lvl>
  </w:abstractNum>
  <w:abstractNum w:abstractNumId="11">
    <w:nsid w:val="CECE004F"/>
    <w:multiLevelType w:val="singleLevel"/>
    <w:tmpl w:val="CECE004F"/>
    <w:lvl w:ilvl="0" w:tentative="0">
      <w:start w:val="1"/>
      <w:numFmt w:val="decimal"/>
      <w:lvlText w:val="%1."/>
      <w:lvlJc w:val="left"/>
      <w:pPr>
        <w:ind w:left="845" w:hanging="425"/>
      </w:pPr>
      <w:rPr>
        <w:rFonts w:hint="default"/>
      </w:rPr>
    </w:lvl>
  </w:abstractNum>
  <w:abstractNum w:abstractNumId="12">
    <w:nsid w:val="D24D9F85"/>
    <w:multiLevelType w:val="singleLevel"/>
    <w:tmpl w:val="D24D9F85"/>
    <w:lvl w:ilvl="0" w:tentative="0">
      <w:start w:val="1"/>
      <w:numFmt w:val="decimal"/>
      <w:lvlText w:val="%1."/>
      <w:lvlJc w:val="left"/>
      <w:pPr>
        <w:ind w:left="845" w:hanging="425"/>
      </w:pPr>
      <w:rPr>
        <w:rFonts w:hint="default"/>
      </w:rPr>
    </w:lvl>
  </w:abstractNum>
  <w:abstractNum w:abstractNumId="13">
    <w:nsid w:val="DD4FFA48"/>
    <w:multiLevelType w:val="singleLevel"/>
    <w:tmpl w:val="DD4FFA48"/>
    <w:lvl w:ilvl="0" w:tentative="0">
      <w:start w:val="1"/>
      <w:numFmt w:val="chineseCounting"/>
      <w:suff w:val="nothing"/>
      <w:lvlText w:val="（%1）"/>
      <w:lvlJc w:val="left"/>
      <w:pPr>
        <w:ind w:left="0" w:firstLine="420"/>
      </w:pPr>
      <w:rPr>
        <w:rFonts w:hint="eastAsia"/>
      </w:rPr>
    </w:lvl>
  </w:abstractNum>
  <w:abstractNum w:abstractNumId="14">
    <w:nsid w:val="E0B96C7F"/>
    <w:multiLevelType w:val="singleLevel"/>
    <w:tmpl w:val="E0B96C7F"/>
    <w:lvl w:ilvl="0" w:tentative="0">
      <w:start w:val="1"/>
      <w:numFmt w:val="chineseCounting"/>
      <w:suff w:val="nothing"/>
      <w:lvlText w:val="（%1）"/>
      <w:lvlJc w:val="left"/>
      <w:pPr>
        <w:ind w:left="0" w:firstLine="420"/>
      </w:pPr>
      <w:rPr>
        <w:rFonts w:hint="eastAsia"/>
      </w:rPr>
    </w:lvl>
  </w:abstractNum>
  <w:abstractNum w:abstractNumId="15">
    <w:nsid w:val="E3DC4053"/>
    <w:multiLevelType w:val="singleLevel"/>
    <w:tmpl w:val="E3DC4053"/>
    <w:lvl w:ilvl="0" w:tentative="0">
      <w:start w:val="1"/>
      <w:numFmt w:val="decimal"/>
      <w:lvlText w:val="(%1)"/>
      <w:lvlJc w:val="left"/>
      <w:pPr>
        <w:ind w:left="425" w:hanging="425"/>
      </w:pPr>
      <w:rPr>
        <w:rFonts w:hint="default"/>
      </w:rPr>
    </w:lvl>
  </w:abstractNum>
  <w:abstractNum w:abstractNumId="16">
    <w:nsid w:val="E5451567"/>
    <w:multiLevelType w:val="singleLevel"/>
    <w:tmpl w:val="E5451567"/>
    <w:lvl w:ilvl="0" w:tentative="0">
      <w:start w:val="1"/>
      <w:numFmt w:val="decimal"/>
      <w:lvlText w:val="%1."/>
      <w:lvlJc w:val="left"/>
      <w:pPr>
        <w:ind w:left="845" w:hanging="425"/>
      </w:pPr>
      <w:rPr>
        <w:rFonts w:hint="default"/>
      </w:rPr>
    </w:lvl>
  </w:abstractNum>
  <w:abstractNum w:abstractNumId="17">
    <w:nsid w:val="F19501EE"/>
    <w:multiLevelType w:val="singleLevel"/>
    <w:tmpl w:val="F19501EE"/>
    <w:lvl w:ilvl="0" w:tentative="0">
      <w:start w:val="1"/>
      <w:numFmt w:val="decimal"/>
      <w:lvlText w:val="%1."/>
      <w:lvlJc w:val="left"/>
      <w:pPr>
        <w:ind w:left="845" w:hanging="425"/>
      </w:pPr>
      <w:rPr>
        <w:rFonts w:hint="default"/>
      </w:rPr>
    </w:lvl>
  </w:abstractNum>
  <w:abstractNum w:abstractNumId="18">
    <w:nsid w:val="F4611F97"/>
    <w:multiLevelType w:val="singleLevel"/>
    <w:tmpl w:val="F4611F97"/>
    <w:lvl w:ilvl="0" w:tentative="0">
      <w:start w:val="1"/>
      <w:numFmt w:val="chineseCounting"/>
      <w:suff w:val="nothing"/>
      <w:lvlText w:val="（%1）"/>
      <w:lvlJc w:val="left"/>
      <w:pPr>
        <w:ind w:left="0" w:firstLine="420"/>
      </w:pPr>
      <w:rPr>
        <w:rFonts w:hint="eastAsia"/>
      </w:rPr>
    </w:lvl>
  </w:abstractNum>
  <w:abstractNum w:abstractNumId="19">
    <w:nsid w:val="F981AB22"/>
    <w:multiLevelType w:val="singleLevel"/>
    <w:tmpl w:val="F981AB22"/>
    <w:lvl w:ilvl="0" w:tentative="0">
      <w:start w:val="1"/>
      <w:numFmt w:val="decimal"/>
      <w:lvlText w:val="(%1)"/>
      <w:lvlJc w:val="left"/>
      <w:pPr>
        <w:ind w:left="425" w:hanging="425"/>
      </w:pPr>
      <w:rPr>
        <w:rFonts w:hint="default"/>
      </w:rPr>
    </w:lvl>
  </w:abstractNum>
  <w:abstractNum w:abstractNumId="20">
    <w:nsid w:val="FBFB9E54"/>
    <w:multiLevelType w:val="singleLevel"/>
    <w:tmpl w:val="FBFB9E54"/>
    <w:lvl w:ilvl="0" w:tentative="0">
      <w:start w:val="1"/>
      <w:numFmt w:val="decimal"/>
      <w:lvlText w:val="(%1)"/>
      <w:lvlJc w:val="left"/>
      <w:pPr>
        <w:ind w:left="845" w:hanging="425"/>
      </w:pPr>
      <w:rPr>
        <w:rFonts w:hint="default"/>
      </w:rPr>
    </w:lvl>
  </w:abstractNum>
  <w:abstractNum w:abstractNumId="21">
    <w:nsid w:val="FC1862B8"/>
    <w:multiLevelType w:val="singleLevel"/>
    <w:tmpl w:val="FC1862B8"/>
    <w:lvl w:ilvl="0" w:tentative="0">
      <w:start w:val="1"/>
      <w:numFmt w:val="decimal"/>
      <w:lvlText w:val="(%1)"/>
      <w:lvlJc w:val="left"/>
      <w:pPr>
        <w:ind w:left="425" w:hanging="425"/>
      </w:pPr>
      <w:rPr>
        <w:rFonts w:hint="default"/>
      </w:rPr>
    </w:lvl>
  </w:abstractNum>
  <w:abstractNum w:abstractNumId="22">
    <w:nsid w:val="0ACB0715"/>
    <w:multiLevelType w:val="singleLevel"/>
    <w:tmpl w:val="0ACB0715"/>
    <w:lvl w:ilvl="0" w:tentative="0">
      <w:start w:val="1"/>
      <w:numFmt w:val="decimal"/>
      <w:lvlText w:val="%1."/>
      <w:lvlJc w:val="left"/>
      <w:pPr>
        <w:ind w:left="845" w:hanging="425"/>
      </w:pPr>
      <w:rPr>
        <w:rFonts w:hint="default"/>
      </w:rPr>
    </w:lvl>
  </w:abstractNum>
  <w:abstractNum w:abstractNumId="23">
    <w:nsid w:val="0AEA74CD"/>
    <w:multiLevelType w:val="singleLevel"/>
    <w:tmpl w:val="0AEA74CD"/>
    <w:lvl w:ilvl="0" w:tentative="0">
      <w:start w:val="1"/>
      <w:numFmt w:val="chineseCounting"/>
      <w:suff w:val="nothing"/>
      <w:lvlText w:val="%1、"/>
      <w:lvlJc w:val="left"/>
      <w:pPr>
        <w:ind w:left="-210" w:firstLine="420"/>
      </w:pPr>
      <w:rPr>
        <w:rFonts w:hint="eastAsia"/>
      </w:rPr>
    </w:lvl>
  </w:abstractNum>
  <w:abstractNum w:abstractNumId="24">
    <w:nsid w:val="154AD6C2"/>
    <w:multiLevelType w:val="singleLevel"/>
    <w:tmpl w:val="154AD6C2"/>
    <w:lvl w:ilvl="0" w:tentative="0">
      <w:start w:val="1"/>
      <w:numFmt w:val="decimal"/>
      <w:lvlText w:val="(%1)"/>
      <w:lvlJc w:val="left"/>
      <w:pPr>
        <w:ind w:left="425" w:hanging="425"/>
      </w:pPr>
      <w:rPr>
        <w:rFonts w:hint="default"/>
      </w:rPr>
    </w:lvl>
  </w:abstractNum>
  <w:abstractNum w:abstractNumId="25">
    <w:nsid w:val="1FF126BD"/>
    <w:multiLevelType w:val="singleLevel"/>
    <w:tmpl w:val="1FF126BD"/>
    <w:lvl w:ilvl="0" w:tentative="0">
      <w:start w:val="1"/>
      <w:numFmt w:val="decimal"/>
      <w:lvlText w:val="(%1)"/>
      <w:lvlJc w:val="left"/>
      <w:pPr>
        <w:ind w:left="425" w:hanging="425"/>
      </w:pPr>
      <w:rPr>
        <w:rFonts w:hint="default"/>
      </w:rPr>
    </w:lvl>
  </w:abstractNum>
  <w:abstractNum w:abstractNumId="26">
    <w:nsid w:val="2157C8E3"/>
    <w:multiLevelType w:val="singleLevel"/>
    <w:tmpl w:val="2157C8E3"/>
    <w:lvl w:ilvl="0" w:tentative="0">
      <w:start w:val="1"/>
      <w:numFmt w:val="chineseCounting"/>
      <w:suff w:val="nothing"/>
      <w:lvlText w:val="（%1）"/>
      <w:lvlJc w:val="left"/>
      <w:pPr>
        <w:ind w:left="0" w:firstLine="420"/>
      </w:pPr>
      <w:rPr>
        <w:rFonts w:hint="eastAsia"/>
      </w:rPr>
    </w:lvl>
  </w:abstractNum>
  <w:abstractNum w:abstractNumId="27">
    <w:nsid w:val="225A1773"/>
    <w:multiLevelType w:val="singleLevel"/>
    <w:tmpl w:val="225A1773"/>
    <w:lvl w:ilvl="0" w:tentative="0">
      <w:start w:val="1"/>
      <w:numFmt w:val="decimal"/>
      <w:lvlText w:val="%1."/>
      <w:lvlJc w:val="left"/>
      <w:pPr>
        <w:ind w:left="845" w:hanging="425"/>
      </w:pPr>
      <w:rPr>
        <w:rFonts w:hint="default"/>
      </w:rPr>
    </w:lvl>
  </w:abstractNum>
  <w:abstractNum w:abstractNumId="28">
    <w:nsid w:val="22C6269B"/>
    <w:multiLevelType w:val="singleLevel"/>
    <w:tmpl w:val="22C6269B"/>
    <w:lvl w:ilvl="0" w:tentative="0">
      <w:start w:val="1"/>
      <w:numFmt w:val="decimal"/>
      <w:lvlText w:val="(%1)"/>
      <w:lvlJc w:val="left"/>
      <w:pPr>
        <w:ind w:left="425" w:hanging="425"/>
      </w:pPr>
      <w:rPr>
        <w:rFonts w:hint="default"/>
      </w:rPr>
    </w:lvl>
  </w:abstractNum>
  <w:abstractNum w:abstractNumId="29">
    <w:nsid w:val="27305373"/>
    <w:multiLevelType w:val="singleLevel"/>
    <w:tmpl w:val="27305373"/>
    <w:lvl w:ilvl="0" w:tentative="0">
      <w:start w:val="1"/>
      <w:numFmt w:val="decimal"/>
      <w:lvlText w:val="%1."/>
      <w:lvlJc w:val="left"/>
      <w:pPr>
        <w:ind w:left="845" w:hanging="425"/>
      </w:pPr>
      <w:rPr>
        <w:rFonts w:hint="default"/>
      </w:rPr>
    </w:lvl>
  </w:abstractNum>
  <w:abstractNum w:abstractNumId="30">
    <w:nsid w:val="34E68C8E"/>
    <w:multiLevelType w:val="singleLevel"/>
    <w:tmpl w:val="34E68C8E"/>
    <w:lvl w:ilvl="0" w:tentative="0">
      <w:start w:val="1"/>
      <w:numFmt w:val="decimal"/>
      <w:lvlText w:val="%1."/>
      <w:lvlJc w:val="left"/>
      <w:pPr>
        <w:ind w:left="845" w:hanging="425"/>
      </w:pPr>
      <w:rPr>
        <w:rFonts w:hint="default"/>
      </w:rPr>
    </w:lvl>
  </w:abstractNum>
  <w:abstractNum w:abstractNumId="31">
    <w:nsid w:val="3F06C7D7"/>
    <w:multiLevelType w:val="singleLevel"/>
    <w:tmpl w:val="3F06C7D7"/>
    <w:lvl w:ilvl="0" w:tentative="0">
      <w:start w:val="1"/>
      <w:numFmt w:val="decimal"/>
      <w:lvlText w:val="(%1)"/>
      <w:lvlJc w:val="left"/>
      <w:pPr>
        <w:ind w:left="425" w:hanging="425"/>
      </w:pPr>
      <w:rPr>
        <w:rFonts w:hint="default"/>
      </w:rPr>
    </w:lvl>
  </w:abstractNum>
  <w:abstractNum w:abstractNumId="32">
    <w:nsid w:val="3F2EE84A"/>
    <w:multiLevelType w:val="singleLevel"/>
    <w:tmpl w:val="3F2EE84A"/>
    <w:lvl w:ilvl="0" w:tentative="0">
      <w:start w:val="1"/>
      <w:numFmt w:val="decimal"/>
      <w:lvlText w:val="%1."/>
      <w:lvlJc w:val="left"/>
      <w:pPr>
        <w:ind w:left="845" w:hanging="425"/>
      </w:pPr>
      <w:rPr>
        <w:rFonts w:hint="default"/>
      </w:rPr>
    </w:lvl>
  </w:abstractNum>
  <w:abstractNum w:abstractNumId="33">
    <w:nsid w:val="44ED1AD0"/>
    <w:multiLevelType w:val="singleLevel"/>
    <w:tmpl w:val="44ED1AD0"/>
    <w:lvl w:ilvl="0" w:tentative="0">
      <w:start w:val="1"/>
      <w:numFmt w:val="decimal"/>
      <w:lvlText w:val="%1."/>
      <w:lvlJc w:val="left"/>
      <w:pPr>
        <w:ind w:left="845" w:hanging="425"/>
      </w:pPr>
      <w:rPr>
        <w:rFonts w:hint="default"/>
      </w:rPr>
    </w:lvl>
  </w:abstractNum>
  <w:abstractNum w:abstractNumId="34">
    <w:nsid w:val="486C90FB"/>
    <w:multiLevelType w:val="singleLevel"/>
    <w:tmpl w:val="486C90FB"/>
    <w:lvl w:ilvl="0" w:tentative="0">
      <w:start w:val="1"/>
      <w:numFmt w:val="decimal"/>
      <w:lvlText w:val="%1."/>
      <w:lvlJc w:val="left"/>
      <w:pPr>
        <w:ind w:left="845" w:hanging="425"/>
      </w:pPr>
      <w:rPr>
        <w:rFonts w:hint="default"/>
      </w:rPr>
    </w:lvl>
  </w:abstractNum>
  <w:abstractNum w:abstractNumId="35">
    <w:nsid w:val="4A8CB3B9"/>
    <w:multiLevelType w:val="singleLevel"/>
    <w:tmpl w:val="4A8CB3B9"/>
    <w:lvl w:ilvl="0" w:tentative="0">
      <w:start w:val="1"/>
      <w:numFmt w:val="decimal"/>
      <w:lvlText w:val="(%1)"/>
      <w:lvlJc w:val="left"/>
      <w:pPr>
        <w:ind w:left="425" w:hanging="425"/>
      </w:pPr>
      <w:rPr>
        <w:rFonts w:hint="default"/>
      </w:rPr>
    </w:lvl>
  </w:abstractNum>
  <w:abstractNum w:abstractNumId="36">
    <w:nsid w:val="4FFAF9C2"/>
    <w:multiLevelType w:val="singleLevel"/>
    <w:tmpl w:val="4FFAF9C2"/>
    <w:lvl w:ilvl="0" w:tentative="0">
      <w:start w:val="1"/>
      <w:numFmt w:val="decimal"/>
      <w:lvlText w:val="(%1)"/>
      <w:lvlJc w:val="left"/>
      <w:pPr>
        <w:ind w:left="425" w:hanging="425"/>
      </w:pPr>
      <w:rPr>
        <w:rFonts w:hint="default"/>
      </w:rPr>
    </w:lvl>
  </w:abstractNum>
  <w:abstractNum w:abstractNumId="37">
    <w:nsid w:val="53BA1CE5"/>
    <w:multiLevelType w:val="singleLevel"/>
    <w:tmpl w:val="53BA1CE5"/>
    <w:lvl w:ilvl="0" w:tentative="0">
      <w:start w:val="1"/>
      <w:numFmt w:val="decimal"/>
      <w:lvlText w:val="%1."/>
      <w:lvlJc w:val="left"/>
      <w:pPr>
        <w:ind w:left="845" w:hanging="425"/>
      </w:pPr>
      <w:rPr>
        <w:rFonts w:hint="default"/>
      </w:rPr>
    </w:lvl>
  </w:abstractNum>
  <w:abstractNum w:abstractNumId="38">
    <w:nsid w:val="60C79882"/>
    <w:multiLevelType w:val="singleLevel"/>
    <w:tmpl w:val="60C79882"/>
    <w:lvl w:ilvl="0" w:tentative="0">
      <w:start w:val="1"/>
      <w:numFmt w:val="chineseCounting"/>
      <w:suff w:val="nothing"/>
      <w:lvlText w:val="（%1）"/>
      <w:lvlJc w:val="left"/>
      <w:pPr>
        <w:ind w:left="0" w:firstLine="420"/>
      </w:pPr>
      <w:rPr>
        <w:rFonts w:hint="eastAsia"/>
      </w:rPr>
    </w:lvl>
  </w:abstractNum>
  <w:abstractNum w:abstractNumId="39">
    <w:nsid w:val="6641050C"/>
    <w:multiLevelType w:val="singleLevel"/>
    <w:tmpl w:val="6641050C"/>
    <w:lvl w:ilvl="0" w:tentative="0">
      <w:start w:val="1"/>
      <w:numFmt w:val="decimal"/>
      <w:lvlText w:val="%1."/>
      <w:lvlJc w:val="left"/>
      <w:pPr>
        <w:ind w:left="845" w:hanging="425"/>
      </w:pPr>
      <w:rPr>
        <w:rFonts w:hint="default"/>
      </w:rPr>
    </w:lvl>
  </w:abstractNum>
  <w:abstractNum w:abstractNumId="40">
    <w:nsid w:val="6FAA38C6"/>
    <w:multiLevelType w:val="singleLevel"/>
    <w:tmpl w:val="6FAA38C6"/>
    <w:lvl w:ilvl="0" w:tentative="0">
      <w:start w:val="1"/>
      <w:numFmt w:val="decimal"/>
      <w:lvlText w:val="(%1)"/>
      <w:lvlJc w:val="left"/>
      <w:pPr>
        <w:ind w:left="845" w:hanging="425"/>
      </w:pPr>
      <w:rPr>
        <w:rFonts w:hint="default"/>
      </w:rPr>
    </w:lvl>
  </w:abstractNum>
  <w:abstractNum w:abstractNumId="41">
    <w:nsid w:val="7B16DB62"/>
    <w:multiLevelType w:val="singleLevel"/>
    <w:tmpl w:val="7B16DB62"/>
    <w:lvl w:ilvl="0" w:tentative="0">
      <w:start w:val="1"/>
      <w:numFmt w:val="decimal"/>
      <w:lvlText w:val="(%1)"/>
      <w:lvlJc w:val="left"/>
      <w:pPr>
        <w:ind w:left="425" w:hanging="425"/>
      </w:pPr>
      <w:rPr>
        <w:rFonts w:hint="default"/>
      </w:rPr>
    </w:lvl>
  </w:abstractNum>
  <w:abstractNum w:abstractNumId="42">
    <w:nsid w:val="7D85EEF3"/>
    <w:multiLevelType w:val="singleLevel"/>
    <w:tmpl w:val="7D85EEF3"/>
    <w:lvl w:ilvl="0" w:tentative="0">
      <w:start w:val="1"/>
      <w:numFmt w:val="decimal"/>
      <w:lvlText w:val="%1."/>
      <w:lvlJc w:val="left"/>
      <w:pPr>
        <w:ind w:left="845" w:hanging="425"/>
      </w:pPr>
      <w:rPr>
        <w:rFonts w:hint="default"/>
      </w:rPr>
    </w:lvl>
  </w:abstractNum>
  <w:abstractNum w:abstractNumId="43">
    <w:nsid w:val="7F04180E"/>
    <w:multiLevelType w:val="singleLevel"/>
    <w:tmpl w:val="7F04180E"/>
    <w:lvl w:ilvl="0" w:tentative="0">
      <w:start w:val="1"/>
      <w:numFmt w:val="decimal"/>
      <w:lvlText w:val="%1."/>
      <w:lvlJc w:val="left"/>
      <w:pPr>
        <w:ind w:left="845" w:hanging="425"/>
      </w:pPr>
      <w:rPr>
        <w:rFonts w:hint="default"/>
      </w:rPr>
    </w:lvl>
  </w:abstractNum>
  <w:num w:numId="1">
    <w:abstractNumId w:val="23"/>
  </w:num>
  <w:num w:numId="2">
    <w:abstractNumId w:val="8"/>
  </w:num>
  <w:num w:numId="3">
    <w:abstractNumId w:val="27"/>
  </w:num>
  <w:num w:numId="4">
    <w:abstractNumId w:val="22"/>
  </w:num>
  <w:num w:numId="5">
    <w:abstractNumId w:val="0"/>
  </w:num>
  <w:num w:numId="6">
    <w:abstractNumId w:val="12"/>
  </w:num>
  <w:num w:numId="7">
    <w:abstractNumId w:val="10"/>
  </w:num>
  <w:num w:numId="8">
    <w:abstractNumId w:val="37"/>
  </w:num>
  <w:num w:numId="9">
    <w:abstractNumId w:val="40"/>
  </w:num>
  <w:num w:numId="10">
    <w:abstractNumId w:val="4"/>
  </w:num>
  <w:num w:numId="11">
    <w:abstractNumId w:val="20"/>
  </w:num>
  <w:num w:numId="12">
    <w:abstractNumId w:val="14"/>
  </w:num>
  <w:num w:numId="13">
    <w:abstractNumId w:val="2"/>
  </w:num>
  <w:num w:numId="14">
    <w:abstractNumId w:val="42"/>
  </w:num>
  <w:num w:numId="15">
    <w:abstractNumId w:val="21"/>
  </w:num>
  <w:num w:numId="16">
    <w:abstractNumId w:val="41"/>
  </w:num>
  <w:num w:numId="17">
    <w:abstractNumId w:val="39"/>
  </w:num>
  <w:num w:numId="18">
    <w:abstractNumId w:val="3"/>
  </w:num>
  <w:num w:numId="19">
    <w:abstractNumId w:val="28"/>
  </w:num>
  <w:num w:numId="20">
    <w:abstractNumId w:val="18"/>
  </w:num>
  <w:num w:numId="21">
    <w:abstractNumId w:val="15"/>
  </w:num>
  <w:num w:numId="22">
    <w:abstractNumId w:val="11"/>
  </w:num>
  <w:num w:numId="23">
    <w:abstractNumId w:val="35"/>
  </w:num>
  <w:num w:numId="24">
    <w:abstractNumId w:val="13"/>
  </w:num>
  <w:num w:numId="25">
    <w:abstractNumId w:val="32"/>
  </w:num>
  <w:num w:numId="26">
    <w:abstractNumId w:val="36"/>
  </w:num>
  <w:num w:numId="27">
    <w:abstractNumId w:val="24"/>
  </w:num>
  <w:num w:numId="28">
    <w:abstractNumId w:val="43"/>
  </w:num>
  <w:num w:numId="29">
    <w:abstractNumId w:val="19"/>
  </w:num>
  <w:num w:numId="30">
    <w:abstractNumId w:val="38"/>
  </w:num>
  <w:num w:numId="31">
    <w:abstractNumId w:val="9"/>
  </w:num>
  <w:num w:numId="32">
    <w:abstractNumId w:val="16"/>
  </w:num>
  <w:num w:numId="33">
    <w:abstractNumId w:val="26"/>
  </w:num>
  <w:num w:numId="34">
    <w:abstractNumId w:val="5"/>
  </w:num>
  <w:num w:numId="35">
    <w:abstractNumId w:val="29"/>
  </w:num>
  <w:num w:numId="36">
    <w:abstractNumId w:val="25"/>
  </w:num>
  <w:num w:numId="37">
    <w:abstractNumId w:val="33"/>
  </w:num>
  <w:num w:numId="38">
    <w:abstractNumId w:val="31"/>
  </w:num>
  <w:num w:numId="39">
    <w:abstractNumId w:val="1"/>
  </w:num>
  <w:num w:numId="40">
    <w:abstractNumId w:val="6"/>
  </w:num>
  <w:num w:numId="41">
    <w:abstractNumId w:val="34"/>
  </w:num>
  <w:num w:numId="42">
    <w:abstractNumId w:val="7"/>
  </w:num>
  <w:num w:numId="43">
    <w:abstractNumId w:val="17"/>
  </w:num>
  <w:num w:numId="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B31A92"/>
    <w:rsid w:val="27710810"/>
    <w:rsid w:val="2A225DF1"/>
    <w:rsid w:val="3AF46E8F"/>
    <w:rsid w:val="410248A6"/>
    <w:rsid w:val="45B31A92"/>
    <w:rsid w:val="57917F8F"/>
    <w:rsid w:val="5CD96260"/>
    <w:rsid w:val="76FE34B8"/>
    <w:rsid w:val="7D6767DD"/>
    <w:rsid w:val="7F1D58E6"/>
    <w:rsid w:val="D76DC0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uiPriority w:val="0"/>
    <w:pPr>
      <w:jc w:val="left"/>
    </w:pPr>
  </w:style>
  <w:style w:type="paragraph" w:styleId="7">
    <w:name w:val="toc 3"/>
    <w:basedOn w:val="1"/>
    <w:next w:val="1"/>
    <w:uiPriority w:val="0"/>
    <w:pPr>
      <w:ind w:left="840" w:leftChars="4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semiHidden/>
    <w:unhideWhenUsed/>
    <w:qFormat/>
    <w:uiPriority w:val="99"/>
  </w:style>
  <w:style w:type="paragraph" w:customStyle="1" w:styleId="17">
    <w:name w:val="11首头"/>
    <w:basedOn w:val="1"/>
    <w:qFormat/>
    <w:uiPriority w:val="0"/>
    <w:pPr>
      <w:spacing w:line="300" w:lineRule="auto"/>
    </w:pPr>
    <w:rPr>
      <w:rFonts w:ascii="黑体" w:eastAsia="黑体"/>
      <w:b/>
      <w:sz w:val="24"/>
    </w:rPr>
  </w:style>
  <w:style w:type="paragraph" w:customStyle="1" w:styleId="18">
    <w:name w:val="WPSOffice手动目录 1"/>
    <w:qFormat/>
    <w:uiPriority w:val="0"/>
    <w:pPr>
      <w:ind w:leftChars="0"/>
    </w:pPr>
    <w:rPr>
      <w:rFonts w:asciiTheme="minorHAnsi" w:hAnsiTheme="minorHAnsi" w:eastAsiaTheme="minorEastAsia" w:cstheme="minorBidi"/>
      <w:sz w:val="20"/>
      <w:szCs w:val="20"/>
    </w:rPr>
  </w:style>
  <w:style w:type="paragraph" w:customStyle="1" w:styleId="19">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52</Pages>
  <Words>0</Words>
  <Characters>0</Characters>
  <Lines>0</Lines>
  <Paragraphs>0</Paragraphs>
  <TotalTime>2</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2026-07-29T20:30:00Z</dcterms:created>
  <dc:creator>Aury.</dc:creator>
  <cp:lastModifiedBy>sjb2</cp:lastModifiedBy>
  <dcterms:modified xsi:type="dcterms:W3CDTF">2026-07-31T02:12:00Z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73AB65FD27B843F890A099CB14D33D0D_11</vt:lpwstr>
  </property>
  <property fmtid="{D5CDD505-2E9C-101B-9397-08002B2CF9AE}" pid="4" name="KSOTemplateDocerSaveRecord">
    <vt:lpwstr>eyJoZGlkIjoiYjk5ODM0YmMxOWJiYWQyNDU4MGIzYWRmYTA0ZmI5NDciLCJ1c2VySWQiOiI2ODI3NTg3MjYifQ==</vt:lpwstr>
  </property>
</Properties>
</file>