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23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风险匹配规则的核心逻辑是：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根据投资者的风险承受能力，向其销售风险等级匹配的金融产品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。这套规则主要依据国家金融监督管理总局发布的《金融机构产品适当性管理办法》（2026年2月1日起施行）。</w:t>
      </w:r>
    </w:p>
    <w:p w14:paraId="76BD9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1.核心原则：三大“不匹配”红线</w:t>
      </w:r>
    </w:p>
    <w:p w14:paraId="0F3BF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根据《办法》第十二条，以下情况属于“不具备适当性”，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金融机构不得向投资者销售产品：</w:t>
      </w:r>
    </w:p>
    <w:p w14:paraId="594C28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风险等级不匹配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：产品风险等级高于投资者风险承受能力。</w:t>
      </w:r>
    </w:p>
    <w:p w14:paraId="3D6C4F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财务状况不匹配：购买产品的资金与投资者的财务支付水平明显不匹配。</w:t>
      </w:r>
    </w:p>
    <w:p w14:paraId="79DCB6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其他明显不合适：投资者因年龄、认知能力等原因对产品存在重大理解障碍等。</w:t>
      </w:r>
    </w:p>
    <w:p w14:paraId="5FC38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2.风险等级划分：统一的“五级”标准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3"/>
        <w:gridCol w:w="6830"/>
      </w:tblGrid>
      <w:tr w14:paraId="5757E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F3A0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683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2F22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等级划分(由低到高)</w:t>
            </w:r>
          </w:p>
        </w:tc>
      </w:tr>
      <w:tr w14:paraId="66F05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568C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投资者风险等级</w:t>
            </w:r>
          </w:p>
        </w:tc>
        <w:tc>
          <w:tcPr>
            <w:tcW w:w="683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84A7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 (保守型) → C2 (稳健型) → C3 (平衡型) → C4 (积极型) → C5 (激进型)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"https://www.fidelity.com.cn/investor-product-risk-classification-and-matching/"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"https://www.howbuy.com/fund/info/dtl/0084495252005.htm"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1A0C5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503E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产品风险等级</w:t>
            </w:r>
          </w:p>
        </w:tc>
        <w:tc>
          <w:tcPr>
            <w:tcW w:w="683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0AC7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R1 (低风险) → R2 (中低风险) → R3 (中风险) → R4 (中高风险) → R5 (高风险)</w:t>
            </w:r>
          </w:p>
        </w:tc>
      </w:tr>
    </w:tbl>
    <w:p w14:paraId="049ED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61EA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3.匹配规则</w:t>
      </w:r>
    </w:p>
    <w:tbl>
      <w:tblPr>
        <w:tblW w:w="83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4"/>
        <w:gridCol w:w="5434"/>
      </w:tblGrid>
      <w:tr w14:paraId="287D4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24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CA511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投资者等级</w:t>
            </w:r>
          </w:p>
        </w:tc>
        <w:tc>
          <w:tcPr>
            <w:tcW w:w="5434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2BF8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可购买产品等级</w:t>
            </w:r>
          </w:p>
        </w:tc>
      </w:tr>
      <w:tr w14:paraId="437B7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51285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 (保守型)</w:t>
            </w:r>
          </w:p>
        </w:tc>
        <w:tc>
          <w:tcPr>
            <w:tcW w:w="5434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B2F3C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仅限 R1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（如货币基金）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"https://www.howbuy.com/fund/info/dtl/0084495252005.htm"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70F38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C694F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C2 (稳健型)</w:t>
            </w:r>
          </w:p>
        </w:tc>
        <w:tc>
          <w:tcPr>
            <w:tcW w:w="5434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1DD19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R1、R2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（如债券基金）</w:t>
            </w:r>
          </w:p>
        </w:tc>
      </w:tr>
      <w:tr w14:paraId="204A9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E12FB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C3 (平衡型)</w:t>
            </w:r>
          </w:p>
        </w:tc>
        <w:tc>
          <w:tcPr>
            <w:tcW w:w="5434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2563F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R1、R2、R3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（如混合基金）</w:t>
            </w:r>
          </w:p>
        </w:tc>
      </w:tr>
      <w:tr w14:paraId="2390C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E4664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C4 (积极型)</w:t>
            </w:r>
          </w:p>
        </w:tc>
        <w:tc>
          <w:tcPr>
            <w:tcW w:w="5434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56C3C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R1、R2、R3、R4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（如股票基金）</w:t>
            </w:r>
          </w:p>
        </w:tc>
      </w:tr>
      <w:tr w14:paraId="1390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3B31D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C5 (激进型)</w:t>
            </w:r>
          </w:p>
        </w:tc>
        <w:tc>
          <w:tcPr>
            <w:tcW w:w="5434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3CDAB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所有等级 (R1-R5)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（如期货、期权等）</w:t>
            </w:r>
          </w:p>
        </w:tc>
      </w:tr>
    </w:tbl>
    <w:p w14:paraId="3C847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A1DE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专业投资者不受限制，若产品发行方与销售方评级不同，遵循“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孰高原则”</w:t>
      </w:r>
    </w:p>
    <w:p w14:paraId="74735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AED330"/>
    <w:multiLevelType w:val="singleLevel"/>
    <w:tmpl w:val="A5AED3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DC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2026-07-26T11:02:40Z</dcterms:created>
  <dc:creator>lenovo</dc:creator>
  <cp:lastModifiedBy>Aury.</cp:lastModifiedBy>
  <dcterms:modified xsi:type="dcterms:W3CDTF">2026-07-26T12:00:34Z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eyJoZGlkIjoiYjk5ODM0YmMxOWJiYWQyNDU4MGIzYWRmYTA0ZmI5NDciLCJ1c2VySWQiOiI2ODI3NTg3MjYifQ==</vt:lpwstr>
  </property>
  <property fmtid="{D5CDD505-2E9C-101B-9397-08002B2CF9AE}" pid="4" name="ICV">
    <vt:lpwstr>D3347F3FF938486BA2B2F37DD578477D_12</vt:lpwstr>
  </property>
</Properties>
</file>