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DEG and candidate-gene selection final methods package 48c</w:t>
      </w:r>
    </w:p>
    <w:p>
      <w:pPr>
        <w:pStyle w:val="Titre2"/>
      </w:pPr>
      <w:r>
        <w:t xml:space="preserve">Methods DEG paragraph</w:t>
      </w:r>
    </w:p>
    <w:p>
      <w:pPr>
        <w:pStyle w:val="Normal"/>
      </w:pPr>
      <w:r>
        <w:t xml:space="preserve">Differential expression analysis for descriptive bulk transcriptomic characterization was performed using limma on the merged gene-level expression matrix. The limma model included disease group and dataset/batch structure to account for cross-cohort heterogeneity. Genes were considered differentially expressed when they satisfied adjusted P &lt; 0.05 and |log2FC| &gt;= 0.5, with adjusted P values controlled using the Benjamini-Hochberg false-discovery-rate procedure. This merged-matrix DEG analysis was used for descriptive DEG reporting and Figure 2 visualization.</w:t>
      </w:r>
    </w:p>
    <w:p>
      <w:pPr>
        <w:pStyle w:val="Titre2"/>
      </w:pPr>
      <w:r>
        <w:t xml:space="preserve">Methods candidate-selection paragraph</w:t>
      </w:r>
    </w:p>
    <w:p>
      <w:pPr>
        <w:pStyle w:val="Normal"/>
      </w:pPr>
      <w:r>
        <w:t xml:space="preserve">For nested model development, candidate-gene filtering was performed within the training data of each outer LODO split, and held-out cohorts were not used for feature filtering. Genes passing the DEG screen were ranked by adjusted P value and absolute log2 fold-change, with up to 300 candidate DEGs retained for dataset-level screening. Candidate genes were then filtered according to direction consistency across training datasets or folds, mean univariate discriminatory performance, and correlation-based redundancy before glmnet modeling. The predefined filters were direction consistency &gt;= 0.8, mean univariate AUROC &gt;= 0.7, and correlation-based redundancy filtering at |r| &gt;= 0.85. The retained genes were then passed to the nested LODO penalized-regression workflow.</w:t>
      </w:r>
    </w:p>
    <w:p>
      <w:pPr>
        <w:pStyle w:val="Titre2"/>
      </w:pPr>
      <w:r>
        <w:t xml:space="preserve">Methods role-separation paragraph</w:t>
      </w:r>
    </w:p>
    <w:p>
      <w:pPr>
        <w:pStyle w:val="Normal"/>
      </w:pPr>
      <w:r>
        <w:t xml:space="preserve">Thus, the merged-matrix DEG analysis and the training-data candidate-selection procedure served different purposes: the former was used for descriptive visualization, whereas the latter defined the model-development candidate pool under the nested LODO framework.</w:t>
      </w:r>
    </w:p>
    <w:p>
      <w:pPr>
        <w:pStyle w:val="Titre2"/>
      </w:pPr>
      <w:r>
        <w:t xml:space="preserve">Figure 2 legend replacement</w:t>
      </w:r>
    </w:p>
    <w:p>
      <w:pPr>
        <w:pStyle w:val="Normal"/>
      </w:pPr>
      <w:r>
        <w:t xml:space="preserve">Differentially expressed genes were defined in the descriptive merged-matrix limma analysis as genes satisfying adjusted P &lt; 0.05 and |log2FC| &gt;= 0.5 using Benjamini-Hochberg FDR adjustment. Candidate-gene filtering for model development was performed within the nested LODO training workflow using direction consistency &gt;= 0.8, mean univariate AUROC &gt;= 0.7, and correlation-based redundancy filtering at |r| &gt;= 0.85 before glmnet model fitting.</w:t>
      </w:r>
    </w:p>
    <w:p>
      <w:pPr>
        <w:pStyle w:val="Titre2"/>
      </w:pPr>
      <w:r>
        <w:t xml:space="preserve">Final audit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5184"/>
        <w:gridCol w:w="4320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method_item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final_decision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evidence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status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script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/Users/felix/Documents/Sepsis_CrossCohort_scRNA/03_scripts/04_expression_annotation_merge_DEG.R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Located by filename or limma/DEG code pattern.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selection script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/Users/felix/Documents/Sepsis_CrossCohort_scRNA/03_scripts/07_candidate_gene_selection_preparation.R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Located by filename or candidate-selection threshold pattern.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 filtering source script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/Users/felix/Documents/Sepsis_CrossCohort_scRNA/03_scripts/07b_candidate_gene_refinement_for_modeling.R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Located by correlation-threshold code pattern.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READY_OR_CARRIED_FORWARD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software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limma linear modeling with empirical Bayes moderation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script includes limma code.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matrix/source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Merged gene-level expression matrix across included bulk cohorts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script includes merged expression objects.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Batch-aware limma model including disease group and dataset/batch 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script includes design/dataset/batch-related code.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DEG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&lt; 0.05 and |log2FC| &gt;=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script includes adj.P.Val and abs(logFC) threshold logic.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P correction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Benjamini-Hochberg FDR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limma topTable adjusted P values; BH/FDR method used for multiple-testing correction.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manuscript 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Used for descriptive DEG reporting and Figure 2 visualization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DEG outputs are used for DEG reporting and visualization.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selection DEG 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filtering for nested LODO model development used training-data candidate-selection evidence; held-out cohorts were not used for feature filtering within outer LODO splits.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Candidate-selection traces include candidate DEG, direction consistency, AUROC, and training/fold context.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Maximum initial candidate DEG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script contains max_candidate_genes assignment.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Direction consistency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&gt;= 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script contains min_direction_consistency assignment.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Univariate AUROC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&gt;= 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script contains min_mean_auc assignment.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 filtering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|r| &gt;= 0.85 treated as high redundancy for correlation filtering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 threshold source detected or carried forward from Step 48.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selection 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DEG screen -&gt; cap initial DEG candidates by adjusted P and |log2FC| ranking -&gt; direction consistency -&gt; mean univariate AUROC -&gt; correlation-based redundancy filtering -&gt; nested glmnet modeling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Candidate-selection code and audit trace.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Leakage-control wording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Feature filtering and candidate selection for nested LODO model development were restricted to training cohorts within each outer split.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Nested LODO leakage-control logic from method design.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Figure 2 wording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Replace vague frozen-workflow phrasing with explicit DEG threshold and downstream filters.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Generated in 48c.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READY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felix</cp:lastModifiedBy>
  <cp:revision>9</cp:revision>
  <dcterms:created xsi:type="dcterms:W3CDTF">2017-02-28T11:18:00Z</dcterms:created>
  <dcterms:modified xsi:type="dcterms:W3CDTF">2026-05-11T18:37:22Z</dcterms:modified>
  <cp:category/>
</cp:coreProperties>
</file>