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Titre1"/>
      </w:pPr>
      <w:r>
        <w:t xml:space="preserve">Nested LODO methods final text package</w:t>
      </w:r>
    </w:p>
    <w:p>
      <w:pPr>
        <w:pStyle w:val="Titre2"/>
      </w:pPr>
      <w:r>
        <w:t xml:space="preserve">Final Methods text</w:t>
      </w:r>
    </w:p>
    <w:p>
      <w:pPr>
        <w:pStyle w:val="Normal"/>
      </w:pPr>
      <w:r>
        <w:t xml:space="preserve">Model development was performed using a strictly nested leave-one-dataset-out (LODO) design. In each outer split, one bulk transcriptomic cohort was held out for evaluation, whereas feature filtering, preprocessing parameters, alpha/lambda tuning, threshold selection, and model fitting were restricted to the remaining training cohorts. Penalized logistic regression was fitted using glmnet with family = "binomial", type.measure = "auc", and standardize = FALSE.
Within each outer training set, a predefined alpha grid of 1.00, 0.75, and 0.50 was evaluated using 5-fold inner cross-validation. The inner folds were implemented by an explicitly constructed foldid vector and passed to cv.glmnet. Because cv.glmnet does not automatically search over alpha, each alpha value was evaluated explicitly within the training data, and alpha selection was based only on inner cross-validation performance. For the selected alpha, lambda.1se was used as the final penalty parameter to favor a more parsimonious model within one standard error of the minimum cross-validation error. After nested LODO model selection, the final compact model was trained using a separate 10-fold cross-validation procedure.
The classification threshold was selected within the training data only using the Youden index and was then applied unchanged to the corresponding held-out cohort. No threshold re-selection was performed in held-out data.
Discrimination was assessed using AUROC and AUPRC. AUROC 95% confidence intervals were estimated using DeLong's method as implemented in pROC. AUPRC was calculated from precision-recall curves using PRROC::pr.curve. The Brier score was calculated as the mean squared difference between the observed binary outcome and the predicted probability. Calibration intercept and slope were estimated using logistic calibration or rms::val.prob-style validation of predicted probabilities.
Samples lacking required phenotype labels or required signature-gene measurements were excluded from the corresponding analysis by the predefined complete-case rule. No class weights were passed to glmnet model fitting, and no oversampling, undersampling, SMOTE, ROSE, or synthetic resampling was used in the audited modeling calls.</w:t>
      </w:r>
    </w:p>
    <w:p>
      <w:pPr>
        <w:pStyle w:val="Titre2"/>
      </w:pPr>
      <w:r>
        <w:t xml:space="preserve">Final methods audit</w:t>
      </w:r>
    </w:p>
    <w:tbl xmlns:a="http://schemas.openxmlformats.org/drawingml/2006/main" xmlns:pic="http://schemas.openxmlformats.org/drawingml/2006/picture">
      <w:tblPr>
        <w:tblLayout w:type="fixed"/>
        <w:jc w:val="center"/>
        <w:tblLook w:firstRow="1" w:lastRow="0" w:firstColumn="0" w:lastColumn="0" w:noHBand="0" w:noVBand="1"/>
      </w:tblPr>
      <w:tblGrid>
        <w:gridCol w:w="2880"/>
        <w:gridCol w:w="4896"/>
        <w:gridCol w:w="3744"/>
        <w:gridCol w:w="1152"/>
      </w:tblGrid>
      <w:tr>
        <w:trPr>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7"/>
                <w:szCs w:val="17"/>
                <w:color w:val="000000"/>
              </w:rPr>
            </w:pPr>
            <w:r>
              <w:rPr>
                <w:rFonts w:ascii="Helvetica" w:hAnsi="Helvetica" w:eastAsia="Helvetica" w:cs="Helvetica"/>
                <w:i w:val="false"/>
                <w:b w:val="true"/>
                <w:u w:val="none"/>
                <w:strike w:val="false"/>
                <w:sz w:val="17"/>
                <w:szCs w:val="17"/>
                <w:color w:val="000000"/>
              </w:rPr>
              <w:t xml:space="preserve">method_item</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7"/>
                <w:szCs w:val="17"/>
                <w:color w:val="000000"/>
              </w:rPr>
            </w:pPr>
            <w:r>
              <w:rPr>
                <w:rFonts w:ascii="Helvetica" w:hAnsi="Helvetica" w:eastAsia="Helvetica" w:cs="Helvetica"/>
                <w:i w:val="false"/>
                <w:b w:val="true"/>
                <w:u w:val="none"/>
                <w:strike w:val="false"/>
                <w:sz w:val="17"/>
                <w:szCs w:val="17"/>
                <w:color w:val="000000"/>
              </w:rPr>
              <w:t xml:space="preserve">final_decision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7"/>
                <w:szCs w:val="17"/>
                <w:color w:val="000000"/>
              </w:rPr>
            </w:pPr>
            <w:r>
              <w:rPr>
                <w:rFonts w:ascii="Helvetica" w:hAnsi="Helvetica" w:eastAsia="Helvetica" w:cs="Helvetica"/>
                <w:i w:val="false"/>
                <w:b w:val="true"/>
                <w:u w:val="none"/>
                <w:strike w:val="false"/>
                <w:sz w:val="17"/>
                <w:szCs w:val="17"/>
                <w:color w:val="000000"/>
              </w:rPr>
              <w:t xml:space="preserve">evidence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7"/>
                <w:szCs w:val="17"/>
                <w:color w:val="000000"/>
              </w:rPr>
            </w:pPr>
            <w:r>
              <w:rPr>
                <w:rFonts w:ascii="Helvetica" w:hAnsi="Helvetica" w:eastAsia="Helvetica" w:cs="Helvetica"/>
                <w:i w:val="false"/>
                <w:b w:val="true"/>
                <w:u w:val="none"/>
                <w:strike w:val="false"/>
                <w:sz w:val="17"/>
                <w:szCs w:val="17"/>
                <w:color w:val="000000"/>
              </w:rPr>
              <w:t xml:space="preserve">status</w:t>
            </w:r>
          </w:p>
        </w:tc>
      </w:tr>
      <w:tr>
        <w:trPr>
          <w:trHeight w:val="360"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Nested LODO outer loop</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Leave-one-dataset-out outer validation, with one bulk cohort held out at each outer split.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Project design and nested LODO scripts.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READY</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Nested LODO inner CV folds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5-fold inner cross-validation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08_LODO_diagnostic_modeling.R and 14_nested_LODO_full_pipeline.R contain nfolds_inner_cv &lt;- 5 and construct foldid from seq_len(nfolds_inner_cv).</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READY</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Final compact model training CV folds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10-fold cross-validation for the final compact model trained after nested LODO selection.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10_final_compact_model_training.R contains nfolds_cv &lt;- 10 and constructs foldid from seq_len(nfolds_cv).</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READY</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foldid implementation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foldid was explicitly constructed and passed to cv.glmnet.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47c trace includes foldid &lt;- rep(seq_len(nfolds_inner_cv), ...) and foldid = foldid.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READY</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Model family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family = "binomial"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47 and 47b audit detected family = "binomial" in cv.glmnet calls.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READY</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glmnet type.measure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type.measure = "auc"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47 and 47b audit detected type.measure = "auc" in cv.glmnet calls.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READY</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glmnet standardize argument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standardize = FALSE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47 and 47b audit detected standardize = FALSE in cv.glmnet calls.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READY</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alpha grid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c(1.00, 0.75, 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47 audit detected alpha_grid &lt;- c(1.00, 0.75, 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READY</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alpha selection basis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Each alpha value was evaluated explicitly within training data because cv.glmnet does not search over alpha automatically.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Documented manually based on glmnet behavior and project alpha loop.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READY</w:t>
            </w:r>
          </w:p>
        </w:tc>
      </w:tr>
      <w:tr>
        <w:trPr>
          <w:trHeight w:val="360"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lambda selection rule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lambda.1se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Trace output contains lambda_rule &lt;- "lambda.1se", selected_lambda &lt;- lambda_rule, and prediction/coefficient extraction using selected_lambda.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READY</w:t>
            </w:r>
          </w:p>
        </w:tc>
      </w:tr>
      <w:tr>
        <w:trPr>
          <w:trHeight w:val="360"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threshold selection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Youden index selected within the training data only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47 audit detected Youden index.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READY</w:t>
            </w:r>
          </w:p>
        </w:tc>
      </w:tr>
      <w:tr>
        <w:trPr>
          <w:trHeight w:val="360"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AUROC 95% CI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pROC DeLong 95% CI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47 audit detected pROC DeLong 95% CI.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READY</w:t>
            </w:r>
          </w:p>
        </w:tc>
      </w:tr>
      <w:tr>
        <w:trPr>
          <w:trHeight w:val="360"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AUPRC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PRROC::pr.curve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47 audit detected PRROC::pr.curve.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READY</w:t>
            </w:r>
          </w:p>
        </w:tc>
      </w:tr>
      <w:tr>
        <w:trPr>
          <w:trHeight w:val="360"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Brier score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Mean squared error between observed binary outcome and predicted probability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47 audit detected Brier score calculation.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READY</w:t>
            </w:r>
          </w:p>
        </w:tc>
      </w:tr>
      <w:tr>
        <w:trPr>
          <w:trHeight w:val="360"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Calibration intercept/slope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Logistic calibration / rms::val.prob-style validation of predicted probabilities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47 audit detected rms::val.prob or equivalent logistic calibration.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READY</w:t>
            </w:r>
          </w:p>
        </w:tc>
      </w:tr>
      <w:tr>
        <w:trPr>
          <w:trHeight w:val="360"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Missing values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Complete-case filtering for required phenotype labels and signature-gene measurements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47 audit detected complete-case filtering or equivalent missingness handling.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READY</w:t>
            </w:r>
          </w:p>
        </w:tc>
      </w:tr>
      <w:tr>
        <w:trPr>
          <w:trHeight w:val="360" w:hRule="auto"/>
        </w:trPr>
        body17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Class weights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No class weights were passed to glmnet model fitting.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47b cv.glmnet audit found no weights argument in cv.glmnet calls.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READY</w:t>
            </w:r>
          </w:p>
        </w:tc>
      </w:tr>
      <w:tr>
        <w:trPr>
          <w:trHeight w:val="360" w:hRule="auto"/>
        </w:trPr>
        body18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Resampling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No oversampling, undersampling, SMOTE, ROSE, or synthetic resampling was used.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47b audit detected no resampling-related keywords in glmnet modeling contexts.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READY</w:t>
            </w:r>
          </w:p>
        </w:tc>
      </w:tr>
      <w:tr>
        <w:trPr>
          <w:trHeight w:val="360" w:hRule="auto"/>
        </w:trPr>
        body19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Leakage control</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Feature filtering, preprocessing/scaling, alpha/lambda tuning, threshold selection, and model fitting were restricted to the training cohorts within each outer LODO split.</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Nested design statement and script-level separation of training and held-out data.</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READY</w:t>
            </w:r>
          </w:p>
        </w:tc>
      </w:tr>
    </w:tbl>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felix</cp:lastModifiedBy>
  <cp:revision>9</cp:revision>
  <dcterms:created xsi:type="dcterms:W3CDTF">2017-02-28T11:18:00Z</dcterms:created>
  <dcterms:modified xsi:type="dcterms:W3CDTF">2026-05-11T18:25:08Z</dcterms:modified>
  <cp:category/>
</cp:coreProperties>
</file>