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1. Bulk transcriptomic datasets included in the cross-dataset sepsis analysis</w:t>
      </w:r>
    </w:p>
    <w:p>
      <w:pPr>
        <w:pStyle w:val="Normal"/>
      </w:pPr>
      <w:r>
        <w:t xml:space="preserve">Comparator groups and intermediate or repeated samples were defined according to the predefined binary sample-selection framework used in the current analysis. Detailed source references and cohort-specific verification notes are provided in Supplementary Table S1.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2"/>
        <w:gridCol w:w="1080"/>
        <w:gridCol w:w="1800"/>
        <w:gridCol w:w="2880"/>
        <w:gridCol w:w="2448"/>
        <w:gridCol w:w="3024"/>
        <w:gridCol w:w="2592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Platform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Sample 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Case definition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Comparator used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Sample-handling note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Role in this study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GSE137340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GPL10558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blood or whole-blood-derived expression matrix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Sepsis cases sampled at diagnosis and after 24 h.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Age- and sex-matched healthy controls.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Only the diagnostic or predefined sepsis time point was retained.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Included in cross-dataset model development and held-out validation.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GSE236713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GPL17077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or whole-blood-derived expression matrix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Adult severe systemic inflammation cohort including sepsis and SIRS-related comparisons.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Control samples defined by original study metadata.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SIRS or other intermediate inflammatory samples were handled by the predefined binary selection rule.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Included in cross-dataset model development and held-out validation.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GSE54514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GPL6947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Whole blood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Critically ill ICU patients with sepsis sampled longitudinally.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Healthy or non-sepsis comparator samples selected by sample-level phenotype annotation.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 longitudinal sepsis samples were restricted by the predefined selection rule.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Held-out transportability stress scenario.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GSE57065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GPL570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Whole blood or whole-blood-derived expression matrix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Patients with septic shock profiled for early dynamic gene-expression changes.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Healthy or non-sepsis control samples selected by phenotype annotation.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Early or serial samples were restricted by the predefined selection rule.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Included in cross-dataset model development and held-out validation.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GSE65682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GPL13667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Whole blood or whole-blood leukocyte expression profiling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Critically ill patients with sepsis or septic shock in a prospective systems-biology cohort.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Healthy controls selected for the current binary diagnostic comparison.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ICU diagnostic categories were not used in the primary binary comparison.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Included in cross-dataset model development and held-out validation.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GSE95233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GPL570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Whole blood or whole-blood-derived expression matrix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Patients with septic shock profiled for 28-day mortality-associated biomarkers.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Healthy controls or volunteers selected by phenotype annotation.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SIRS intermediate group was retained in the current binary comparison.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Included in cross-dataset model development and held-out validation.</w:t>
            </w:r>
          </w:p>
        </w:tc>
      </w:tr>
    </w:tbl>
    <w:p>
      <w:pPr>
        <w:pStyle w:val="Normal"/>
      </w:pPr>
      <w:r>
        <w:t xml:space="preserve">Abbreviations: GEO, Gene Expression Omnibus; ICU, intensive care unit; SIRS, systemic inflammatory response syndrome.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felix</cp:lastModifiedBy>
  <cp:revision>9</cp:revision>
  <dcterms:created xsi:type="dcterms:W3CDTF">2017-02-28T11:18:00Z</dcterms:created>
  <dcterms:modified xsi:type="dcterms:W3CDTF">2026-05-11T17:29:05Z</dcterms:modified>
  <cp:category/>
</cp:coreProperties>
</file>