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 w:eastAsia="Heiti TC" w:cs="Arial"/>
          <w:b/>
          <w:i w:val="0"/>
          <w:color w:val="000000"/>
          <w:sz w:val="46"/>
        </w:rPr>
        <w:t>Host RNA Signature Eligibility Criteria</w:t>
      </w:r>
    </w:p>
    <w:p>
      <w:pPr>
        <w:spacing w:after="280"/>
      </w:pPr>
      <w:r>
        <w:rPr>
          <w:rFonts w:ascii="Arial" w:hAnsi="Arial" w:eastAsia="Heiti TC" w:cs="Arial"/>
          <w:b w:val="0"/>
          <w:i w:val="0"/>
          <w:color w:val="555555"/>
          <w:sz w:val="28"/>
        </w:rPr>
        <w:t>Pre-specified rules for clinical purpose, fixed formulas, and computability</w:t>
      </w:r>
    </w:p>
    <w:p>
      <w:pPr>
        <w:spacing w:after="40"/>
      </w:pPr>
      <w:r>
        <w:rPr>
          <w:rFonts w:ascii="Arial" w:hAnsi="Arial" w:eastAsia="Heiti TC" w:cs="Arial"/>
          <w:b/>
          <w:i w:val="0"/>
          <w:color w:val="000000"/>
          <w:sz w:val="22"/>
        </w:rPr>
        <w:t xml:space="preserve">Version: </w:t>
      </w:r>
      <w:r>
        <w:rPr>
          <w:rFonts w:ascii="Arial" w:hAnsi="Arial" w:eastAsia="Heiti TC" w:cs="Arial"/>
          <w:b w:val="0"/>
          <w:i w:val="0"/>
          <w:color w:val="000000"/>
          <w:sz w:val="22"/>
        </w:rPr>
        <w:t>v1.0</w:t>
      </w:r>
    </w:p>
    <w:p>
      <w:pPr>
        <w:spacing w:after="40"/>
      </w:pPr>
      <w:r>
        <w:rPr>
          <w:rFonts w:ascii="Arial" w:hAnsi="Arial" w:eastAsia="Heiti TC" w:cs="Arial"/>
          <w:b/>
          <w:i w:val="0"/>
          <w:color w:val="000000"/>
          <w:sz w:val="22"/>
        </w:rPr>
        <w:t xml:space="preserve">Date: </w:t>
      </w:r>
      <w:r>
        <w:rPr>
          <w:rFonts w:ascii="Arial" w:hAnsi="Arial" w:eastAsia="Heiti TC" w:cs="Arial"/>
          <w:b w:val="0"/>
          <w:i w:val="0"/>
          <w:color w:val="000000"/>
          <w:sz w:val="22"/>
        </w:rPr>
        <w:t>2026-07-15</w:t>
      </w:r>
    </w:p>
    <w:p>
      <w:pPr>
        <w:spacing w:after="40"/>
      </w:pPr>
      <w:r>
        <w:rPr>
          <w:rFonts w:ascii="Arial" w:hAnsi="Arial" w:eastAsia="Heiti TC" w:cs="Arial"/>
          <w:b/>
          <w:i w:val="0"/>
          <w:color w:val="000000"/>
          <w:sz w:val="22"/>
        </w:rPr>
        <w:t xml:space="preserve">Status: </w:t>
      </w:r>
      <w:r>
        <w:rPr>
          <w:rFonts w:ascii="Arial" w:hAnsi="Arial" w:eastAsia="Heiti TC" w:cs="Arial"/>
          <w:b w:val="0"/>
          <w:i w:val="0"/>
          <w:color w:val="000000"/>
          <w:sz w:val="22"/>
        </w:rPr>
        <w:t>PRE-PERFORMANCE FREEZE</w:t>
      </w:r>
    </w:p>
    <w:p>
      <w:pPr>
        <w:spacing w:after="40"/>
      </w:pPr>
      <w:r>
        <w:rPr>
          <w:rFonts w:ascii="Arial" w:hAnsi="Arial" w:eastAsia="Heiti TC" w:cs="Arial"/>
          <w:b/>
          <w:i w:val="0"/>
          <w:color w:val="000000"/>
          <w:sz w:val="22"/>
        </w:rPr>
        <w:t xml:space="preserve">Applies to: </w:t>
      </w:r>
      <w:r>
        <w:rPr>
          <w:rFonts w:ascii="Arial" w:hAnsi="Arial" w:eastAsia="Heiti TC" w:cs="Arial"/>
          <w:b w:val="0"/>
          <w:i w:val="0"/>
          <w:color w:val="000000"/>
          <w:sz w:val="22"/>
        </w:rPr>
        <w:t>Stage 2 signature and dataset feasibility audit</w:t>
      </w:r>
    </w:p>
    <w:p>
      <w:pPr>
        <w:pStyle w:val="Heading1"/>
      </w:pPr>
      <w:r>
        <w:t>1. Purpose and immutable principle</w:t>
      </w:r>
    </w:p>
    <w:p>
      <w:r>
        <w:t>This document freezes the signature search scope, intended-use strata, evidence requirements, and reproducibility grades before any performance result is examined in newly identified datasets. A signature may be retained or excluded only for task concordance, formula completeness, primary-source support, computability, or access restrictions—not for AUROC, delta-AUROC, rank, or result direction.</w:t>
      </w:r>
    </w:p>
    <w:p>
      <w:pPr>
        <w:pStyle w:val="Heading1"/>
      </w:pPr>
      <w:r>
        <w:t>2. Signatures eligible for the main candidate library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Human peripheral blood, whole-blood, or PBMC host RNA signatures.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Sepsis versus non-sepsis signatures with a publication-time fixed gene set and recoverable scoring rule.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Sepsis versus sterile inflammation/SIRS signatures with traceable comparator definitions.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Infection versus noninfection signatures, retained as a pre-specified parallel intended-use stratum and never pooled with sepsis signatures in the primary ranking.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Fixed panels explicitly intended to support sepsis diagnosis and recoverable from the primary article, formal supplement, author code, patent, or official technical material.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Commercial signatures may be registered, but can receive A1/A2 only when the required inputs and computation rule are legally and technically accessible.</w:t>
      </w:r>
    </w:p>
    <w:p>
      <w:pPr>
        <w:pStyle w:val="Heading1"/>
      </w:pPr>
      <w:r>
        <w:t>3. Signature classes handled separately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Class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Disposition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Primary restriction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Bacterial vs viral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Separate exploratory module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Never pooled with sepsis or infection signatures in the primary ranking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Mortality/prognosis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Separate exploratory module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Different endpoint; not interpreted as diagnostic specificity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Sepsis subtype classifier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Subtype module or exclude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Described only when fixed class rules are recoverable without retraining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Model requiring retraining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Exclude from main library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External validation may not re-estimate features or weights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Gene list 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Grade B sensitivity candidate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Not a fixed signature and cannot support the primary conclusion</w:t>
            </w:r>
          </w:p>
        </w:tc>
      </w:tr>
    </w:tbl>
    <w:p>
      <w:pPr>
        <w:pStyle w:val="Heading1"/>
      </w:pPr>
      <w:r>
        <w:t>4. Mandatory inclusion fields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1.  A verifiable primary article or official technical source, with DOI, PMID, or stable URL.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2.  Formal name, aliases, year, specimen, platform, development case definition, and development comparator spectrum.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3.  Pre-coded intended task: sepsis/non-sepsis, infection/noninfection, bacterial/viral, subtype, prognosis, or other.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4.  Recoverable gene set and output direction; proposed A1/A2 signatures must also have a fixed scoring rule.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5.  Traceable development and external-validation cohorts for development-overlap auditing.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6.  Source locator for each key parameter: page/table, supplement, code file and line, patent claim, or technical section.</w:t>
      </w:r>
    </w:p>
    <w:p>
      <w:pPr>
        <w:pStyle w:val="Heading1"/>
      </w:pPr>
      <w:r>
        <w:t>5. Exclusion criteria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Only a secondary review description is available and the primary source cannot be recovered.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Key genes, coefficients, directions, intercept, or transformations contain an unresolved conflict.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The test outcome is required to retrain the model, select features, or optimize a threshold.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Unrecoverable training means/standard deviations, proprietary software, or black-box parameters prevent reconstruction of a continuous score.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Nonhuman or non-peripheral-blood specimen, or no direct diagnostic/infection intended use.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Task-discordant signature proposed for the confirmatory ranking.</w:t>
      </w:r>
    </w:p>
    <w:p>
      <w:pPr>
        <w:pStyle w:val="Heading1"/>
      </w:pPr>
      <w:r>
        <w:t>6. Source priority and conflict handling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1.  Author-released final code or officially locked implementation.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2.  Formal supplementary material.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3.  Methods in the primary article.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4.  Patent or official product technical material.</w:t>
      </w:r>
    </w:p>
    <w:p>
      <w:pPr>
        <w:spacing w:after="120"/>
        <w:ind w:left="720" w:hanging="360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5.  Later independent reproduction paper.</w:t>
      </w:r>
    </w:p>
    <w:p>
      <w:r>
        <w:t>Priority does not silently erase disagreement. Conflicting article, supplement, and code versions are all retained in the ambiguity log. A conflict is resolved only when version history, an author statement, or reproducible implementation evidence explains it. Missing coefficients, intercepts, or normalization parameters are never inferred from convention.</w:t>
      </w:r>
    </w:p>
    <w:p>
      <w:pPr>
        <w:pStyle w:val="Heading1"/>
      </w:pPr>
      <w:r>
        <w:t>7. Intended-use concordance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Definition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Analysis eligibility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TASK_CONCORDANT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Original intended use directly matches the case-comparator task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Eligible for the corresponding primary or key-secondary stratum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ADJACENT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Related but not the original target task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Pre-specified secondary or exploratory analysis only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DISCORDANT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Target task differs from the comparison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Excluded from confirmatory ranking and primary conclusions</w:t>
            </w:r>
          </w:p>
        </w:tc>
      </w:tr>
    </w:tbl>
    <w:p>
      <w:pPr>
        <w:pStyle w:val="Heading1"/>
      </w:pPr>
      <w:r>
        <w:t>8. A1/A2/B/X grading interface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900"/>
        <w:gridCol w:w="32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Minimum evidence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/>
                <w:i w:val="0"/>
                <w:color w:val="000000"/>
                <w:sz w:val="20"/>
              </w:rPr>
              <w:t>Permitted analyses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A1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Complete formula, preprocessing, original scale, threshold, and key-gene mapping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AUROC, ranking, fixed threshold; calibration requires additional probability-scale and sampling eligibility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Fixed continuous score and direction; threshold or transportable scale unavailable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AUROC, ranking, score distribution, and direction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Gene list/direction or incomplete rule requiring standardization or refitting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Sensitivity analysis only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Critical input, direction, or computation rule unrecoverable or irreconcilable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Heiti TC" w:cs="Arial"/>
                <w:b w:val="0"/>
                <w:i w:val="0"/>
                <w:color w:val="000000"/>
                <w:sz w:val="20"/>
              </w:rPr>
              <w:t>Excluded</w:t>
            </w:r>
          </w:p>
        </w:tc>
      </w:tr>
    </w:tbl>
    <w:p>
      <w:pPr>
        <w:pStyle w:val="Heading1"/>
      </w:pPr>
      <w:r>
        <w:t>9. Performance-result firewall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Eligibility and grading are frozen before pilot or new-dataset performance is viewed.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Synthetic minimal inputs and manual arithmetic may validate signature functions; real-dataset performance may not modify a formula.</w:t>
      </w:r>
    </w:p>
    <w:p>
      <w:pPr>
        <w:pStyle w:val="ListBullet"/>
      </w:pPr>
      <w:r>
        <w:rPr>
          <w:rFonts w:ascii="Arial" w:hAnsi="Arial" w:eastAsia="Heiti TC" w:cs="Arial"/>
          <w:b w:val="0"/>
          <w:i w:val="0"/>
          <w:color w:val="000000"/>
          <w:sz w:val="22"/>
        </w:rPr>
        <w:t>Poor performance is never a downgrade/exclusion reason. A primary-source error, formula conflict, or access restriction may trigger a versioned evidence correction with a retained change log.</w:t>
      </w:r>
    </w:p>
    <w:p>
      <w:pPr>
        <w:pStyle w:val="Heading1"/>
      </w:pPr>
      <w:r>
        <w:t>10. Stage gate</w:t>
      </w:r>
    </w:p>
    <w:p>
      <w:r>
        <w:t>A1+A2 &lt; 8: pause and reassess the research question. A1+A2 = 8–9: continue source retrieval but do not declare full GO. A1+A2 &gt;= 10: signature hard gate passes. If A1 &lt; 5, fixed-threshold analysis is automatically exploratory while AUROC and ranking remain eligible.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TC" w:cs="Arial"/>
        <w:b w:val="0"/>
        <w:i w:val="0"/>
        <w:color w:val="5555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Heiti TC" w:cs="Arial"/>
        <w:b/>
        <w:i w:val="0"/>
        <w:color w:val="555555"/>
        <w:sz w:val="18"/>
      </w:rPr>
      <w:t>STAGE 2 | 02_01 SIGNATURE ELIGIBILITY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Heiti TC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Heiti TC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Heiti TC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Heiti TC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Arial" w:hAnsi="Arial" w:eastAsia="Heiti TC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Arial" w:hAnsi="Arial" w:eastAsia="Heiti TC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