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left"/>
      </w:pPr>
      <w:r>
        <w:rPr>
          <w:rFonts w:ascii="Noto Serif CJK SC" w:hAnsi="Noto Serif CJK SC" w:eastAsia="Noto Serif CJK SC"/>
          <w:b/>
          <w:i w:val="0"/>
          <w:color w:val="1F4E79"/>
          <w:sz w:val="56"/>
        </w:rPr>
        <w:t>运营系统设计</w:t>
      </w:r>
    </w:p>
    <w:p>
      <w:pPr>
        <w:spacing w:after="320"/>
        <w:jc w:val="left"/>
      </w:pPr>
      <w:r>
        <w:rPr>
          <w:rFonts w:ascii="Noto Sans CJK SC" w:hAnsi="Noto Sans CJK SC" w:eastAsia="Noto Sans CJK SC"/>
          <w:b/>
          <w:i w:val="0"/>
          <w:color w:val="2F75B5"/>
          <w:sz w:val="36"/>
        </w:rPr>
        <w:t>扩展性、高性能与多数据域接入优化设计报告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EF4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报告定位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在不降级、不减能力、不推翻当前基线的前提下，把系统升级为“面向未来 API + 多类导入 + 统一事实层 + 利润/策略/执行闭环”的可持续架构。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6F2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版本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2026-03-20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6F2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适用对象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项目负责人 / 架构设计 / 接手开发者 / 前后端实现者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6F2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判断基线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你上传的所有 handoff、设计稿、阶段报告 + 你补充的扩展性分析 + 公开基线分支观察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6F2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基线分支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checkpoint/import-stable-51f7df8</w:t>
            </w:r>
          </w:p>
        </w:tc>
      </w:tr>
    </w:tbl>
    <w:p/>
    <w:p>
      <w:pPr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2"/>
        </w:rPr>
        <w:t>核心结论：当前项目的扩展方向是对的，但当前实现仍属于“可扩展原型 / 中段工程”；下一阶段必须从“功能增加”转向“主线统一 + profile/connector 框架化 + batch 持久化 + 统一事实层 + 工作台化前端”。</w:t>
      </w:r>
    </w:p>
    <w:p>
      <w:r>
        <w:br w:type="page"/>
      </w:r>
    </w:p>
    <w:p>
      <w:pPr>
        <w:pStyle w:val="Heading1"/>
        <w:spacing w:before="280" w:after="120"/>
        <w:keepNext/>
      </w:pPr>
      <w:r>
        <w:t>一、合并后的总体判断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当前项目不是“以后稍微一扩就会崩”的结构。相反，它已经拥有 registry 驱动字段体系、可信导入框架、主题事实层方向、API + 导入并存思路、前端主骨架，以及利润/策略/执行闭环方向稿。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但按当前实现状态，它仍然更接近“可扩展原型 / 中段工程”，而不是“高成熟扩展平台”。因此，下一阶段最正确的动作，不是继续堆页面或继续把更多规则塞进现有导入主文件，而是把扩展框架正式化。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本次优化后的总结论是：后端从“单一导入主文件 + 局部同步能力”升级为“数据集驱动的 ingestion 平台 + connector 框架 + 统一事实层 + 经营引擎层”；前端从“页面集合”升级为“Data Workspace + Domain Workspace + Action Workspace 三类工作台”。</w:t>
      </w:r>
    </w:p>
    <w:p>
      <w:pPr>
        <w:pStyle w:val="Heading1"/>
        <w:spacing w:before="280" w:after="120"/>
        <w:keepNext/>
      </w:pPr>
      <w:r>
        <w:t>二、本次报告吸收的判断基线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本报告显式综合了你上传的所有 handoff、阶段报告、方向报告、利润设计稿、利润阶段衔接稿、V5 系统设计稿，以及你本轮新增的扩展性与高性能分析，并以当前公开基线分支 checkpoint/import-stable-51f7df8 的真实目录与关键代码结构为观察基线。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361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处理方式</w:t>
            </w:r>
          </w:p>
        </w:tc>
        <w:tc>
          <w:tcPr>
            <w:tcW w:type="dxa" w:w="3118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新增分析中的判断</w:t>
            </w:r>
          </w:p>
        </w:tc>
        <w:tc>
          <w:tcPr>
            <w:tcW w:type="dxa" w:w="4535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优化后的处理结果</w:t>
            </w:r>
          </w:p>
        </w:tc>
      </w:tr>
      <w:tr>
        <w:tc>
          <w:tcPr>
            <w:tcW w:type="dxa" w:w="136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直接采纳</w:t>
            </w:r>
          </w:p>
        </w:tc>
        <w:tc>
          <w:tcPr>
            <w:tcW w:type="dxa" w:w="311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方向正确但成熟度未到高性能平台</w:t>
            </w:r>
          </w:p>
        </w:tc>
        <w:tc>
          <w:tcPr>
            <w:tcW w:type="dxa" w:w="45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与阶段报告、详细方向报告、当前仓库观察一致，保留其核心判断。</w:t>
            </w:r>
          </w:p>
        </w:tc>
      </w:tr>
      <w:tr>
        <w:tc>
          <w:tcPr>
            <w:tcW w:type="dxa" w:w="136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直接采纳</w:t>
            </w:r>
          </w:p>
        </w:tc>
        <w:tc>
          <w:tcPr>
            <w:tcW w:type="dxa" w:w="311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registry 驱动字段体系是长期资产</w:t>
            </w:r>
          </w:p>
        </w:tc>
        <w:tc>
          <w:tcPr>
            <w:tcW w:type="dxa" w:w="45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与 import_field_registry / cost_component_registry / profit_metric_registry 的配置化方向一致。</w:t>
            </w:r>
          </w:p>
        </w:tc>
      </w:tr>
      <w:tr>
        <w:tc>
          <w:tcPr>
            <w:tcW w:type="dxa" w:w="136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直接采纳</w:t>
            </w:r>
          </w:p>
        </w:tc>
        <w:tc>
          <w:tcPr>
            <w:tcW w:type="dxa" w:w="311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导入模块是可治理的数据入口</w:t>
            </w:r>
          </w:p>
        </w:tc>
        <w:tc>
          <w:tcPr>
            <w:tcW w:type="dxa" w:w="45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与 dual-gate、soft-gate、recovery、audit 的阶段结论一致。</w:t>
            </w:r>
          </w:p>
        </w:tc>
      </w:tr>
      <w:tr>
        <w:tc>
          <w:tcPr>
            <w:tcW w:type="dxa" w:w="136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直接采纳</w:t>
            </w:r>
          </w:p>
        </w:tc>
        <w:tc>
          <w:tcPr>
            <w:tcW w:type="dxa" w:w="311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并行代际代码、内存 session、同步阻塞是主要风险</w:t>
            </w:r>
          </w:p>
        </w:tc>
        <w:tc>
          <w:tcPr>
            <w:tcW w:type="dxa" w:w="45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与 current handoff、当前主线、仓库观察一致。</w:t>
            </w:r>
          </w:p>
        </w:tc>
      </w:tr>
      <w:tr>
        <w:tc>
          <w:tcPr>
            <w:tcW w:type="dxa" w:w="136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升级吸收</w:t>
            </w:r>
          </w:p>
        </w:tc>
        <w:tc>
          <w:tcPr>
            <w:tcW w:type="dxa" w:w="311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导入 profile 化</w:t>
            </w:r>
          </w:p>
        </w:tc>
        <w:tc>
          <w:tcPr>
            <w:tcW w:type="dxa" w:w="45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升级为 dataset_kind + import_profile / connector_profile 双层建模，既保统一语义，又吸收来源差异。</w:t>
            </w:r>
          </w:p>
        </w:tc>
      </w:tr>
      <w:tr>
        <w:tc>
          <w:tcPr>
            <w:tcW w:type="dxa" w:w="136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升级吸收</w:t>
            </w:r>
          </w:p>
        </w:tc>
        <w:tc>
          <w:tcPr>
            <w:tcW w:type="dxa" w:w="311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API connector 化</w:t>
            </w:r>
          </w:p>
        </w:tc>
        <w:tc>
          <w:tcPr>
            <w:tcW w:type="dxa" w:w="45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进一步要求 connector、batch、registry、action contract 全部纳入统一主线。</w:t>
            </w:r>
          </w:p>
        </w:tc>
      </w:tr>
    </w:tbl>
    <w:p/>
    <w:p>
      <w:pPr>
        <w:pStyle w:val="Heading1"/>
        <w:spacing w:before="280" w:after="120"/>
        <w:keepNext/>
      </w:pPr>
      <w:r>
        <w:t>三、当前必须保留的资产（不可降级）</w:t>
      </w:r>
    </w:p>
    <w:p>
      <w:pPr>
        <w:pStyle w:val="Heading2"/>
        <w:spacing w:before="200" w:after="120"/>
        <w:keepNext/>
      </w:pPr>
      <w:r>
        <w:t>3.1 后端必须保留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services/import_service.py 当前已经形成的可信导入主线。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dual-gate / soft-gate / recovery / runtime audit 的核心设计思想。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import_field_registry.json、field_aliases_zh_ru_en.yaml、cost_component_registry.json、profit_metric_registry.json 等配置化资产。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services/integration_service.py 已形成的 provider / config / sync 雏形。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db/models.py 中以事实层、配置层、执行层分对象建模的方向。</w:t>
      </w:r>
    </w:p>
    <w:p>
      <w:pPr>
        <w:pStyle w:val="Heading2"/>
        <w:spacing w:before="200" w:after="120"/>
        <w:keepNext/>
      </w:pPr>
      <w:r>
        <w:t>3.2 前端必须保留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App.tsx 已形成的主路由骨架。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DataImportV2.tsx 及 data-import-v2/* 步骤组件。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Dashboard、Ads、Profit、Strategy、ABC、Funnel、Inventory 等现有页面资产。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types/* 分域拆分成果。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现有 API 层、状态层与可视化能力。</w:t>
      </w:r>
    </w:p>
    <w:p>
      <w:pPr>
        <w:pStyle w:val="Heading2"/>
        <w:spacing w:before="200" w:after="120"/>
        <w:keepNext/>
      </w:pPr>
      <w:r>
        <w:t>3.3 阶段边界必须保留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当前仍以“导入可信收口”与“统一模型预埋”为先。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利润与定价必须纳入架构，但不能越过事实层与导入可信性直接全量深做。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策略与 API 推送必须作为后半段闭环目标存在，不能被弱化为纯展示。</w:t>
      </w:r>
    </w:p>
    <w:p>
      <w:pPr>
        <w:pStyle w:val="Heading1"/>
        <w:spacing w:before="280" w:after="120"/>
        <w:keepNext/>
      </w:pPr>
      <w:r>
        <w:t>四、当前最核心的结构问题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871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问题</w:t>
            </w:r>
          </w:p>
        </w:tc>
        <w:tc>
          <w:tcPr>
            <w:tcW w:type="dxa" w:w="3402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表现</w:t>
            </w:r>
          </w:p>
        </w:tc>
        <w:tc>
          <w:tcPr>
            <w:tcW w:type="dxa" w:w="3515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为什么会阻碍扩展</w:t>
            </w:r>
          </w:p>
        </w:tc>
      </w:tr>
      <w:tr>
        <w:tc>
          <w:tcPr>
            <w:tcW w:type="dxa" w:w="187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并行代际主线未彻底统一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api.py、api/app.py、顶层 import_service、services/import_service、ingestion.py、mapper v3、多份 bak/disabled 并存</w:t>
            </w:r>
          </w:p>
        </w:tc>
        <w:tc>
          <w:tcPr>
            <w:tcW w:type="dxa" w:w="351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新增能力时不知道该接哪条主线，handoff、代码、前端契约容易漂移。</w:t>
            </w:r>
          </w:p>
        </w:tc>
      </w:tr>
      <w:tr>
        <w:tc>
          <w:tcPr>
            <w:tcW w:type="dxa" w:w="187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导入状态仍偏进程内会话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services/import_service.py 使用内存 sessions</w:t>
            </w:r>
          </w:p>
        </w:tc>
        <w:tc>
          <w:tcPr>
            <w:tcW w:type="dxa" w:w="351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不适合多用户、多 worker、大文件、恢复、并行导入与同步。</w:t>
            </w:r>
          </w:p>
        </w:tc>
      </w:tr>
      <w:tr>
        <w:tc>
          <w:tcPr>
            <w:tcW w:type="dxa" w:w="187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同步导入仍偏同步长请求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大量处理仍通过 pandas + HTTP 长请求完成</w:t>
            </w:r>
          </w:p>
        </w:tc>
        <w:tc>
          <w:tcPr>
            <w:tcW w:type="dxa" w:w="351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不利于高并发、回放、幂等、异步重试与横向扩展。</w:t>
            </w:r>
          </w:p>
        </w:tc>
      </w:tr>
    </w:tbl>
    <w:p/>
    <w:p>
      <w:pPr>
        <w:pStyle w:val="Heading1"/>
        <w:spacing w:before="280" w:after="120"/>
        <w:keepNext/>
      </w:pPr>
      <w:r>
        <w:t>五、优化后的总体架构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本报告最终采用的原则不是“一个总导入器统吃全部”，也不是“每个数据域各自搞一套”，而是：统一模型层用 dataset_kind 固定核心对象；统一批次层用 batch / gate / audit 统一表达；统一动作层用 action contract 管闭环；差异吸收层用 profile / connector / mapper 吸收来源差异。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01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层级</w:t>
            </w:r>
          </w:p>
        </w:tc>
        <w:tc>
          <w:tcPr>
            <w:tcW w:type="dxa" w:w="4082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职责</w:t>
            </w:r>
          </w:p>
        </w:tc>
        <w:tc>
          <w:tcPr>
            <w:tcW w:type="dxa" w:w="3005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关键设计意义</w:t>
            </w:r>
          </w:p>
        </w:tc>
      </w:tr>
      <w:tr>
        <w:tc>
          <w:tcPr>
            <w:tcW w:type="dxa" w:w="170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L0 Governance / Registry</w:t>
            </w:r>
          </w:p>
        </w:tc>
        <w:tc>
          <w:tcPr>
            <w:tcW w:type="dxa" w:w="408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dataset、field、cost、profit、action、gate policy、connector 等注册定义</w:t>
            </w:r>
          </w:p>
        </w:tc>
        <w:tc>
          <w:tcPr>
            <w:tcW w:type="dxa" w:w="300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把配置驱动从“字段注册”升级为“全局注册”。</w:t>
            </w:r>
          </w:p>
        </w:tc>
      </w:tr>
      <w:tr>
        <w:tc>
          <w:tcPr>
            <w:tcW w:type="dxa" w:w="170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L1 Source / Connector</w:t>
            </w:r>
          </w:p>
        </w:tc>
        <w:tc>
          <w:tcPr>
            <w:tcW w:type="dxa" w:w="408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文件上传、平台 API、广告 API、评价 API、ERP / OMS、手工维护</w:t>
            </w:r>
          </w:p>
        </w:tc>
        <w:tc>
          <w:tcPr>
            <w:tcW w:type="dxa" w:w="300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来源可追踪、鉴权隔离、分页/限流/重试。</w:t>
            </w:r>
          </w:p>
        </w:tc>
      </w:tr>
      <w:tr>
        <w:tc>
          <w:tcPr>
            <w:tcW w:type="dxa" w:w="170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L2 Raw</w:t>
            </w:r>
          </w:p>
        </w:tc>
        <w:tc>
          <w:tcPr>
            <w:tcW w:type="dxa" w:w="408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原始文件、原始 API 响应、批次元数据、来源签名</w:t>
            </w:r>
          </w:p>
        </w:tc>
        <w:tc>
          <w:tcPr>
            <w:tcW w:type="dxa" w:w="300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原样留档、可重放、可审计。</w:t>
            </w:r>
          </w:p>
        </w:tc>
      </w:tr>
      <w:tr>
        <w:tc>
          <w:tcPr>
            <w:tcW w:type="dxa" w:w="170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L3 Staging / Normalize</w:t>
            </w:r>
          </w:p>
        </w:tc>
        <w:tc>
          <w:tcPr>
            <w:tcW w:type="dxa" w:w="408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表头恢复、alias 匹配、格式清洗、币种/时间/状态归一、SKU/SPU 映射</w:t>
            </w:r>
          </w:p>
        </w:tc>
        <w:tc>
          <w:tcPr>
            <w:tcW w:type="dxa" w:w="300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把外部异构数据翻译成内部统一语言。</w:t>
            </w:r>
          </w:p>
        </w:tc>
      </w:tr>
      <w:tr>
        <w:tc>
          <w:tcPr>
            <w:tcW w:type="dxa" w:w="170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L4 Validation / Importability</w:t>
            </w:r>
          </w:p>
        </w:tc>
        <w:tc>
          <w:tcPr>
            <w:tcW w:type="dxa" w:w="408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transport、semantic、importability、gate mode、quarantine、audit、manual override</w:t>
            </w:r>
          </w:p>
        </w:tc>
        <w:tc>
          <w:tcPr>
            <w:tcW w:type="dxa" w:w="300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防止假绿灯、防止坏数据污染事实层。</w:t>
            </w:r>
          </w:p>
        </w:tc>
      </w:tr>
      <w:tr>
        <w:tc>
          <w:tcPr>
            <w:tcW w:type="dxa" w:w="170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L5 Fact / Domain</w:t>
            </w:r>
          </w:p>
        </w:tc>
        <w:tc>
          <w:tcPr>
            <w:tcW w:type="dxa" w:w="408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Order、Ads、Review、Refund、Inventory、Price、Cost、Profit、ActionExecutionLog</w:t>
            </w:r>
          </w:p>
        </w:tc>
        <w:tc>
          <w:tcPr>
            <w:tcW w:type="dxa" w:w="300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形成统一口径、供利润/评分/策略消费。</w:t>
            </w:r>
          </w:p>
        </w:tc>
      </w:tr>
      <w:tr>
        <w:tc>
          <w:tcPr>
            <w:tcW w:type="dxa" w:w="170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L6 Engine / Strategy</w:t>
            </w:r>
          </w:p>
        </w:tc>
        <w:tc>
          <w:tcPr>
            <w:tcW w:type="dxa" w:w="408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成本、利润、定价、评分影响、风险模型、产品分层、动作建议</w:t>
            </w:r>
          </w:p>
        </w:tc>
        <w:tc>
          <w:tcPr>
            <w:tcW w:type="dxa" w:w="300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从统计走向经营判断。</w:t>
            </w:r>
          </w:p>
        </w:tc>
      </w:tr>
      <w:tr>
        <w:tc>
          <w:tcPr>
            <w:tcW w:type="dxa" w:w="170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L7 Execution / Feedback</w:t>
            </w:r>
          </w:p>
        </w:tc>
        <w:tc>
          <w:tcPr>
            <w:tcW w:type="dxa" w:w="408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人工确认、API 推送、回写、审计、补偿</w:t>
            </w:r>
          </w:p>
        </w:tc>
        <w:tc>
          <w:tcPr>
            <w:tcW w:type="dxa" w:w="300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形成真正闭环。</w:t>
            </w:r>
          </w:p>
        </w:tc>
      </w:tr>
    </w:tbl>
    <w:p/>
    <w:p>
      <w:pPr>
        <w:pStyle w:val="Heading2"/>
        <w:spacing w:before="200" w:after="120"/>
        <w:keepNext/>
      </w:pPr>
      <w:r>
        <w:t>5.1 三条统一轴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数据轴：用 dataset_kind 定义“这是什么业务数据”，例如 orders、ads、reviews、refunds_returns、inventory_snapshots、price_snapshots、store_health、cost_config、execution_results。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接入轴：用 import_profile / connector_profile 定义“这份数据以什么形状和来源接入”。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动作轴：用 action_type 统一 suggestion -&gt; approval -&gt; push -&gt; callback -&gt; audit 的闭环。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这意味着：dataset_kind 负责统一模型，profile 负责吸收来源差异，action_type 负责统一执行语义。未来即使 API 越来越多、导入类型越来越多，系统也不会因为来源差异而撕裂事实层与前端。</w:t>
      </w:r>
    </w:p>
    <w:p>
      <w:pPr>
        <w:pStyle w:val="Heading1"/>
        <w:spacing w:before="280" w:after="120"/>
        <w:keepNext/>
      </w:pPr>
      <w:r>
        <w:t>六、后端目录与文件级重构方案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原则：现有主文件不推翻；先抽编排层，再分连接器/解析器/映射器/加载器；旧文件保留兼容门面；旧快照移出运行面，不做硬删除。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685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路径/模块</w:t>
            </w:r>
          </w:p>
        </w:tc>
        <w:tc>
          <w:tcPr>
            <w:tcW w:type="dxa" w:w="1531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动作</w:t>
            </w:r>
          </w:p>
        </w:tc>
        <w:tc>
          <w:tcPr>
            <w:tcW w:type="dxa" w:w="3572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目的</w:t>
            </w:r>
          </w:p>
        </w:tc>
      </w:tr>
      <w:tr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System/src/ecom_v51/api/routes/import_route.py</w:t>
            </w:r>
          </w:p>
        </w:tc>
        <w:tc>
          <w:tcPr>
            <w:tcW w:type="dxa" w:w="153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保留并升级</w:t>
            </w:r>
          </w:p>
        </w:tc>
        <w:tc>
          <w:tcPr>
            <w:tcW w:type="dxa" w:w="357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继续兼容旧 /api/import/*，内部转发到统一 batch 主线。</w:t>
            </w:r>
          </w:p>
        </w:tc>
      </w:tr>
      <w:tr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System/src/ecom_v51/services/import_service.py</w:t>
            </w:r>
          </w:p>
        </w:tc>
        <w:tc>
          <w:tcPr>
            <w:tcW w:type="dxa" w:w="153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保留并升级</w:t>
            </w:r>
          </w:p>
        </w:tc>
        <w:tc>
          <w:tcPr>
            <w:tcW w:type="dxa" w:w="357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继续保留 parse / confirm / registry 对外门面，内部逐步委派给 ingest/*。</w:t>
            </w:r>
          </w:p>
        </w:tc>
      </w:tr>
      <w:tr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System/src/ecom_v51/services/integration_service.py</w:t>
            </w:r>
          </w:p>
        </w:tc>
        <w:tc>
          <w:tcPr>
            <w:tcW w:type="dxa" w:w="153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保留并升级</w:t>
            </w:r>
          </w:p>
        </w:tc>
        <w:tc>
          <w:tcPr>
            <w:tcW w:type="dxa" w:w="357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继续承担 provider/config/sync 门面，但改为 connector job orchestration。</w:t>
            </w:r>
          </w:p>
        </w:tc>
      </w:tr>
      <w:tr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System/src/ecom_v51/ingest/*</w:t>
            </w:r>
          </w:p>
        </w:tc>
        <w:tc>
          <w:tcPr>
            <w:tcW w:type="dxa" w:w="153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新增</w:t>
            </w:r>
          </w:p>
        </w:tc>
        <w:tc>
          <w:tcPr>
            <w:tcW w:type="dxa" w:w="357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承接 contracts、orchestrator、batch、gate、audit、quarantine、fact_loader。</w:t>
            </w:r>
          </w:p>
        </w:tc>
      </w:tr>
      <w:tr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System/src/ecom_v51/connectors/*</w:t>
            </w:r>
          </w:p>
        </w:tc>
        <w:tc>
          <w:tcPr>
            <w:tcW w:type="dxa" w:w="153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新增</w:t>
            </w:r>
          </w:p>
        </w:tc>
        <w:tc>
          <w:tcPr>
            <w:tcW w:type="dxa" w:w="357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按 provider + domain + object 组织来源接入。</w:t>
            </w:r>
          </w:p>
        </w:tc>
      </w:tr>
      <w:tr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System/src/ecom_v51/parsers/*</w:t>
            </w:r>
          </w:p>
        </w:tc>
        <w:tc>
          <w:tcPr>
            <w:tcW w:type="dxa" w:w="153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新增</w:t>
            </w:r>
          </w:p>
        </w:tc>
        <w:tc>
          <w:tcPr>
            <w:tcW w:type="dxa" w:w="357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把 Excel/CSV/JSON/API payload 读取逻辑与业务 gate 解耦。</w:t>
            </w:r>
          </w:p>
        </w:tc>
      </w:tr>
      <w:tr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System/src/ecom_v51/mappers/*</w:t>
            </w:r>
          </w:p>
        </w:tc>
        <w:tc>
          <w:tcPr>
            <w:tcW w:type="dxa" w:w="153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新增</w:t>
            </w:r>
          </w:p>
        </w:tc>
        <w:tc>
          <w:tcPr>
            <w:tcW w:type="dxa" w:w="357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按 dataset_kind 组织映射与 normalize 逻辑。</w:t>
            </w:r>
          </w:p>
        </w:tc>
      </w:tr>
      <w:tr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System/src/ecom_v51/registry/*</w:t>
            </w:r>
          </w:p>
        </w:tc>
        <w:tc>
          <w:tcPr>
            <w:tcW w:type="dxa" w:w="153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新增</w:t>
            </w:r>
          </w:p>
        </w:tc>
        <w:tc>
          <w:tcPr>
            <w:tcW w:type="dxa" w:w="357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统一 dataset/field/cost/profit/action registry 服务。</w:t>
            </w:r>
          </w:p>
        </w:tc>
      </w:tr>
      <w:tr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System/src/ecom_v51/domain/*</w:t>
            </w:r>
          </w:p>
        </w:tc>
        <w:tc>
          <w:tcPr>
            <w:tcW w:type="dxa" w:w="153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新增</w:t>
            </w:r>
          </w:p>
        </w:tc>
        <w:tc>
          <w:tcPr>
            <w:tcW w:type="dxa" w:w="357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把利润、定价、策略、执行正式放回经营引擎层。</w:t>
            </w:r>
          </w:p>
        </w:tc>
      </w:tr>
    </w:tbl>
    <w:p/>
    <w:p>
      <w:pPr>
        <w:pStyle w:val="Heading2"/>
        <w:spacing w:before="200" w:after="120"/>
        <w:keepNext/>
      </w:pPr>
      <w:r>
        <w:t>6.1 对现有后端文件的具体处理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268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现有文件</w:t>
            </w:r>
          </w:p>
        </w:tc>
        <w:tc>
          <w:tcPr>
            <w:tcW w:type="dxa" w:w="2835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处理方式</w:t>
            </w:r>
          </w:p>
        </w:tc>
        <w:tc>
          <w:tcPr>
            <w:tcW w:type="dxa" w:w="3685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升级后的优点</w:t>
            </w:r>
          </w:p>
        </w:tc>
      </w:tr>
      <w:tr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ozon_api_client.py</w:t>
            </w:r>
          </w:p>
        </w:tc>
        <w:tc>
          <w:tcPr>
            <w:tcW w:type="dxa" w:w="28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保留兼容入口 -&gt; 归位到 connectors/ozon/client.py</w:t>
            </w:r>
          </w:p>
        </w:tc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不是放弃 Ozon，而是把平台差异收回 connector 层。</w:t>
            </w:r>
          </w:p>
        </w:tc>
      </w:tr>
      <w:tr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profit_solver.py</w:t>
            </w:r>
          </w:p>
        </w:tc>
        <w:tc>
          <w:tcPr>
            <w:tcW w:type="dxa" w:w="28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保留兼容入口 -&gt; 主实现迁到 domain/profit/engine.py</w:t>
            </w:r>
          </w:p>
        </w:tc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利润能力从单文件升级为可配置、可版本、可回溯的引擎。</w:t>
            </w:r>
          </w:p>
        </w:tc>
      </w:tr>
      <w:tr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batch_decision_engine.py</w:t>
            </w:r>
          </w:p>
        </w:tc>
        <w:tc>
          <w:tcPr>
            <w:tcW w:type="dxa" w:w="28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保留兼容入口 -&gt; 归位到 domain/strategy/decision_service.py</w:t>
            </w:r>
          </w:p>
        </w:tc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决策逻辑与 action contract 对齐。</w:t>
            </w:r>
          </w:p>
        </w:tc>
      </w:tr>
      <w:tr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strategy.py</w:t>
            </w:r>
          </w:p>
        </w:tc>
        <w:tc>
          <w:tcPr>
            <w:tcW w:type="dxa" w:w="28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 -&gt; 逐步转薄</w:t>
            </w:r>
          </w:p>
        </w:tc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从“单点策略文件”转成经营引擎 + 执行层的门面。</w:t>
            </w:r>
          </w:p>
        </w:tc>
      </w:tr>
      <w:tr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*.bak_* / *.disabled</w:t>
            </w:r>
          </w:p>
        </w:tc>
        <w:tc>
          <w:tcPr>
            <w:tcW w:type="dxa" w:w="28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移出运行面但不删除</w:t>
            </w:r>
          </w:p>
        </w:tc>
        <w:tc>
          <w:tcPr>
            <w:tcW w:type="dxa" w:w="368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清理噪音、保留证据、明确主线。</w:t>
            </w:r>
          </w:p>
        </w:tc>
      </w:tr>
    </w:tbl>
    <w:p/>
    <w:p>
      <w:pPr>
        <w:pStyle w:val="Heading1"/>
        <w:spacing w:before="280" w:after="120"/>
        <w:keepNext/>
      </w:pPr>
      <w:r>
        <w:t>七、前端目录与文件级重构方案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前端必须同步升级。未来系统不只是“接更多数据”，还要承载批次可视化、映射与 gate 解释、人工 override、API 同步任务、利润/评分/广告/退款/库存等统一事实展示，以及策略确认、推送、回写、审计。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701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工作台</w:t>
            </w:r>
          </w:p>
        </w:tc>
        <w:tc>
          <w:tcPr>
            <w:tcW w:type="dxa" w:w="4139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承担内容</w:t>
            </w:r>
          </w:p>
        </w:tc>
        <w:tc>
          <w:tcPr>
            <w:tcW w:type="dxa" w:w="3118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为什么必须存在</w:t>
            </w:r>
          </w:p>
        </w:tc>
      </w:tr>
      <w:tr>
        <w:tc>
          <w:tcPr>
            <w:tcW w:type="dxa" w:w="170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Data Workspace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文件导入、API 同步、批次列表、批次详情、mapping review、gate/audit 展示</w:t>
            </w:r>
          </w:p>
        </w:tc>
        <w:tc>
          <w:tcPr>
            <w:tcW w:type="dxa" w:w="311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把 DataImportV2 提升为整个 ingestion UI 的总壳。</w:t>
            </w:r>
          </w:p>
        </w:tc>
      </w:tr>
      <w:tr>
        <w:tc>
          <w:tcPr>
            <w:tcW w:type="dxa" w:w="170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Domain Workspace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Orders、Ads、Reviews、Refunds、Inventory、Pricing、Profit、StoreHealth</w:t>
            </w:r>
          </w:p>
        </w:tc>
        <w:tc>
          <w:tcPr>
            <w:tcW w:type="dxa" w:w="311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所有领域页都消费统一事实层，而不是按来源做页面。</w:t>
            </w:r>
          </w:p>
        </w:tc>
      </w:tr>
      <w:tr>
        <w:tc>
          <w:tcPr>
            <w:tcW w:type="dxa" w:w="170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Action Workspace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策略建议、人工确认、执行推送、回写审计、失败补偿</w:t>
            </w:r>
          </w:p>
        </w:tc>
        <w:tc>
          <w:tcPr>
            <w:tcW w:type="dxa" w:w="311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让系统从分析走向动作。</w:t>
            </w:r>
          </w:p>
        </w:tc>
      </w:tr>
    </w:tbl>
    <w:p/>
    <w:p>
      <w:pPr>
        <w:pStyle w:val="Heading2"/>
        <w:spacing w:before="200" w:after="120"/>
        <w:keepNext/>
      </w:pPr>
      <w:r>
        <w:t>7.1 现有前端页面怎么处理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891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现有页面/文件</w:t>
            </w:r>
          </w:p>
        </w:tc>
        <w:tc>
          <w:tcPr>
            <w:tcW w:type="dxa" w:w="2268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处理方式</w:t>
            </w:r>
          </w:p>
        </w:tc>
        <w:tc>
          <w:tcPr>
            <w:tcW w:type="dxa" w:w="3288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为什么这是升级不是降级</w:t>
            </w:r>
          </w:p>
        </w:tc>
      </w:tr>
      <w:tr>
        <w:tc>
          <w:tcPr>
            <w:tcW w:type="dxa" w:w="289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App.tsx</w:t>
            </w:r>
          </w:p>
        </w:tc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</w:t>
            </w:r>
          </w:p>
        </w:tc>
        <w:tc>
          <w:tcPr>
            <w:tcW w:type="dxa" w:w="32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继续作为主路由骨架，只抽 routes.tsx / navigation.ts。</w:t>
            </w:r>
          </w:p>
        </w:tc>
      </w:tr>
      <w:tr>
        <w:tc>
          <w:tcPr>
            <w:tcW w:type="dxa" w:w="289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DataImportV2.tsx</w:t>
            </w:r>
          </w:p>
        </w:tc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保留并升级</w:t>
            </w:r>
          </w:p>
        </w:tc>
        <w:tc>
          <w:tcPr>
            <w:tcW w:type="dxa" w:w="32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升级为 Data Workspace 总壳。</w:t>
            </w:r>
          </w:p>
        </w:tc>
      </w:tr>
      <w:tr>
        <w:tc>
          <w:tcPr>
            <w:tcW w:type="dxa" w:w="289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data-import-v2/*</w:t>
            </w:r>
          </w:p>
        </w:tc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全部保留</w:t>
            </w:r>
          </w:p>
        </w:tc>
        <w:tc>
          <w:tcPr>
            <w:tcW w:type="dxa" w:w="32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继续作为导入步骤组件底座。</w:t>
            </w:r>
          </w:p>
        </w:tc>
      </w:tr>
      <w:tr>
        <w:tc>
          <w:tcPr>
            <w:tcW w:type="dxa" w:w="289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DataImport.tsx</w:t>
            </w:r>
          </w:p>
        </w:tc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保留为兼容包装页</w:t>
            </w:r>
          </w:p>
        </w:tc>
        <w:tc>
          <w:tcPr>
            <w:tcW w:type="dxa" w:w="32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消除双主入口，不删导入能力。</w:t>
            </w:r>
          </w:p>
        </w:tc>
      </w:tr>
      <w:tr>
        <w:tc>
          <w:tcPr>
            <w:tcW w:type="dxa" w:w="289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AdsManagement.tsx</w:t>
            </w:r>
          </w:p>
        </w:tc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保留为 wrapper</w:t>
            </w:r>
          </w:p>
        </w:tc>
        <w:tc>
          <w:tcPr>
            <w:tcW w:type="dxa" w:w="32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内容迁到 Domain/AdsPage.tsx。</w:t>
            </w:r>
          </w:p>
        </w:tc>
      </w:tr>
      <w:tr>
        <w:tc>
          <w:tcPr>
            <w:tcW w:type="dxa" w:w="289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ProfitCalculator.tsx</w:t>
            </w:r>
          </w:p>
        </w:tc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保留为 wrapper</w:t>
            </w:r>
          </w:p>
        </w:tc>
        <w:tc>
          <w:tcPr>
            <w:tcW w:type="dxa" w:w="32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内容迁到 Domain/ProfitPage.tsx。</w:t>
            </w:r>
          </w:p>
        </w:tc>
      </w:tr>
      <w:tr>
        <w:tc>
          <w:tcPr>
            <w:tcW w:type="dxa" w:w="289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StrategyList.tsx</w:t>
            </w:r>
          </w:p>
        </w:tc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保留为 wrapper</w:t>
            </w:r>
          </w:p>
        </w:tc>
        <w:tc>
          <w:tcPr>
            <w:tcW w:type="dxa" w:w="32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内容迁到 Actions/StrategyWorkbenchPage.tsx。</w:t>
            </w:r>
          </w:p>
        </w:tc>
      </w:tr>
      <w:tr>
        <w:tc>
          <w:tcPr>
            <w:tcW w:type="dxa" w:w="289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DecisionEngine.tsx</w:t>
            </w:r>
          </w:p>
        </w:tc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保留为兼容入口</w:t>
            </w:r>
          </w:p>
        </w:tc>
        <w:tc>
          <w:tcPr>
            <w:tcW w:type="dxa" w:w="32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收口到 Actions/StrategyWorkbenchPage.tsx / ExecutionCenterPage.tsx。</w:t>
            </w:r>
          </w:p>
        </w:tc>
      </w:tr>
      <w:tr>
        <w:tc>
          <w:tcPr>
            <w:tcW w:type="dxa" w:w="289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DecisionShowcase.tsx</w:t>
            </w:r>
          </w:p>
        </w:tc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移到 Internal 区</w:t>
            </w:r>
          </w:p>
        </w:tc>
        <w:tc>
          <w:tcPr>
            <w:tcW w:type="dxa" w:w="32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保留演示价值，不再干扰正式动作链。</w:t>
            </w:r>
          </w:p>
        </w:tc>
      </w:tr>
      <w:tr>
        <w:tc>
          <w:tcPr>
            <w:tcW w:type="dxa" w:w="289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ABCAnalysis / PriceCompetitiveness / FunnelAnalysis / InventoryAlert</w:t>
            </w:r>
          </w:p>
        </w:tc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保留为专题视图</w:t>
            </w:r>
          </w:p>
        </w:tc>
        <w:tc>
          <w:tcPr>
            <w:tcW w:type="dxa" w:w="32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不删功能，但其底层改为消费统一事实层。</w:t>
            </w:r>
          </w:p>
        </w:tc>
      </w:tr>
      <w:tr>
        <w:tc>
          <w:tcPr>
            <w:tcW w:type="dxa" w:w="2891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ApiTest.tsx</w:t>
            </w:r>
          </w:p>
        </w:tc>
        <w:tc>
          <w:tcPr>
            <w:tcW w:type="dxa" w:w="226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移到 Internal 区</w:t>
            </w:r>
          </w:p>
        </w:tc>
        <w:tc>
          <w:tcPr>
            <w:tcW w:type="dxa" w:w="32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保留调试能力，不污染正式导航。</w:t>
            </w:r>
          </w:p>
        </w:tc>
      </w:tr>
    </w:tbl>
    <w:p/>
    <w:p>
      <w:pPr>
        <w:pStyle w:val="Heading2"/>
        <w:spacing w:before="200" w:after="120"/>
        <w:keepNext/>
      </w:pPr>
      <w:r>
        <w:t>7.2 前端类型体系升级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现有 common.ts / dashboard.ts / import.ts / analysis.ts / strategy.ts / profit.ts / ads.ts 全部保留；在其上新增 dataset.ts、batch.ts、gate.ts、action.ts、registry.ts、execution.ts。这样不是推翻 domain types，而是在其上加一层跨数据集统一契约。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React Query：只管 server state、batch polling、async job status。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Zustand：只管本地 UI 状态，不再混 server truth。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xlsx：保留预览用途，但前端不得再次承担第二套 ETL。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所有“最终是否可导入/可推送/可执行”的判定，仍以后端 contract 为准。</w:t>
      </w:r>
    </w:p>
    <w:p>
      <w:pPr>
        <w:pStyle w:val="Heading1"/>
        <w:spacing w:before="280" w:after="120"/>
        <w:keepNext/>
      </w:pPr>
      <w:r>
        <w:t>八、数据模型与 registry 体系优化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当前已存在字段 registry、成本 registry、利润 metric registry，这些都不替换，只做升级归口。下一阶段新增 dataset registry、gate policy registry、action registry、connector registry，从“字段配置化”升级为“全局注册化”。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814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核心概念</w:t>
            </w:r>
          </w:p>
        </w:tc>
        <w:tc>
          <w:tcPr>
            <w:tcW w:type="dxa" w:w="3402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职责</w:t>
            </w:r>
          </w:p>
        </w:tc>
        <w:tc>
          <w:tcPr>
            <w:tcW w:type="dxa" w:w="3175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示例</w:t>
            </w:r>
          </w:p>
        </w:tc>
      </w:tr>
      <w:tr>
        <w:tc>
          <w:tcPr>
            <w:tcW w:type="dxa" w:w="181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dataset_kind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定义统一业务语义、事实层落点、被哪些引擎消费</w:t>
            </w:r>
          </w:p>
        </w:tc>
        <w:tc>
          <w:tcPr>
            <w:tcW w:type="dxa" w:w="317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orders、ads、reviews、refunds_returns、store_health 等。</w:t>
            </w:r>
          </w:p>
        </w:tc>
      </w:tr>
      <w:tr>
        <w:tc>
          <w:tcPr>
            <w:tcW w:type="dxa" w:w="181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import_profile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定义文件导入结构、必填列、别名、entity key、专属 gate</w:t>
            </w:r>
          </w:p>
        </w:tc>
        <w:tc>
          <w:tcPr>
            <w:tcW w:type="dxa" w:w="317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ads_campaign_daily_excel、review_export_csv 等。</w:t>
            </w:r>
          </w:p>
        </w:tc>
      </w:tr>
      <w:tr>
        <w:tc>
          <w:tcPr>
            <w:tcW w:type="dxa" w:w="181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connector_profile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定义 API / provider 拉取结构、分页、限流、normalize 输出</w:t>
            </w:r>
          </w:p>
        </w:tc>
        <w:tc>
          <w:tcPr>
            <w:tcW w:type="dxa" w:w="317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ozon_ads_campaign_daily_api 等。</w:t>
            </w:r>
          </w:p>
        </w:tc>
      </w:tr>
      <w:tr>
        <w:tc>
          <w:tcPr>
            <w:tcW w:type="dxa" w:w="181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action_type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定义后续建议/确认/推送/回写闭环语义</w:t>
            </w:r>
          </w:p>
        </w:tc>
        <w:tc>
          <w:tcPr>
            <w:tcW w:type="dxa" w:w="317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price_adjust、ads_pause、inventory_replenish 等。</w:t>
            </w:r>
          </w:p>
        </w:tc>
      </w:tr>
    </w:tbl>
    <w:p/>
    <w:p>
      <w:pPr>
        <w:pStyle w:val="Heading2"/>
        <w:spacing w:before="200" w:after="120"/>
        <w:keepNext/>
      </w:pPr>
      <w:r>
        <w:t>8.1 建议新增的配置目录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System/config/dataset_registry/*：orders、order_items、ads、reviews、refunds_returns、inventory_snapshots、price_snapshots、store_health、cost_config、execution_results。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System/config/gate_policies/*：core_safe、ads、reviews、refunds、inventory 等。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System/config/action_registry/*：price_actions、ads_actions、inventory_actions、review_actions。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System/config/connector_registry/*：ozon 以及未来平台。</w:t>
      </w:r>
    </w:p>
    <w:p>
      <w:pPr>
        <w:pStyle w:val="Heading1"/>
        <w:spacing w:before="280" w:after="120"/>
        <w:keepNext/>
      </w:pPr>
      <w:r>
        <w:t>九、导入与 API 的统一接入方案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文件导入和 API 接入以后都不再各走各的。统一原则是：都创建 batch、都写 raw、都进入 staging / normalize、都跑 gate / importability、都输出 audit、都按 dataset_kind 落 fact、都形成可追踪 run record。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665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统一字段</w:t>
            </w:r>
          </w:p>
        </w:tc>
        <w:tc>
          <w:tcPr>
            <w:tcW w:type="dxa" w:w="1928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含义</w:t>
            </w:r>
          </w:p>
        </w:tc>
        <w:tc>
          <w:tcPr>
            <w:tcW w:type="dxa" w:w="3798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关键用途</w:t>
            </w:r>
          </w:p>
        </w:tc>
      </w:tr>
      <w:tr>
        <w:tc>
          <w:tcPr>
            <w:tcW w:type="dxa" w:w="266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batch_id</w:t>
            </w:r>
          </w:p>
        </w:tc>
        <w:tc>
          <w:tcPr>
            <w:tcW w:type="dxa" w:w="19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批次主键</w:t>
            </w:r>
          </w:p>
        </w:tc>
        <w:tc>
          <w:tcPr>
            <w:tcW w:type="dxa" w:w="379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所有来源都围绕 batch 说话。</w:t>
            </w:r>
          </w:p>
        </w:tc>
      </w:tr>
      <w:tr>
        <w:tc>
          <w:tcPr>
            <w:tcW w:type="dxa" w:w="266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source_type</w:t>
            </w:r>
          </w:p>
        </w:tc>
        <w:tc>
          <w:tcPr>
            <w:tcW w:type="dxa" w:w="19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file / api / manual</w:t>
            </w:r>
          </w:p>
        </w:tc>
        <w:tc>
          <w:tcPr>
            <w:tcW w:type="dxa" w:w="379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统一表示来源类型。</w:t>
            </w:r>
          </w:p>
        </w:tc>
      </w:tr>
      <w:tr>
        <w:tc>
          <w:tcPr>
            <w:tcW w:type="dxa" w:w="266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provider</w:t>
            </w:r>
          </w:p>
        </w:tc>
        <w:tc>
          <w:tcPr>
            <w:tcW w:type="dxa" w:w="19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平台或来源标识</w:t>
            </w:r>
          </w:p>
        </w:tc>
        <w:tc>
          <w:tcPr>
            <w:tcW w:type="dxa" w:w="379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Ozon、未来平台、人工维护等。</w:t>
            </w:r>
          </w:p>
        </w:tc>
      </w:tr>
      <w:tr>
        <w:tc>
          <w:tcPr>
            <w:tcW w:type="dxa" w:w="266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dataset_kind</w:t>
            </w:r>
          </w:p>
        </w:tc>
        <w:tc>
          <w:tcPr>
            <w:tcW w:type="dxa" w:w="19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业务数据类型</w:t>
            </w:r>
          </w:p>
        </w:tc>
        <w:tc>
          <w:tcPr>
            <w:tcW w:type="dxa" w:w="379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决定落到哪个事实域。</w:t>
            </w:r>
          </w:p>
        </w:tc>
      </w:tr>
      <w:tr>
        <w:tc>
          <w:tcPr>
            <w:tcW w:type="dxa" w:w="266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profile</w:t>
            </w:r>
          </w:p>
        </w:tc>
        <w:tc>
          <w:tcPr>
            <w:tcW w:type="dxa" w:w="19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来源结构配置</w:t>
            </w:r>
          </w:p>
        </w:tc>
        <w:tc>
          <w:tcPr>
            <w:tcW w:type="dxa" w:w="379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决定具体解析与映射逻辑。</w:t>
            </w:r>
          </w:p>
        </w:tc>
      </w:tr>
      <w:tr>
        <w:tc>
          <w:tcPr>
            <w:tcW w:type="dxa" w:w="266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transport_status / semantic_status / importability_status</w:t>
            </w:r>
          </w:p>
        </w:tc>
        <w:tc>
          <w:tcPr>
            <w:tcW w:type="dxa" w:w="19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三层状态</w:t>
            </w:r>
          </w:p>
        </w:tc>
        <w:tc>
          <w:tcPr>
            <w:tcW w:type="dxa" w:w="379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避免“假绿灯”。</w:t>
            </w:r>
          </w:p>
        </w:tc>
      </w:tr>
      <w:tr>
        <w:tc>
          <w:tcPr>
            <w:tcW w:type="dxa" w:w="266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quarantine_count / imported_rows</w:t>
            </w:r>
          </w:p>
        </w:tc>
        <w:tc>
          <w:tcPr>
            <w:tcW w:type="dxa" w:w="19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数量摘要</w:t>
            </w:r>
          </w:p>
        </w:tc>
        <w:tc>
          <w:tcPr>
            <w:tcW w:type="dxa" w:w="379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支持风险可见与追踪。</w:t>
            </w:r>
          </w:p>
        </w:tc>
      </w:tr>
      <w:tr>
        <w:tc>
          <w:tcPr>
            <w:tcW w:type="dxa" w:w="266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mapping_summary / audit_summary</w:t>
            </w:r>
          </w:p>
        </w:tc>
        <w:tc>
          <w:tcPr>
            <w:tcW w:type="dxa" w:w="19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结果摘要</w:t>
            </w:r>
          </w:p>
        </w:tc>
        <w:tc>
          <w:tcPr>
            <w:tcW w:type="dxa" w:w="379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供前端工作台解释与审计使用。</w:t>
            </w:r>
          </w:p>
        </w:tc>
      </w:tr>
      <w:tr>
        <w:tc>
          <w:tcPr>
            <w:tcW w:type="dxa" w:w="266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replay_of_batch_id / idempotency_key</w:t>
            </w:r>
          </w:p>
        </w:tc>
        <w:tc>
          <w:tcPr>
            <w:tcW w:type="dxa" w:w="19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回放与幂等</w:t>
            </w:r>
          </w:p>
        </w:tc>
        <w:tc>
          <w:tcPr>
            <w:tcW w:type="dxa" w:w="379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支撑恢复、重试、补偿。</w:t>
            </w:r>
          </w:p>
        </w:tc>
      </w:tr>
    </w:tbl>
    <w:p/>
    <w:p>
      <w:pPr>
        <w:pStyle w:val="Heading1"/>
        <w:spacing w:before="280" w:after="120"/>
        <w:keepNext/>
      </w:pPr>
      <w:r>
        <w:t>十、性能与高扩展路线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当前不建议直接上微服务。现阶段正确路线是先做“模块化单体”，把 batch、queue、connector、registry、domain 边界做清，再按规模拆 task worker / connector worker。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020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阶段</w:t>
            </w:r>
          </w:p>
        </w:tc>
        <w:tc>
          <w:tcPr>
            <w:tcW w:type="dxa" w:w="3969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必须做的性能改造</w:t>
            </w:r>
          </w:p>
        </w:tc>
        <w:tc>
          <w:tcPr>
            <w:tcW w:type="dxa" w:w="3402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意义</w:t>
            </w:r>
          </w:p>
        </w:tc>
      </w:tr>
      <w:tr>
        <w:tc>
          <w:tcPr>
            <w:tcW w:type="dxa" w:w="10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P0</w:t>
            </w:r>
          </w:p>
        </w:tc>
        <w:tc>
          <w:tcPr>
            <w:tcW w:type="dxa" w:w="396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把 session / parse result / confirm result / manual override / audit 从内存迁出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至少落 DB，或 Redis + DB。</w:t>
            </w:r>
          </w:p>
        </w:tc>
      </w:tr>
      <w:tr>
        <w:tc>
          <w:tcPr>
            <w:tcW w:type="dxa" w:w="10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P1</w:t>
            </w:r>
          </w:p>
        </w:tc>
        <w:tc>
          <w:tcPr>
            <w:tcW w:type="dxa" w:w="396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引入 job queue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先覆盖 API sync、大文件导入、回放、重试、推送任务。</w:t>
            </w:r>
          </w:p>
        </w:tc>
      </w:tr>
      <w:tr>
        <w:tc>
          <w:tcPr>
            <w:tcW w:type="dxa" w:w="10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P2</w:t>
            </w:r>
          </w:p>
        </w:tc>
        <w:tc>
          <w:tcPr>
            <w:tcW w:type="dxa" w:w="396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把 raw/staging/fact 做成持久化闭环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尤其 API 同步不能长期停留在“拉完即 upsert 最小字段”。</w:t>
            </w:r>
          </w:p>
        </w:tc>
      </w:tr>
      <w:tr>
        <w:tc>
          <w:tcPr>
            <w:tcW w:type="dxa" w:w="10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96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补幂等与补偿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必须具备 idempotency key、retry、dead-letter、replay、partial failure compensation。</w:t>
            </w:r>
          </w:p>
        </w:tc>
      </w:tr>
    </w:tbl>
    <w:p/>
    <w:p>
      <w:pPr>
        <w:pStyle w:val="Heading2"/>
        <w:spacing w:before="200" w:after="120"/>
        <w:keepNext/>
      </w:pPr>
      <w:r>
        <w:t>10.1 pandas 的正确位置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pandas 不需要立刻废掉。当前阶段正确定位是：作为 parser / normalize / small-medium batch transform 的工具，而不是长期承担高并发同步执行器。保留其工具价值，去掉其系统主流程地位。</w:t>
      </w:r>
    </w:p>
    <w:p>
      <w:pPr>
        <w:pStyle w:val="Heading1"/>
        <w:spacing w:before="280" w:after="120"/>
        <w:keepNext/>
      </w:pPr>
      <w:r>
        <w:t>十一、必要的“去运行面动作”，以及为什么这不是降级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494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去运行面对象</w:t>
            </w:r>
          </w:p>
        </w:tc>
        <w:tc>
          <w:tcPr>
            <w:tcW w:type="dxa" w:w="2948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处理方式</w:t>
            </w:r>
          </w:p>
        </w:tc>
        <w:tc>
          <w:tcPr>
            <w:tcW w:type="dxa" w:w="2948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新优点</w:t>
            </w:r>
          </w:p>
        </w:tc>
      </w:tr>
      <w:tr>
        <w:tc>
          <w:tcPr>
            <w:tcW w:type="dxa" w:w="249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*.bak_* / *.disabled / patch-heavy 脚本</w:t>
            </w:r>
          </w:p>
        </w:tc>
        <w:tc>
          <w:tcPr>
            <w:tcW w:type="dxa" w:w="29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移出主运行面，统一归档到 docs/archive、handoff/legacy_snapshots、scripts/_archive</w:t>
            </w:r>
          </w:p>
        </w:tc>
        <w:tc>
          <w:tcPr>
            <w:tcW w:type="dxa" w:w="29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搜索结果更干净，主线更清晰，历史证据仍在。</w:t>
            </w:r>
          </w:p>
        </w:tc>
      </w:tr>
      <w:tr>
        <w:tc>
          <w:tcPr>
            <w:tcW w:type="dxa" w:w="249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DataImport.tsx</w:t>
            </w:r>
          </w:p>
        </w:tc>
        <w:tc>
          <w:tcPr>
            <w:tcW w:type="dxa" w:w="29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不再作为第二主入口，只保留为兼容包装页</w:t>
            </w:r>
          </w:p>
        </w:tc>
        <w:tc>
          <w:tcPr>
            <w:tcW w:type="dxa" w:w="29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不是删导入，而是统一入口，减少状态分叉。</w:t>
            </w:r>
          </w:p>
        </w:tc>
      </w:tr>
      <w:tr>
        <w:tc>
          <w:tcPr>
            <w:tcW w:type="dxa" w:w="249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DecisionShowcase.tsx</w:t>
            </w:r>
          </w:p>
        </w:tc>
        <w:tc>
          <w:tcPr>
            <w:tcW w:type="dxa" w:w="29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移到 Internal 区</w:t>
            </w:r>
          </w:p>
        </w:tc>
        <w:tc>
          <w:tcPr>
            <w:tcW w:type="dxa" w:w="29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不是删决策能力，而是把演示页与正式动作链分开。</w:t>
            </w:r>
          </w:p>
        </w:tc>
      </w:tr>
      <w:tr>
        <w:tc>
          <w:tcPr>
            <w:tcW w:type="dxa" w:w="249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profit_registry_service.py.disabled</w:t>
            </w:r>
          </w:p>
        </w:tc>
        <w:tc>
          <w:tcPr>
            <w:tcW w:type="dxa" w:w="29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退出运行面，设计意图正式并入 registry/profit_registry.py</w:t>
            </w:r>
          </w:p>
        </w:tc>
        <w:tc>
          <w:tcPr>
            <w:tcW w:type="dxa" w:w="29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不是放弃利润 registry，而是把它拉回主线。</w:t>
            </w:r>
          </w:p>
        </w:tc>
      </w:tr>
    </w:tbl>
    <w:p/>
    <w:p>
      <w:pPr>
        <w:pStyle w:val="Heading1"/>
        <w:spacing w:before="280" w:after="120"/>
        <w:keepNext/>
      </w:pPr>
      <w:r>
        <w:t>十二、实施优先级（只准升级，不乱序）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134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阶段</w:t>
            </w:r>
          </w:p>
        </w:tc>
        <w:tc>
          <w:tcPr>
            <w:tcW w:type="dxa" w:w="2324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主题</w:t>
            </w:r>
          </w:p>
        </w:tc>
        <w:tc>
          <w:tcPr>
            <w:tcW w:type="dxa" w:w="4932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本阶段的核心目标</w:t>
            </w:r>
          </w:p>
        </w:tc>
      </w:tr>
      <w:tr>
        <w:tc>
          <w:tcPr>
            <w:tcW w:type="dxa" w:w="113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Phase 0</w:t>
            </w:r>
          </w:p>
        </w:tc>
        <w:tc>
          <w:tcPr>
            <w:tcW w:type="dxa" w:w="23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主线统一与契约冻结</w:t>
            </w:r>
          </w:p>
        </w:tc>
        <w:tc>
          <w:tcPr>
            <w:tcW w:type="dxa" w:w="49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明确主 API、主导入、主前端入口，冻结 batch / dataset/profile / action 三类 contract。</w:t>
            </w:r>
          </w:p>
        </w:tc>
      </w:tr>
      <w:tr>
        <w:tc>
          <w:tcPr>
            <w:tcW w:type="dxa" w:w="113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Phase 1</w:t>
            </w:r>
          </w:p>
        </w:tc>
        <w:tc>
          <w:tcPr>
            <w:tcW w:type="dxa" w:w="23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导入可信收口 + batch 持久化</w:t>
            </w:r>
          </w:p>
        </w:tc>
        <w:tc>
          <w:tcPr>
            <w:tcW w:type="dxa" w:w="49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补泛化矩阵、补 recovery 独立证据、补 gateMode / hard gate 口子、持久化 session/audit/manual override。</w:t>
            </w:r>
          </w:p>
        </w:tc>
      </w:tr>
      <w:tr>
        <w:tc>
          <w:tcPr>
            <w:tcW w:type="dxa" w:w="113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Phase 2</w:t>
            </w:r>
          </w:p>
        </w:tc>
        <w:tc>
          <w:tcPr>
            <w:tcW w:type="dxa" w:w="23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dataset/profile/connector 框架</w:t>
            </w:r>
          </w:p>
        </w:tc>
        <w:tc>
          <w:tcPr>
            <w:tcW w:type="dxa" w:w="49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建 dataset registry、import_profile / connector_profile、抽 connectors/parsers/mappers/gate service。</w:t>
            </w:r>
          </w:p>
        </w:tc>
      </w:tr>
      <w:tr>
        <w:tc>
          <w:tcPr>
            <w:tcW w:type="dxa" w:w="113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Phase 3</w:t>
            </w:r>
          </w:p>
        </w:tc>
        <w:tc>
          <w:tcPr>
            <w:tcW w:type="dxa" w:w="23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统一事实层与利润底盘</w:t>
            </w:r>
          </w:p>
        </w:tc>
        <w:tc>
          <w:tcPr>
            <w:tcW w:type="dxa" w:w="49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固化最小稳定对象、建成本字典中心、做利润 V1、建立 Profit/Pricing/Reviews/Refunds 的 Domain 工作台入口。</w:t>
            </w:r>
          </w:p>
        </w:tc>
      </w:tr>
      <w:tr>
        <w:tc>
          <w:tcPr>
            <w:tcW w:type="dxa" w:w="113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Phase 4</w:t>
            </w:r>
          </w:p>
        </w:tc>
        <w:tc>
          <w:tcPr>
            <w:tcW w:type="dxa" w:w="23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动作工作台与执行闭环</w:t>
            </w:r>
          </w:p>
        </w:tc>
        <w:tc>
          <w:tcPr>
            <w:tcW w:type="dxa" w:w="49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Strategy Workbench、Execution Center、Audit Center、API push / callback / rollback / compensation。</w:t>
            </w:r>
          </w:p>
        </w:tc>
      </w:tr>
      <w:tr>
        <w:tc>
          <w:tcPr>
            <w:tcW w:type="dxa" w:w="113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Phase 5</w:t>
            </w:r>
          </w:p>
        </w:tc>
        <w:tc>
          <w:tcPr>
            <w:tcW w:type="dxa" w:w="23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平台扩展与生产化</w:t>
            </w:r>
          </w:p>
        </w:tc>
        <w:tc>
          <w:tcPr>
            <w:tcW w:type="dxa" w:w="49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新 provider connector、多 worker / queue、监控/告警/任务观测、压测与长周期回放。</w:t>
            </w:r>
          </w:p>
        </w:tc>
      </w:tr>
    </w:tbl>
    <w:p/>
    <w:p>
      <w:pPr>
        <w:pStyle w:val="Heading1"/>
        <w:spacing w:before="280" w:after="120"/>
        <w:keepNext/>
      </w:pPr>
      <w:r>
        <w:t>十三、按文件的最小落地包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850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域</w:t>
            </w:r>
          </w:p>
        </w:tc>
        <w:tc>
          <w:tcPr>
            <w:tcW w:type="dxa" w:w="3402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优先文件</w:t>
            </w:r>
          </w:p>
        </w:tc>
        <w:tc>
          <w:tcPr>
            <w:tcW w:type="dxa" w:w="4139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为什么优先</w:t>
            </w:r>
          </w:p>
        </w:tc>
      </w:tr>
      <w:tr>
        <w:tc>
          <w:tcPr>
            <w:tcW w:type="dxa" w:w="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后端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System/src/ecom_v51/services/import_service.py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把现有主导入升级为 facade，不再继续向单文件堆全部规则。</w:t>
            </w:r>
          </w:p>
        </w:tc>
      </w:tr>
      <w:tr>
        <w:tc>
          <w:tcPr>
            <w:tcW w:type="dxa" w:w="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后端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System/src/ecom_v51/api/routes/import_route.py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旧 /api/import/* 继续兼容，同时接入统一 batch 主线。</w:t>
            </w:r>
          </w:p>
        </w:tc>
      </w:tr>
      <w:tr>
        <w:tc>
          <w:tcPr>
            <w:tcW w:type="dxa" w:w="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后端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System/src/ecom_v51/services/integration_service.py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改成 connector job orchestration 门面。</w:t>
            </w:r>
          </w:p>
        </w:tc>
      </w:tr>
      <w:tr>
        <w:tc>
          <w:tcPr>
            <w:tcW w:type="dxa" w:w="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后端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System/src/ecom_v51/ingest/contracts.py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正式定义 batch / gate / audit / replay / idempotency contract。</w:t>
            </w:r>
          </w:p>
        </w:tc>
      </w:tr>
      <w:tr>
        <w:tc>
          <w:tcPr>
            <w:tcW w:type="dxa" w:w="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后端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System/src/ecom_v51/ingest/orchestrator.py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统一编排文件导入与 API 接入。</w:t>
            </w:r>
          </w:p>
        </w:tc>
      </w:tr>
      <w:tr>
        <w:tc>
          <w:tcPr>
            <w:tcW w:type="dxa" w:w="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后端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System/src/ecom_v51/registry/dataset_registry.py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把 dataset_kind 与 profile 体系写成正式 registry。</w:t>
            </w:r>
          </w:p>
        </w:tc>
      </w:tr>
      <w:tr>
        <w:tc>
          <w:tcPr>
            <w:tcW w:type="dxa" w:w="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前端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System/frontend/src/App.tsx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只抽 routes.tsx / navigation.ts，不重做主路由。</w:t>
            </w:r>
          </w:p>
        </w:tc>
      </w:tr>
      <w:tr>
        <w:tc>
          <w:tcPr>
            <w:tcW w:type="dxa" w:w="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前端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System/frontend/src/pages/DataImportV2.tsx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升级为 Data Workspace 总壳。</w:t>
            </w:r>
          </w:p>
        </w:tc>
      </w:tr>
      <w:tr>
        <w:tc>
          <w:tcPr>
            <w:tcW w:type="dxa" w:w="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前端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System/frontend/src/services/ingestion.ts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承接 batch / sync / replay / confirm / polling 的统一 API 层。</w:t>
            </w:r>
          </w:p>
        </w:tc>
      </w:tr>
      <w:tr>
        <w:tc>
          <w:tcPr>
            <w:tcW w:type="dxa" w:w="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前端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System/frontend/src/types/dataset.ts / batch.ts / gate.ts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建立跨数据集统一契约。</w:t>
            </w:r>
          </w:p>
        </w:tc>
      </w:tr>
      <w:tr>
        <w:tc>
          <w:tcPr>
            <w:tcW w:type="dxa" w:w="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配置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System/config/dataset_registry/*.yaml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先从 orders、ads、reviews 开始建立最小 manifest。</w:t>
            </w:r>
          </w:p>
        </w:tc>
      </w:tr>
      <w:tr>
        <w:tc>
          <w:tcPr>
            <w:tcW w:type="dxa" w:w="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测试</w:t>
            </w:r>
          </w:p>
        </w:tc>
        <w:tc>
          <w:tcPr>
            <w:tcW w:type="dxa" w:w="340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System/tests/ingest/test_batch_contracts.py</w:t>
            </w:r>
          </w:p>
        </w:tc>
        <w:tc>
          <w:tcPr>
            <w:tcW w:type="dxa" w:w="413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先把 contract 固化，再扩更多数据域。</w:t>
            </w:r>
          </w:p>
        </w:tc>
      </w:tr>
    </w:tbl>
    <w:p/>
    <w:p>
      <w:pPr>
        <w:pStyle w:val="Heading1"/>
        <w:spacing w:before="280" w:after="120"/>
        <w:keepNext/>
      </w:pPr>
      <w:r>
        <w:t>十四、最终结论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本次优化设计不是否定现有项目，而是把它从“可扩展原型 / 中段工程 / 导入可信性强但扩展框架尚未正式化”的状态，升级成“主线清晰的模块化单体 + 统一 batch / dataset / action contract + 同时支持 API 与文件导入 + 面向利润/评分/策略/执行闭环的经营系统骨架”。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最重要的一句结论是：未来更多 API 能接，更多 API 拿不到的数据继续靠导入也能接；但要做到真正易扩展、可长期维护、性能可演进，下一阶段必须从“功能增加”转向“主线统一 + profile/connector 框架化 + batch 持久化 + 统一事实层 + 工作台化前端”。</w:t>
      </w:r>
    </w:p>
    <w:p>
      <w:pPr>
        <w:spacing w:after="100" w:lineRule="auto" w:line="295"/>
      </w:pPr>
      <w:r>
        <w:rPr>
          <w:rFonts w:ascii="Noto Sans CJK SC" w:hAnsi="Noto Sans CJK SC" w:eastAsia="Noto Sans CJK SC"/>
          <w:b w:val="0"/>
          <w:i w:val="0"/>
          <w:sz w:val="21"/>
        </w:rPr>
        <w:t>本报告中的所有“去除”动作，本质都不是减能力，而是去掉并行歧义、运行面噪音、重复入口和错误扩展方式，从而保住并放大你当前最有价值的资产。</w:t>
      </w:r>
    </w:p>
    <w:p>
      <w:r>
        <w:br w:type="page"/>
      </w:r>
    </w:p>
    <w:p>
      <w:pPr>
        <w:pStyle w:val="Heading1"/>
        <w:spacing w:before="280" w:after="120"/>
        <w:keepNext/>
      </w:pPr>
      <w:r>
        <w:t>附录 A：本次方案明确保留与明确不再并行演进的对象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304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类别</w:t>
            </w:r>
          </w:p>
        </w:tc>
        <w:tc>
          <w:tcPr>
            <w:tcW w:type="dxa" w:w="4535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对象</w:t>
            </w:r>
          </w:p>
        </w:tc>
        <w:tc>
          <w:tcPr>
            <w:tcW w:type="dxa" w:w="2835"/>
            <w:shd w:fill="D9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原则</w:t>
            </w:r>
          </w:p>
        </w:tc>
      </w:tr>
      <w:tr>
        <w:tc>
          <w:tcPr>
            <w:tcW w:type="dxa" w:w="1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明确保留</w:t>
            </w:r>
          </w:p>
        </w:tc>
        <w:tc>
          <w:tcPr>
            <w:tcW w:type="dxa" w:w="45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App.tsx / DataImportV2 / data-import-v2/* / services/import_service.py / api/routes/import_route.py / integration_service.py / 现有 registry 配置 / 现有导入测试</w:t>
            </w:r>
          </w:p>
        </w:tc>
        <w:tc>
          <w:tcPr>
            <w:tcW w:type="dxa" w:w="28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这些是当前真实主线与最有价值的资产。</w:t>
            </w:r>
          </w:p>
        </w:tc>
      </w:tr>
      <w:tr>
        <w:tc>
          <w:tcPr>
            <w:tcW w:type="dxa" w:w="1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不再并行演进</w:t>
            </w:r>
          </w:p>
        </w:tc>
        <w:tc>
          <w:tcPr>
            <w:tcW w:type="dxa" w:w="45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演示型旧入口、bak/disabled、patch-heavy 运行面、重复导入入口、演示页冒充正式业务页</w:t>
            </w:r>
          </w:p>
        </w:tc>
        <w:tc>
          <w:tcPr>
            <w:tcW w:type="dxa" w:w="2835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这些不是删除，而是退出主运行面，防止继续拖散主线。</w:t>
            </w:r>
          </w:p>
        </w:tc>
      </w:tr>
    </w:tbl>
    <w:p/>
    <w:p>
      <w:pPr>
        <w:pStyle w:val="Heading1"/>
        <w:spacing w:before="280" w:after="120"/>
        <w:keepNext/>
      </w:pPr>
      <w:r>
        <w:t>附录 B：推荐新增目录清单（摘要）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后端：ingest/、connectors/、parsers/、mappers/、registry/、domain/。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前端：app/、pages/DataWorkspace/、pages/Domain/、pages/Actions/、hooks/。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配置：dataset_registry/、gate_policies/、action_registry/、connector_registry/。</w:t>
      </w:r>
    </w:p>
    <w:p>
      <w:pPr>
        <w:spacing w:after="60"/>
        <w:ind w:left="312" w:hanging="181"/>
      </w:pPr>
      <w:r>
        <w:rPr>
          <w:rFonts w:ascii="Noto Sans CJK SC" w:hAnsi="Noto Sans CJK SC" w:eastAsia="Noto Sans CJK SC"/>
          <w:b/>
          <w:i w:val="0"/>
          <w:color w:val="2F75B5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归档：docs/archive/、handoff/legacy_snapshots/、scripts/_archive/。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5F6368"/>
        <w:sz w:val="16"/>
      </w:rPr>
      <w:t>2026-03-20  |  基于 handoff、设计稿、阶段报告与当前基线分支整理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5F6368"/>
        <w:sz w:val="17"/>
      </w:rPr>
      <w:t>运营系统设计 - 扩展性与高性能重构优化设计报告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