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t>利润引擎与定价策略设计稿</w:t>
      </w:r>
    </w:p>
    <w:p>
      <w:pPr>
        <w:pStyle w:val="SubTitleStyle"/>
        <w:jc w:val="center"/>
      </w:pPr>
      <w:r>
        <w:t>适用于跨境电商智能运营系统：围绕成本、利润、评分、广告、转化、库存与定价的统一经营模型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文档定位</w:t>
            </w:r>
          </w:p>
        </w:tc>
        <w:tc>
          <w:tcPr>
            <w:tcW w:type="dxa" w:w="5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系统级设计稿，不是单一公式说明；目标是为现有运营系统建立可扩展、可解释、可执行的利润与定价底座。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核心结论</w:t>
            </w:r>
          </w:p>
        </w:tc>
        <w:tc>
          <w:tcPr>
            <w:tcW w:type="dxa" w:w="5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利润不能只靠“售价-成本”计算；必须拆成成本引擎、利润引擎、定价策略引擎三层，并保留 API、规则和人工修正三种来源。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适用范围</w:t>
            </w:r>
          </w:p>
        </w:tc>
        <w:tc>
          <w:tcPr>
            <w:tcW w:type="dxa" w:w="59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商品经营分析、广告投放判断、价格调整建议、评分风险联动、SKU 分层、潜力/有害商品识别、策略回写前置判断。</w:t>
            </w:r>
          </w:p>
        </w:tc>
      </w:tr>
    </w:tbl>
    <w:p>
      <w:pPr>
        <w:pStyle w:val="Callout"/>
      </w:pPr>
      <w:r>
        <w:rPr>
          <w:b/>
        </w:rPr>
        <w:t>执行摘要：</w:t>
      </w:r>
      <w:r>
        <w:t xml:space="preserve"> 当前系统后续是否可用，不取决于页面多少，而取决于利润是否可解释、定价是否可执行、策略是否能在风险和增长之间做平衡。</w:t>
      </w:r>
    </w:p>
    <w:p>
      <w:r>
        <w:br w:type="page"/>
      </w:r>
    </w:p>
    <w:p>
      <w:pPr>
        <w:pStyle w:val="H1"/>
      </w:pPr>
      <w:r>
        <w:t>一、设计目标与边界</w:t>
      </w:r>
    </w:p>
    <w:p>
      <w:pPr>
        <w:pStyle w:val="H2"/>
      </w:pPr>
      <w:r>
        <w:t>1. 目标</w:t>
      </w:r>
    </w:p>
    <w:p>
      <w:pPr>
        <w:pStyle w:val="Body"/>
      </w:pPr>
      <w:r>
        <w:t>本设计稿的目标，不是追求财务口径的绝对完美，而是先建立一套“可决策利润”体系。系统应支持：判断商品是否值得继续卖，是否值得继续投广告，是否值得提价、降价、清仓或放量，以及哪些商品正在拖累店铺评分、利润和销量。</w:t>
      </w:r>
    </w:p>
    <w:p>
      <w:pPr>
        <w:pStyle w:val="H2"/>
      </w:pPr>
      <w:r>
        <w:t>2. 边界</w:t>
      </w:r>
    </w:p>
    <w:p>
      <w:pPr>
        <w:pStyle w:val="Body"/>
      </w:pPr>
      <w:r>
        <w:t>本系统不建议直接承担重型 ERP 的履约职责，不做审单、打单、仓储波次、物流作业等重模块。系统应聚焦经营分析中枢：接收订单、广告、库存、价格、评分、退款、平台费用等数据，形成利润和定价判断，再把动作建议推送到外部系统。</w:t>
      </w:r>
    </w:p>
    <w:p>
      <w:pPr>
        <w:pStyle w:val="H2"/>
      </w:pPr>
      <w:r>
        <w:t>3. 总体原则</w:t>
      </w:r>
    </w:p>
    <w:p>
      <w:pPr>
        <w:pStyle w:val="Body"/>
      </w:pPr>
      <w:r>
        <w:t>利润模型必须可配置、可追溯、可修正；定价模型必须同时考虑成本底线、市场上限和增长目标；所有建议必须能解释“为什么”，而不是只给结论。</w:t>
      </w:r>
    </w:p>
    <w:p>
      <w:pPr>
        <w:pStyle w:val="H1"/>
      </w:pPr>
      <w:r>
        <w:t>二、核心判断：为什么现在不能只写一个利润字段</w:t>
      </w:r>
    </w:p>
    <w:p>
      <w:pPr>
        <w:pStyle w:val="H2"/>
      </w:pPr>
      <w:r>
        <w:t>1. 单一利润字段的问题</w:t>
      </w:r>
    </w:p>
    <w:p>
      <w:pPr>
        <w:pStyle w:val="Body"/>
      </w:pPr>
      <w:r>
        <w:t>如果系统只保留一个“利润”字段，后续会很快失真。因为同一个商品，在不含广告、含广告、考虑退款准备、考虑评分拖累、考虑库存风险的情况下，利润是不同的。运营要看的是不同层级利润，而不是一个静态数字。</w:t>
      </w:r>
    </w:p>
    <w:p>
      <w:pPr>
        <w:pStyle w:val="H2"/>
      </w:pPr>
      <w:r>
        <w:t>2. 系统应至少保留三层利润口径</w:t>
      </w:r>
    </w:p>
    <w:p>
      <w:pPr>
        <w:pStyle w:val="Body"/>
      </w:pPr>
      <w:r>
        <w:t>建议同时保留：基础贡献利润、广告后利润、风险调整后利润。基础贡献利润用于判断商品本身是否成立；广告后利润用于判断投放是否值得；风险调整后利润用于判断经营安全边际是否足够。</w:t>
      </w:r>
    </w:p>
    <w:p>
      <w:pPr>
        <w:pStyle w:val="H2"/>
      </w:pPr>
      <w:r>
        <w:t>3. “可决策利润”优先于“绝对精确利润”</w:t>
      </w:r>
    </w:p>
    <w:p>
      <w:pPr>
        <w:pStyle w:val="Body"/>
      </w:pPr>
      <w:r>
        <w:t>第一阶段不需要做到每一分钱都完全精确，但必须做到大方向可信、口径一致、可以解释、可以校正。否则系统会变成复杂报表，而不是经营工具。</w:t>
      </w:r>
    </w:p>
    <w:p>
      <w:pPr>
        <w:pStyle w:val="H1"/>
      </w:pPr>
      <w:r>
        <w:t>三、成本引擎设计</w:t>
      </w:r>
    </w:p>
    <w:p>
      <w:pPr>
        <w:pStyle w:val="H2"/>
      </w:pPr>
      <w:r>
        <w:t>1. 成本引擎目标</w:t>
      </w:r>
    </w:p>
    <w:p>
      <w:pPr>
        <w:pStyle w:val="Body"/>
      </w:pPr>
      <w:r>
        <w:t>成本引擎负责回答三个问题：成本由哪些项组成；每项成本从哪里来；在拿不到真实值时，用什么规则估算。它不是单个字段，而是一套成本字典、来源机制和覆盖优先级机制。</w:t>
      </w:r>
    </w:p>
    <w:p>
      <w:pPr>
        <w:pStyle w:val="H2"/>
      </w:pPr>
      <w:r>
        <w:t>2. 成本分类分层</w:t>
      </w:r>
    </w:p>
    <w:p>
      <w:pPr>
        <w:pStyle w:val="Body"/>
      </w:pPr>
      <w:r>
        <w:t>建议将成本拆为五层：商品落地成本、履约成本、平台交易成本、流量获取成本、风险准备成本。固定成本分摊可作为财务视角补充，而不强行混入所有运营判断。</w:t>
      </w:r>
    </w:p>
    <w:p>
      <w:pPr>
        <w:pStyle w:val="H2"/>
      </w:pPr>
      <w:r>
        <w:t>3. 成本字典建议（第一版）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成本层级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成本项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推荐来源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是否可 API 直取</w:t>
            </w:r>
          </w:p>
        </w:tc>
        <w:tc>
          <w:tcPr>
            <w:tcW w:type="dxa" w:w="18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说明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商品落地成本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采购价、包装、国内头程、税费、国际头程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采购台账 / ERP / 人工维护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部分否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建议以 SKU 成本卡为核心，允许按批次和时间段生效。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履约成本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尾程运费、仓储出库费、平台履约费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平台结算 / 物流账单 / 规则估算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部分是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有真实值时以真实值覆盖；无真实值时按国家站点、重量、渠道规则估算。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交易成本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佣金、支付手续费、活动扣点、优惠承担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平台 API / 订单报表 / 结算单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大多是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这部分通常最容易自动化，适合作为订单层实际成本。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流量成本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广告花费、达人佣金、站外投放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广告 API / 投放台账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部分是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商品维度优先，无法归因到订单时先归因到 SKU 或时间窗。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风险准备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退款损耗、售后补发、质量赔付、汇率风险、滞销跌价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规则参数 / 人工维护 / 历史统计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否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这是经营安全边际关键层，不建议省略。</w:t>
            </w:r>
          </w:p>
        </w:tc>
      </w:tr>
    </w:tbl>
    <w:p>
      <w:pPr>
        <w:pStyle w:val="H2"/>
      </w:pPr>
      <w:r>
        <w:t>4. 成本来源优先级</w:t>
      </w:r>
    </w:p>
    <w:p>
      <w:pPr>
        <w:pStyle w:val="Body"/>
      </w:pPr>
      <w:r>
        <w:t>系统不应强迫“每单人工填”。正确顺序是：订单层真实值 &gt; SKU 成本卡 &gt; 平台/国家/物流规则估算 &gt; 人工临时修正。人工只处理例外，不处理所有订单。</w:t>
      </w:r>
    </w:p>
    <w:p>
      <w:pPr>
        <w:pStyle w:val="H1"/>
      </w:pPr>
      <w:r>
        <w:t>四、数据来源设计：API、规则、人工维护如何协同</w:t>
      </w:r>
    </w:p>
    <w:p>
      <w:pPr>
        <w:pStyle w:val="H2"/>
      </w:pPr>
      <w:r>
        <w:t>1. API 可以拿到什么</w:t>
      </w:r>
    </w:p>
    <w:p>
      <w:pPr>
        <w:pStyle w:val="Body"/>
      </w:pPr>
      <w:r>
        <w:t>通常可通过 API、结算单或平台报表拿到：订单金额、SKU、数量、平台佣金、服务费、支付手续费、退款金额、广告花费、部分类目履约费、评价数量和评分。</w:t>
      </w:r>
    </w:p>
    <w:p>
      <w:pPr>
        <w:pStyle w:val="H2"/>
      </w:pPr>
      <w:r>
        <w:t>2. API 拿不到什么</w:t>
      </w:r>
    </w:p>
    <w:p>
      <w:pPr>
        <w:pStyle w:val="Body"/>
      </w:pPr>
      <w:r>
        <w:t>采购价、不同批次成本、包装与头程、关税分摊、人工售后损耗、退货二次损耗、质量隐性成本，往往没有稳定 API。此时必须依赖成本台账与规则参数。</w:t>
      </w:r>
    </w:p>
    <w:p>
      <w:pPr>
        <w:pStyle w:val="H2"/>
      </w:pPr>
      <w:r>
        <w:t>3. 推荐数据机制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机制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适用场景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优点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控制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API 自动回传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订单、结算、广告、评分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实时性高，人工负担低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必须保存 raw 数据和映射版本，接口变更要可重放。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规则估算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履约费、税费、广告分摊、风险准备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可快速覆盖大多数场景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规则必须版本化，并允许回溯。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人工维护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采购价、批次成本、异常修正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能覆盖关键但非标准数据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只用于基础台账和例外修正，不能逐单录入。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导入补充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供应商账单、物流台账、活动成本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过渡期最实用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需接入既有导入框架，不能另起一套逻辑。</w:t>
            </w:r>
          </w:p>
        </w:tc>
      </w:tr>
    </w:tbl>
    <w:p>
      <w:pPr>
        <w:pStyle w:val="H1"/>
      </w:pPr>
      <w:r>
        <w:t>五、SKU 成本卡：系统最关键的基础对象</w:t>
      </w:r>
    </w:p>
    <w:p>
      <w:pPr>
        <w:pStyle w:val="Body"/>
      </w:pPr>
      <w:r>
        <w:t>建议每个 SKU 至少维护一张成本卡。成本卡不是静态数字，而是带生效时间、来源、版本、可修正的对象。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字段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说明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推荐粒度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是否必填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sku_id / shop_sku / platform_sku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统一商品映射主键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必须解决多平台映射。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purchase_cost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采购成本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/ 批次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允许批次覆盖默认值。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packaging_cost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包装与辅料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高客诉类商品建议强制填。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inbound_cost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头程/入仓成本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/ 仓 / 国家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可按国家站点估算。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tax_duty_cost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税费/关税/VAT 分摊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/ 国家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可以先规则化。</w:t>
            </w:r>
          </w:p>
        </w:tc>
      </w:tr>
    </w:tbl>
    <w:p>
      <w:pPr>
        <w:pStyle w:val="Small"/>
      </w:pPr>
      <w:r>
        <w:t>SKU 成本卡（续）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字段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说明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推荐粒度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是否必填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备注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default_refund_loss_rate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默认退款损耗率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类别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可由历史统计驱动。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default_after_sale_loss_rate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默认售后损耗率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类别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用于风险调整利润。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effective_from / effective_to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成本生效区间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时间段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支持历史回溯。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source_type / source_ref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来源说明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记录级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API / 导入 / 人工 / 规则。</w:t>
            </w:r>
          </w:p>
        </w:tc>
      </w:tr>
    </w:tbl>
    <w:p>
      <w:r>
        <w:br w:type="page"/>
      </w:r>
    </w:p>
    <w:p>
      <w:pPr>
        <w:pStyle w:val="H1"/>
      </w:pPr>
      <w:r>
        <w:t>六、利润引擎设计</w:t>
      </w:r>
    </w:p>
    <w:p>
      <w:pPr>
        <w:pStyle w:val="H2"/>
      </w:pPr>
      <w:r>
        <w:t>1. 三层利润口径</w:t>
      </w:r>
    </w:p>
    <w:p>
      <w:pPr>
        <w:pStyle w:val="Body"/>
      </w:pPr>
      <w:r>
        <w:t>建议最少保留三层：</w:t>
      </w:r>
    </w:p>
    <w:p>
      <w:pPr>
        <w:pStyle w:val="Bul"/>
        <w:ind w:left="340"/>
      </w:pPr>
      <w:r>
        <w:t>• 基础贡献利润 = 销售净额 - 商品落地成本 - 平台交易成本 - 履约成本</w:t>
      </w:r>
    </w:p>
    <w:p>
      <w:pPr>
        <w:pStyle w:val="Bul"/>
        <w:ind w:left="340"/>
      </w:pPr>
      <w:r>
        <w:t>• 广告后利润 = 基础贡献利润 - 广告成本</w:t>
      </w:r>
    </w:p>
    <w:p>
      <w:pPr>
        <w:pStyle w:val="Bul"/>
        <w:ind w:left="340"/>
      </w:pPr>
      <w:r>
        <w:t>• 风险调整后利润 = 广告后利润 - 退款/售后准备 - 评分/质量风险准备 - 汇率/库存风险准备</w:t>
      </w:r>
    </w:p>
    <w:p>
      <w:pPr>
        <w:pStyle w:val="H2"/>
      </w:pPr>
      <w:r>
        <w:t>2. 利润字段建议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字段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用途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聚合维度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是否用于策略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gross_revenue / net_revenue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收入基础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订单 / SKU / 店铺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base_contribution_profit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看商品是否成立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订单 / SKU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profit_after_ads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看投放后是否仍赚钱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/ 广告活动 / 店铺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risk_adjusted_profit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看经营安全边际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/ 店铺 / 类目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profit_margin_base / after_ads / risk_adjusted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看不同利润率口径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/ 店铺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profit_band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商品利润档位分类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</w:tr>
    </w:tbl>
    <w:p>
      <w:pPr>
        <w:pStyle w:val="H2"/>
      </w:pPr>
      <w:r>
        <w:t>3. 利润算法必须支持的能力</w:t>
      </w:r>
    </w:p>
    <w:p>
      <w:pPr>
        <w:pStyle w:val="Bul"/>
        <w:ind w:left="340"/>
      </w:pPr>
      <w:r>
        <w:t>• 多算法并存：可同时维护“标准经营利润”“投放利润”“财务近似利润”等口径。</w:t>
      </w:r>
    </w:p>
    <w:p>
      <w:pPr>
        <w:pStyle w:val="Bul"/>
        <w:ind w:left="340"/>
      </w:pPr>
      <w:r>
        <w:t>• 版本化：规则调整后必须能区分 v1/v2，不可覆盖历史。</w:t>
      </w:r>
    </w:p>
    <w:p>
      <w:pPr>
        <w:pStyle w:val="Bul"/>
        <w:ind w:left="340"/>
      </w:pPr>
      <w:r>
        <w:t>• 可人工修正：但修正必须有原因、操作者、时间、影响范围。</w:t>
      </w:r>
    </w:p>
    <w:p>
      <w:pPr>
        <w:pStyle w:val="Bul"/>
        <w:ind w:left="340"/>
      </w:pPr>
      <w:r>
        <w:t>• 可回溯：同一订单或 SKU，在某个时间点使用哪套规则，应可追踪。</w:t>
      </w:r>
    </w:p>
    <w:p>
      <w:pPr>
        <w:pStyle w:val="Bul"/>
        <w:ind w:left="340"/>
      </w:pPr>
      <w:r>
        <w:t>• 可解释：系统要能告诉运营“利润低是因为采购涨价、广告高、退款高，还是评分拖累造成的转化恶化”。</w:t>
      </w:r>
    </w:p>
    <w:p>
      <w:r>
        <w:br w:type="page"/>
      </w:r>
    </w:p>
    <w:p>
      <w:pPr>
        <w:pStyle w:val="H1"/>
      </w:pPr>
      <w:r>
        <w:t>七、定价策略设计</w:t>
      </w:r>
    </w:p>
    <w:p>
      <w:pPr>
        <w:pStyle w:val="H2"/>
      </w:pPr>
      <w:r>
        <w:t>1. 定价不是只看加价倍率</w:t>
      </w:r>
    </w:p>
    <w:p>
      <w:pPr>
        <w:pStyle w:val="Body"/>
      </w:pPr>
      <w:r>
        <w:t>定价必须同时回答三个问题：这个价格是否低于成本底线；这个价格是否满足目标利润；这个价格在当前评分、竞争、广告环境下是否还能成交。</w:t>
      </w:r>
    </w:p>
    <w:p>
      <w:pPr>
        <w:pStyle w:val="H2"/>
      </w:pPr>
      <w:r>
        <w:t>2. 三条价格线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价格线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定义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决定因素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系统作用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底价 Floor Price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不能低于的安全线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成本、平台费、履约费、最低风险准备、最低安全利润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防止越卖越亏。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目标价 Target Price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当前阶段最希望执行的价格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目标利润率、广告后利润、增长目标、库存压力、现金流目标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作为调价建议核心。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上限价 Ceiling Price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市场可承受的上限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竞品价格带、评分、评价量、品牌力、店铺权重、类目弹性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防止高利润但不出单。</w:t>
            </w:r>
          </w:p>
        </w:tc>
      </w:tr>
    </w:tbl>
    <w:p>
      <w:pPr>
        <w:pStyle w:val="H2"/>
      </w:pPr>
      <w:r>
        <w:t>3. 定价决策必须纳入的因素（第一版）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因素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是否首版必做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原因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来源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对定价的影响方向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基础成本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没有底价就无法定价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成本卡 / 规则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决定最小安全价格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平台费与履约费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不同站点差异明显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API / 结算 / 规则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直接压缩利润空间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广告依赖度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广告驱动商品不能只看毛利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广告 API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决定广告后利润线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评分与评价量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评分差难以支撑高价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评分 API / 报表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决定市场上限价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退款/售后率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高退款商品需要更高安全边际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售后 / 订单 / 规则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抬高风险底价</w:t>
            </w:r>
          </w:p>
        </w:tc>
      </w:tr>
    </w:tbl>
    <w:p>
      <w:pPr>
        <w:pStyle w:val="Small"/>
      </w:pPr>
      <w:r>
        <w:t>定价因素（续）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因素</w:t>
            </w:r>
          </w:p>
        </w:tc>
        <w:tc>
          <w:tcPr>
            <w:tcW w:type="dxa" w:w="1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是否首版必做</w:t>
            </w:r>
          </w:p>
        </w:tc>
        <w:tc>
          <w:tcPr>
            <w:tcW w:type="dxa" w:w="27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原因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来源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对定价的影响方向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库存压力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库存深和滞销时需兼顾现金回笼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库存快照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可能推动降价或清仓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竞争价格带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是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不看竞品就无法判断上限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竞品采集 / 人工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约束市场接受度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生命周期阶段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新品和成熟品策略不同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运营判断 / 历史数据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决定以增长还是利润为先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现金流占用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高成本产品安全边际要求更高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采购 / 财务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影响可接受利润率</w:t>
            </w:r>
          </w:p>
        </w:tc>
      </w:tr>
    </w:tbl>
    <w:p>
      <w:pPr>
        <w:pStyle w:val="H2"/>
      </w:pPr>
      <w:r>
        <w:t>4. “多少利润最合适”应如何回答</w:t>
      </w:r>
    </w:p>
    <w:p>
      <w:pPr>
        <w:pStyle w:val="Body"/>
      </w:pPr>
      <w:r>
        <w:t>系统不应给出一个统一利润率阈值。更合理的做法是建立“利润区间 + 风险标签 + 增长目标”的判断框架。低客单快周转商品，可以接受较低单单利润，但要求广告后仍稳健；高客单高成本商品，则必须要求更高绝对利润和更强安全边际，因为一单亏损的回本周期更长。</w:t>
      </w:r>
    </w:p>
    <w:p>
      <w:pPr>
        <w:pStyle w:val="H1"/>
      </w:pPr>
      <w:r>
        <w:t>八、评分、广告、转化、库存与定价的联动逻辑</w:t>
      </w:r>
    </w:p>
    <w:p>
      <w:pPr>
        <w:pStyle w:val="H2"/>
      </w:pPr>
      <w:r>
        <w:t>1. 评分 × 定价</w:t>
      </w:r>
    </w:p>
    <w:p>
      <w:pPr>
        <w:pStyle w:val="Body"/>
      </w:pPr>
      <w:r>
        <w:t>评分低、差评增长快、评价量少的商品，通常无法支撑高价。评分高、评价量大且稳定的商品，才有更强提价空间。系统应对价格建议增加“评分修正系数”。</w:t>
      </w:r>
    </w:p>
    <w:p>
      <w:pPr>
        <w:pStyle w:val="H2"/>
      </w:pPr>
      <w:r>
        <w:t>2. 广告 × 定价</w:t>
      </w:r>
    </w:p>
    <w:p>
      <w:pPr>
        <w:pStyle w:val="Body"/>
      </w:pPr>
      <w:r>
        <w:t>强依赖广告获客的商品，提价后可能导致点击率下降、转化率下降、ACOS 上升。系统必须同时看广告后利润，而不是只看毛利。</w:t>
      </w:r>
    </w:p>
    <w:p>
      <w:pPr>
        <w:pStyle w:val="H2"/>
      </w:pPr>
      <w:r>
        <w:t>3. 库存 × 定价</w:t>
      </w:r>
    </w:p>
    <w:p>
      <w:pPr>
        <w:pStyle w:val="Body"/>
      </w:pPr>
      <w:r>
        <w:t>库存深、周转慢、滞销风险高的商品，有时优先回笼现金比追求利润率更重要。库存压力可作为目标价向下调整因子。</w:t>
      </w:r>
    </w:p>
    <w:p>
      <w:pPr>
        <w:pStyle w:val="H2"/>
      </w:pPr>
      <w:r>
        <w:t>4. 退款/售后 × 定价</w:t>
      </w:r>
    </w:p>
    <w:p>
      <w:pPr>
        <w:pStyle w:val="Body"/>
      </w:pPr>
      <w:r>
        <w:t>高退款、高客诉商品，不适合吃太薄利润。否则一旦退货或补发上升，就会把利润打穿。</w:t>
      </w:r>
    </w:p>
    <w:p>
      <w:pPr>
        <w:pStyle w:val="H2"/>
      </w:pPr>
      <w:r>
        <w:t>5. 生命周期 × 定价</w:t>
      </w:r>
    </w:p>
    <w:p>
      <w:pPr>
        <w:pStyle w:val="Body"/>
      </w:pPr>
      <w:r>
        <w:t>新品可以短期牺牲部分利润换评价和转化；成熟品应优化利润与效率；衰退品则更适合清仓和现金回收。</w:t>
      </w:r>
    </w:p>
    <w:p>
      <w:pPr>
        <w:pStyle w:val="H1"/>
      </w:pPr>
      <w:r>
        <w:t>九、商品分型与利润-定价策略模板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商品类型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典型特征</w:t>
            </w:r>
          </w:p>
        </w:tc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利润要求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定价倾向</w:t>
            </w:r>
          </w:p>
        </w:tc>
        <w:tc>
          <w:tcPr>
            <w:tcW w:type="dxa" w:w="20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运营动作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低客单快周转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退货低、评分稳、可快速放量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可接受较低单单利润，但广告后不能亏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更重转化和放量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维持竞争力价格，优先跑量与周转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中客单标准型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可做精细化运营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建议设目标利润区间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兼顾利润与转化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重点做分时/分站点调价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高客单高成本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一单亏损代价大、回本慢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要求更高绝对利润和安全边际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不追极限高价，但必须守住底价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严格控广告、控退款、控评分风险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高利润低转化型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高毛利但出单慢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关注总利润而非毛利好看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适度降价换转化可能更优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做弹性测试和评价建设</w:t>
            </w:r>
          </w:p>
        </w:tc>
      </w:tr>
      <w:tr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低评分高拖累型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差评拖累店铺评分和广告效率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利润要求应提高，否则不值得卖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通常不适合提价</w:t>
            </w:r>
          </w:p>
        </w:tc>
        <w:tc>
          <w:tcPr>
            <w:tcW w:type="dxa" w:w="1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先整改质量/描述/售后，再决定继续投放</w:t>
            </w:r>
          </w:p>
        </w:tc>
      </w:tr>
    </w:tbl>
    <w:p>
      <w:r>
        <w:br w:type="page"/>
      </w:r>
    </w:p>
    <w:p>
      <w:pPr>
        <w:pStyle w:val="H1"/>
      </w:pPr>
      <w:r>
        <w:t>十、建议的数据模型与表设计（简版）</w:t>
      </w:r>
    </w:p>
    <w:p>
      <w:pPr>
        <w:pStyle w:val="Body"/>
      </w:pPr>
      <w:r>
        <w:t>下面给出第一版推荐的核心对象。目标不是一次建全，而是先把后续扩展所需的骨架搭好。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对象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核心字段示例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作用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优先级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sku_cost_card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sku_id, effective_from, purchase_cost, packaging_cost, inbound_cost, risk_rates, version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维护成本台账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fact_orders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order_id, shop_id, platform, sku_id, qty, net_revenue, fees, refund_amount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订单事实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</w:t>
            </w:r>
          </w:p>
        </w:tc>
      </w:tr>
    </w:tbl>
    <w:p>
      <w:pPr>
        <w:pStyle w:val="Small"/>
      </w:pPr>
      <w:r>
        <w:t>核心对象（续）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对象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核心字段示例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作用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优先级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fact_ads_cost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date, shop_id, sku_id, campaign_id, spend, clicks, conversions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广告成本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fact_reviews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review_id, order_id, sku_id, rating, review_date, reason_tags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评分与差评归因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中高</w:t>
            </w:r>
          </w:p>
        </w:tc>
      </w:tr>
    </w:tbl>
    <w:p>
      <w:pPr>
        <w:pStyle w:val="Small"/>
      </w:pPr>
      <w:r>
        <w:t>核心对象（续）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对象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核心字段示例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作用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优先级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fact_inventory_snapshot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sku_id, warehouse, stock_qty, days_of_cover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库存压力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中高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pricing_context_daily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sku_id, current_price, competitor_band, rating_score, review_count, inventory_pressure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调价上下文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中高</w:t>
            </w:r>
          </w:p>
        </w:tc>
      </w:tr>
    </w:tbl>
    <w:p>
      <w:pPr>
        <w:pStyle w:val="Small"/>
      </w:pPr>
      <w:r>
        <w:t>核心对象（续）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对象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核心字段示例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作用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优先级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profit_result_daily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sku_id, profit_version, base_profit, after_ads_profit, risk_adjusted_profit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利润结果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高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strategy_actions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action_type, sku_id, suggested_price, reason, approved_status, pushed_status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动作执行与回写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中高</w:t>
            </w:r>
          </w:p>
        </w:tc>
      </w:tr>
    </w:tbl>
    <w:p>
      <w:pPr>
        <w:pStyle w:val="H1"/>
      </w:pPr>
      <w:r>
        <w:t>十一、建议的计算流程</w:t>
      </w:r>
    </w:p>
    <w:p>
      <w:pPr>
        <w:pStyle w:val="Bul"/>
        <w:ind w:left="340"/>
      </w:pPr>
      <w:r>
        <w:t>1. 接入订单、广告、评分、库存、结算等数据，统一映射至内部模型。</w:t>
      </w:r>
    </w:p>
    <w:p>
      <w:pPr>
        <w:pStyle w:val="Bul"/>
        <w:ind w:left="340"/>
      </w:pPr>
      <w:r>
        <w:t>2. 为每个 SKU 加载在当前时间点生效的成本卡和规则版本。</w:t>
      </w:r>
    </w:p>
    <w:p>
      <w:pPr>
        <w:pStyle w:val="Bul"/>
        <w:ind w:left="340"/>
      </w:pPr>
      <w:r>
        <w:t>3. 优先使用订单层真实费用，缺失时按规则估算并记录估算标记。</w:t>
      </w:r>
    </w:p>
    <w:p>
      <w:pPr>
        <w:pStyle w:val="Bul"/>
        <w:ind w:left="340"/>
      </w:pPr>
      <w:r>
        <w:t>4. 计算基础贡献利润、广告后利润、风险调整后利润，并写入结果表。</w:t>
      </w:r>
    </w:p>
    <w:p>
      <w:pPr>
        <w:pStyle w:val="Bul"/>
        <w:ind w:left="340"/>
      </w:pPr>
      <w:r>
        <w:t>5. 加载评分、库存压力、竞品价格带、转化趋势等上下文，生成定价建议。</w:t>
      </w:r>
    </w:p>
    <w:p>
      <w:pPr>
        <w:pStyle w:val="Bul"/>
        <w:ind w:left="340"/>
      </w:pPr>
      <w:r>
        <w:t>6. 按规则输出动作：提价、降价、停投、增投、清仓、整改质量、优化描述等。</w:t>
      </w:r>
    </w:p>
    <w:p>
      <w:pPr>
        <w:pStyle w:val="Bul"/>
        <w:ind w:left="340"/>
      </w:pPr>
      <w:r>
        <w:t>7. 进入人工确认，再推送外部系统，并记录推送结果与后续回写。</w:t>
      </w:r>
    </w:p>
    <w:p>
      <w:r>
        <w:br w:type="page"/>
      </w:r>
    </w:p>
    <w:p>
      <w:pPr>
        <w:pStyle w:val="H1"/>
      </w:pPr>
      <w:r>
        <w:t>十二、第一版实现建议：先做什么，再补什么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阶段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必须完成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暂不强求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阶段目标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Phase 1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SKU 成本卡、三层利润口径、订单/广告/评分/库存接入骨架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绝对精细的财务分摊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先让利润能解释、能用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Phase 2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评分修正、退款/售后风险准备、竞争价格带、库存压力修正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复杂机器学习预测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先让定价建议更像经营判断</w:t>
            </w:r>
          </w:p>
        </w:tc>
      </w:tr>
    </w:tbl>
    <w:p>
      <w:pPr>
        <w:pStyle w:val="Small"/>
      </w:pPr>
      <w:r>
        <w:t>实施阶段（续）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阶段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必须完成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暂不强求</w:t>
            </w:r>
          </w:p>
        </w:tc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pStyle w:val="Body"/>
            </w:pPr>
            <w:r>
              <w:rPr>
                <w:b/>
                <w:color w:val="1F4E79"/>
              </w:rPr>
              <w:t>阶段目标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Phase 3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动作确认、API 推送、回写审计、版本管理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全自动无人工审核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形成闭环，而不是停留在看板</w:t>
            </w:r>
          </w:p>
        </w:tc>
      </w:tr>
      <w:tr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Phase 4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更多平台 connector、批次成本、地区税费细化、弹性测试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通用 ERP 替代</w:t>
            </w:r>
          </w:p>
        </w:tc>
        <w:tc>
          <w:tcPr>
            <w:tcW w:type="dxa" w:w="2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"/>
            </w:pPr>
            <w:r>
              <w:t>增强扩展力与行业适配</w:t>
            </w:r>
          </w:p>
        </w:tc>
      </w:tr>
    </w:tbl>
    <w:p>
      <w:pPr>
        <w:pStyle w:val="H1"/>
      </w:pPr>
      <w:r>
        <w:t>十三、对当前系统的直接建议</w:t>
      </w:r>
    </w:p>
    <w:p>
      <w:pPr>
        <w:pStyle w:val="Bul"/>
        <w:ind w:left="340"/>
      </w:pPr>
      <w:r>
        <w:t>• 不要先问“最合适利润率是多少”，先把成本字典定下来。</w:t>
      </w:r>
    </w:p>
    <w:p>
      <w:pPr>
        <w:pStyle w:val="Bul"/>
        <w:ind w:left="340"/>
      </w:pPr>
      <w:r>
        <w:t>• 不要设计成逐单人工填成本，应采用“SKU 成本卡 + API 回传 + 规则估算 + 例外修正”。</w:t>
      </w:r>
    </w:p>
    <w:p>
      <w:pPr>
        <w:pStyle w:val="Bul"/>
        <w:ind w:left="340"/>
      </w:pPr>
      <w:r>
        <w:t>• 不要只留一个利润字段，至少保留三层利润口径和算法版本。</w:t>
      </w:r>
    </w:p>
    <w:p>
      <w:pPr>
        <w:pStyle w:val="Bul"/>
        <w:ind w:left="340"/>
      </w:pPr>
      <w:r>
        <w:t>• 定价建议必须纳入评分、广告、库存、退款、竞品和生命周期因素。</w:t>
      </w:r>
    </w:p>
    <w:p>
      <w:pPr>
        <w:pStyle w:val="Bul"/>
        <w:ind w:left="340"/>
      </w:pPr>
      <w:r>
        <w:t>• 第一阶段追求“可决策利润”，第二阶段再逐步逼近更精细的财务利润。</w:t>
      </w:r>
    </w:p>
    <w:p>
      <w:pPr>
        <w:pStyle w:val="Bul"/>
        <w:ind w:left="340"/>
      </w:pPr>
      <w:r>
        <w:t>• 把利润引擎、定价策略、评分风险纳入同一经营模型，而不是分散在多个孤立页面。</w:t>
      </w:r>
    </w:p>
    <w:p>
      <w:pPr>
        <w:pStyle w:val="H1"/>
      </w:pPr>
      <w:r>
        <w:t>十四、最终结论</w:t>
      </w:r>
    </w:p>
    <w:p>
      <w:pPr>
        <w:pStyle w:val="Body"/>
      </w:pPr>
      <w:r>
        <w:t>利润系统要成立，先要把成本引擎建立起来；定价系统要成立，先要把利润、评分、广告、库存、退款、竞品等变量纳入同一决策框架。你当前系统后续真正的壁垒，不在于订单模块做得多重，而在于能否形成“可解释利润 + 可执行定价 + 可追踪策略闭环”。这份设计稿的重点，就是为这一条主线提供可落地的第一版框架。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before="0" w:after="100" w:line="312" w:lineRule="auto"/>
    </w:pPr>
    <w:rPr>
      <w:rFonts w:ascii="Microsoft YaHei" w:hAnsi="Microsoft YaHei" w:eastAsia="Microsoft YaHei"/>
      <w:b w:val="0"/>
      <w:sz w:val="21"/>
    </w:rPr>
  </w:style>
  <w:style w:type="paragraph" w:customStyle="1" w:styleId="Small">
    <w:name w:val="Small"/>
    <w:basedOn w:val="Normal"/>
    <w:pPr>
      <w:spacing w:before="0" w:after="80" w:line="288" w:lineRule="auto"/>
    </w:pPr>
    <w:rPr>
      <w:rFonts w:ascii="Microsoft YaHei" w:hAnsi="Microsoft YaHei" w:eastAsia="Microsoft YaHei"/>
      <w:b w:val="0"/>
      <w:color w:val="5A5A5A"/>
      <w:sz w:val="18"/>
    </w:rPr>
  </w:style>
  <w:style w:type="paragraph" w:customStyle="1" w:styleId="TitleStyle">
    <w:name w:val="TitleStyle"/>
    <w:basedOn w:val="Normal"/>
    <w:pPr>
      <w:spacing w:before="0" w:after="200" w:line="240" w:lineRule="auto"/>
    </w:pPr>
    <w:rPr>
      <w:rFonts w:ascii="Microsoft YaHei" w:hAnsi="Microsoft YaHei" w:eastAsia="Microsoft YaHei"/>
      <w:b/>
      <w:color w:val="1F4E79"/>
      <w:sz w:val="40"/>
    </w:rPr>
  </w:style>
  <w:style w:type="paragraph" w:customStyle="1" w:styleId="SubTitleStyle">
    <w:name w:val="SubTitleStyle"/>
    <w:basedOn w:val="Normal"/>
    <w:pPr>
      <w:spacing w:before="0" w:after="280" w:line="240" w:lineRule="auto"/>
    </w:pPr>
    <w:rPr>
      <w:rFonts w:ascii="Microsoft YaHei" w:hAnsi="Microsoft YaHei" w:eastAsia="Microsoft YaHei"/>
      <w:b w:val="0"/>
      <w:color w:val="5A5A5A"/>
      <w:sz w:val="23"/>
    </w:rPr>
  </w:style>
  <w:style w:type="paragraph" w:customStyle="1" w:styleId="H1">
    <w:name w:val="H1"/>
    <w:basedOn w:val="Normal"/>
    <w:pPr>
      <w:spacing w:before="240" w:after="160" w:line="252" w:lineRule="auto"/>
    </w:pPr>
    <w:rPr>
      <w:rFonts w:ascii="Microsoft YaHei" w:hAnsi="Microsoft YaHei" w:eastAsia="Microsoft YaHei"/>
      <w:b/>
      <w:color w:val="1F4E79"/>
      <w:sz w:val="30"/>
    </w:rPr>
  </w:style>
  <w:style w:type="paragraph" w:customStyle="1" w:styleId="H2">
    <w:name w:val="H2"/>
    <w:basedOn w:val="Normal"/>
    <w:pPr>
      <w:spacing w:before="200" w:after="120" w:line="252" w:lineRule="auto"/>
    </w:pPr>
    <w:rPr>
      <w:rFonts w:ascii="Microsoft YaHei" w:hAnsi="Microsoft YaHei" w:eastAsia="Microsoft YaHei"/>
      <w:b/>
      <w:color w:val="2F5496"/>
      <w:sz w:val="25"/>
    </w:rPr>
  </w:style>
  <w:style w:type="paragraph" w:customStyle="1" w:styleId="Callout">
    <w:name w:val="Callout"/>
    <w:basedOn w:val="Normal"/>
    <w:pPr>
      <w:spacing w:before="120" w:after="120" w:line="288" w:lineRule="auto"/>
    </w:pPr>
    <w:rPr>
      <w:rFonts w:ascii="Microsoft YaHei" w:hAnsi="Microsoft YaHei" w:eastAsia="Microsoft YaHei"/>
      <w:b w:val="0"/>
      <w:color w:val="1F4E79"/>
      <w:sz w:val="20"/>
    </w:rPr>
  </w:style>
  <w:style w:type="paragraph" w:customStyle="1" w:styleId="Bul">
    <w:name w:val="Bul"/>
    <w:basedOn w:val="Normal"/>
    <w:pPr>
      <w:spacing w:before="0" w:after="40" w:line="288" w:lineRule="auto"/>
    </w:pPr>
    <w:rPr>
      <w:rFonts w:ascii="Microsoft YaHei" w:hAnsi="Microsoft YaHei" w:eastAsia="Microsoft YaHei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