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利润引擎与整体系统阶段衔接</w:t>
      </w:r>
    </w:p>
    <w:p>
      <w:pPr>
        <w:jc w:val="center"/>
      </w:pPr>
      <w:r>
        <w:rPr>
          <w:i/>
          <w:color w:val="5A5A5A"/>
          <w:sz w:val="21"/>
        </w:rPr>
        <w:t>面向跨境电商智能运营系统的阶段集成说明稿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254061"/>
                <w:sz w:val="21"/>
              </w:rPr>
              <w:t>核心判断：利润引擎与整体设计不冲突，但不能在当前阶段全量开做。</w:t>
            </w:r>
          </w:p>
        </w:tc>
        <w:tc>
          <w:tcPr>
            <w:tcW w:type="dxa" w:w="4535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254061"/>
                <w:sz w:val="21"/>
              </w:rPr>
              <w:t>执行原则：现在先纳入总架构与数据模型，待导入可信性与统一事实层稳定后分阶段落地。</w:t>
            </w:r>
          </w:p>
        </w:tc>
      </w:tr>
    </w:tbl>
    <w:p/>
    <w:p>
      <w:pPr>
        <w:pStyle w:val="Heading1"/>
      </w:pPr>
      <w:r>
        <w:rPr>
          <w:b/>
          <w:color w:val="1F4E79"/>
          <w:sz w:val="30"/>
        </w:rPr>
        <w:t>一、文档目的</w:t>
      </w:r>
    </w:p>
    <w:p>
      <w:pPr>
        <w:spacing w:after="80" w:line="324" w:lineRule="auto"/>
      </w:pPr>
      <w:r>
        <w:rPr>
          <w:sz w:val="21"/>
        </w:rPr>
        <w:t>本稿用于把“利润引擎与定价策略设计”放回整个运营系统里，明确它与现有导入主线、统一数据模型、评分模块、策略模块、API 推送闭环之间的关系，避免后续开发出现方向冲突或阶段错位。</w:t>
      </w:r>
    </w:p>
    <w:p>
      <w:pPr>
        <w:spacing w:after="80" w:line="324" w:lineRule="auto"/>
      </w:pPr>
      <w:r>
        <w:rPr>
          <w:sz w:val="21"/>
        </w:rPr>
        <w:t>这份文件不是单独谈利润算法，而是回答三个具体问题：第一，利润引擎与整体系统是否冲突；第二，现阶段是否应该立即深做；第三，什么时候把此前的利润与定价设计正式接入主开发计划。</w:t>
      </w:r>
    </w:p>
    <w:p>
      <w:pPr>
        <w:pStyle w:val="Heading1"/>
      </w:pPr>
      <w:r>
        <w:rPr>
          <w:b/>
          <w:color w:val="1F4E79"/>
          <w:sz w:val="30"/>
        </w:rPr>
        <w:t>二、先给结论</w:t>
      </w:r>
    </w:p>
    <w:p>
      <w:pPr>
        <w:spacing w:after="80" w:line="324" w:lineRule="auto"/>
      </w:pPr>
      <w:r>
        <w:rPr>
          <w:sz w:val="21"/>
        </w:rPr>
        <w:t>1）方向上不冲突。利润引擎本来就属于系统中层经营引擎，是“可信导入—统一事实—经营分析—策略执行”链路中的核心一环。</w:t>
      </w:r>
    </w:p>
    <w:p>
      <w:pPr>
        <w:spacing w:after="80" w:line="324" w:lineRule="auto"/>
      </w:pPr>
      <w:r>
        <w:rPr>
          <w:sz w:val="21"/>
        </w:rPr>
        <w:t>2）节奏上有冲突风险。若在导入可信性、事实层和 API 接入规范尚未稳定之前，直接深做多算法利润、动态定价和自动改价，就会把当前项目拉散。</w:t>
      </w:r>
    </w:p>
    <w:p>
      <w:pPr>
        <w:spacing w:after="80" w:line="324" w:lineRule="auto"/>
      </w:pPr>
      <w:r>
        <w:rPr>
          <w:sz w:val="21"/>
        </w:rPr>
        <w:t>3）正确做法是“现在设计接入、后续分阶段实现”。也就是当前先完成字段预留、成本字典、利润口径和依赖关系设计；等导入和事实层稳定后，再做利润引擎 V1、定价建议 V1，最后才进入自动执行。</w:t>
      </w:r>
    </w:p>
    <w:p>
      <w:pPr>
        <w:pStyle w:val="Heading1"/>
      </w:pPr>
      <w:r>
        <w:rPr>
          <w:b/>
          <w:color w:val="1F4E79"/>
          <w:sz w:val="30"/>
        </w:rPr>
        <w:t>三、利润引擎在整体系统中的准确位置</w:t>
      </w:r>
    </w:p>
    <w:p>
      <w:pPr>
        <w:spacing w:after="80" w:line="324" w:lineRule="auto"/>
      </w:pPr>
      <w:r>
        <w:rPr>
          <w:sz w:val="21"/>
        </w:rPr>
        <w:t>整个系统更合理的分层如下。利润引擎不是单独的支线，而是第四层“经营引擎层”的核心模块。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0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09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3515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主要职责</w:t>
            </w:r>
          </w:p>
        </w:tc>
        <w:tc>
          <w:tcPr>
            <w:tcW w:type="dxa" w:w="2665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与利润引擎关系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L1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数据接入层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文件导入、平台 API、广告 API、评价 API、ERP / OMS 数据接入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提供原始成本、订单、价格、评分、广告等来源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L2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原始与校验层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raw / staging / semantic / importability / audit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保证利润计算依赖的数据先可信、可追踪、可重放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L3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统一事实层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订单、订单行、退款、广告、库存、价格、评分、费用等事实表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为利润核算提供统一对象与统一口径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L4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经营引擎层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成本引擎、利润引擎、定价引擎、评分影响模型、风险模型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利润引擎所处核心层级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L5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策略层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潜力产品、无效产品、可优化产品、调价/停投/补货/下架建议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直接消费利润引擎输出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L6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执行闭环层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人工确认、API 推送后台、结果回写、审计、补偿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后续把利润与价格建议转成可执行动作</w:t>
            </w:r>
          </w:p>
        </w:tc>
      </w:tr>
    </w:tbl>
    <w:p/>
    <w:p>
      <w:pPr>
        <w:spacing w:after="80" w:line="324" w:lineRule="auto"/>
      </w:pPr>
      <w:r>
        <w:rPr>
          <w:sz w:val="21"/>
        </w:rPr>
        <w:t>因此，利润引擎与整体设计的关系不是“另起一套”，而是“承上启下”：上承统一事实层，下接策略层与执行层。</w:t>
      </w:r>
    </w:p>
    <w:p>
      <w:pPr>
        <w:pStyle w:val="Heading1"/>
      </w:pPr>
      <w:r>
        <w:rPr>
          <w:b/>
          <w:color w:val="1F4E79"/>
          <w:sz w:val="30"/>
        </w:rPr>
        <w:t>四、为什么现在必须纳入设计，但不能立刻全量开发</w:t>
      </w:r>
    </w:p>
    <w:p>
      <w:pPr>
        <w:pStyle w:val="Heading2"/>
      </w:pPr>
      <w:r>
        <w:rPr>
          <w:b/>
          <w:color w:val="254061"/>
          <w:sz w:val="25"/>
        </w:rPr>
        <w:t>4.1 必须现在纳入设计的原因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如果现在不把成本字典、利润口径和定价所需因素写进总架构，后面订单事实表、商品主数据表、费用表、广告表、评分表、策略表都会返工。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评分模块、策略模块、API 动作模型都要消费利润字段。若利润相关结构不提前预留，后续接入会出现字段缺失和口径分裂。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当前两份阶段报告已经把“利润算法不能写死”“系统不能止步于展示”写成正式边界，因此利润引擎必须进入总体规划，而不是留在口头层面。</w:t>
      </w:r>
    </w:p>
    <w:p>
      <w:pPr>
        <w:pStyle w:val="Heading2"/>
      </w:pPr>
      <w:r>
        <w:rPr>
          <w:b/>
          <w:color w:val="254061"/>
          <w:sz w:val="25"/>
        </w:rPr>
        <w:t>4.2 不能现在全量开发的原因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导入主线仍在收口阶段，尤其是 importability 与真实可提交性表达还需要完全稳定。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统一事实层尚未完全定型，成本来源、费用归因、广告归因、评分联动还没有全部进入标准模型。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成本并非全靠 API 自动获取，现阶段若直接做复杂利润算法，容易出现“算法很复杂，但输入数据不可靠”的失真结果。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定价策略若过早自动化，会把项目从“先形成可决策利润”拖向“提前追求自动改价”，节奏失衡。</w:t>
      </w:r>
    </w:p>
    <w:p>
      <w:pPr>
        <w:pStyle w:val="Heading1"/>
      </w:pPr>
      <w:r>
        <w:rPr>
          <w:b/>
          <w:color w:val="1F4E79"/>
          <w:sz w:val="30"/>
        </w:rPr>
        <w:t>五、阶段衔接总图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85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30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系统主目标</w:t>
            </w:r>
          </w:p>
        </w:tc>
        <w:tc>
          <w:tcPr>
            <w:tcW w:type="dxa" w:w="187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利润/定价在该阶段的任务</w:t>
            </w:r>
          </w:p>
        </w:tc>
        <w:tc>
          <w:tcPr>
            <w:tcW w:type="dxa" w:w="209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此阶段先不做什么</w:t>
            </w:r>
          </w:p>
        </w:tc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进入下一阶段的门槛</w:t>
            </w:r>
          </w:p>
        </w:tc>
        <w:tc>
          <w:tcPr>
            <w:tcW w:type="dxa" w:w="158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产出物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P0 现在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导入可信性与总架构定稿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把成本字典、利润口径、字段来源、动作消费关系写入总设计；在数据表和接口层预留结构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不做完整利润算法、不做自动调价、不做复杂归因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导入状态定义稳定，DataImportV2 与后端返回口径收敛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总架构说明、成本字典草案、字段预留清单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P1 导入收口后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形成统一成本来源与利润 V1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建立 SKU 成本卡、平台费规则、履约费规则、广告成本接入；输出基础贡献利润与广告后利润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不做高级风险准备、不做复杂弹性模型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订单/商品/费用/广告事实表基本可用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利润引擎 V1、成本维护机制、利润看板字段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P2 事实层稳定后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形成定价建议 V1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建立底价 floor price、目标价 target price、市场上限价 ceiling price；纳入竞品、评分、广告依赖、库存压力修正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不做全自动改价、不做多平台大规模执行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价格、评分、广告、库存联动数据可稳定获取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定价建议模型 V1、建议动作清单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P3 联动分析后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形成经营级利润模型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在利润中纳入退款/售后准备、评分拖累、生命周期、库存与汇率风险；支持产品分层策略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不做过细财务结账分摊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评分、退款、库存、广告模块形成联动分析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风险调整后利润、产品分层规则、策略优先级</w:t>
            </w:r>
          </w:p>
        </w:tc>
      </w:tr>
      <w:tr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P4 策略闭环后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进入执行与复盘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支持调价建议确认、API 推送、结果回写、失败补偿、调价复盘与实验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不追求无人值守全自动策略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动作模型、审计日志、回写链路成熟</w:t>
            </w:r>
          </w:p>
        </w:tc>
        <w:tc>
          <w:tcPr>
            <w:tcW w:type="dxa" w:w="166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19"/>
              </w:rPr>
              <w:t>执行闭环、效果追踪、策略 ROI 评估</w:t>
            </w:r>
          </w:p>
        </w:tc>
      </w:tr>
    </w:tbl>
    <w:p/>
    <w:p>
      <w:pPr>
        <w:pStyle w:val="Heading1"/>
      </w:pPr>
      <w:r>
        <w:rPr>
          <w:b/>
          <w:color w:val="1F4E79"/>
          <w:sz w:val="30"/>
        </w:rPr>
        <w:t>六、当前阶段（P0）必须立刻接入总体设计的内容</w:t>
      </w:r>
    </w:p>
    <w:p>
      <w:pPr>
        <w:spacing w:after="80" w:line="324" w:lineRule="auto"/>
      </w:pPr>
      <w:r>
        <w:rPr>
          <w:sz w:val="21"/>
        </w:rPr>
        <w:t>这一部分是“现在就要做”的，不是以后再想。重点不是把功能全部做完，而是把后续会用到的骨架先固定住。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必须立刻纳入的对象</w:t>
            </w:r>
          </w:p>
        </w:tc>
        <w:tc>
          <w:tcPr>
            <w:tcW w:type="dxa" w:w="408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当前应完成的动作</w:t>
            </w:r>
          </w:p>
        </w:tc>
        <w:tc>
          <w:tcPr>
            <w:tcW w:type="dxa" w:w="2835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商品主数据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预留默认采购价、包装成本、头程、落地成本、生效时间、国家/仓库/批次差异能力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后续利润引擎所有成本计算都要挂在商品主数据上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订单事实层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预留平台佣金、支付费、物流费、广告成本、退款损失等费用挂接位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否则利润只能停留在伪毛利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评分模块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预留评分对转化、广告效率、价格空间和风险准备的影响字段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评分未来必须进入利润与定价判断，而非孤立页面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策略模块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预留当前利润口径、建议价格区间、风险等级、预估影响字段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后续调价/停投/下架等策略都要消费这些输出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接口与动作模型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明确价格建议是“建议动作”还是“可执行动作”，先定义动作结构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避免后面策略层和执行层模型打架</w:t>
            </w:r>
          </w:p>
        </w:tc>
      </w:tr>
    </w:tbl>
    <w:p>
      <w:pPr>
        <w:pStyle w:val="Heading1"/>
      </w:pPr>
      <w:r>
        <w:rPr>
          <w:b/>
          <w:color w:val="1F4E79"/>
          <w:sz w:val="30"/>
        </w:rPr>
        <w:t>七、利润引擎接入顺序：从“可决策利润”开始，而不是从“绝对精确利润”开始</w:t>
      </w:r>
    </w:p>
    <w:p>
      <w:pPr>
        <w:spacing w:after="80" w:line="324" w:lineRule="auto"/>
      </w:pPr>
      <w:r>
        <w:rPr>
          <w:sz w:val="21"/>
        </w:rPr>
        <w:t>对当前项目而言，先形成可用于运营判断的利润，比追求财务级的绝对精确更重要。阶段上建议按“三层利润口径”推进。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利润口径</w:t>
            </w:r>
          </w:p>
        </w:tc>
        <w:tc>
          <w:tcPr>
            <w:tcW w:type="dxa" w:w="277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主要公式范围</w:t>
            </w:r>
          </w:p>
        </w:tc>
        <w:tc>
          <w:tcPr>
            <w:tcW w:type="dxa" w:w="277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适合在哪个阶段上线</w:t>
            </w:r>
          </w:p>
        </w:tc>
        <w:tc>
          <w:tcPr>
            <w:tcW w:type="dxa" w:w="209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主要用途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基础贡献利润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销售额 - 商品落地成本 - 平台交易费用 - 履约成本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P1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先判断商品本身值不值得卖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广告后利润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基础贡献利润 - 广告成本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P1 ~ P2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判断商品值不值得继续投放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风险调整后利润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广告后利润 - 退款/售后准备 - 评分/质量/库存/汇率风险准备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P3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支持经营级策略与产品分层</w:t>
            </w:r>
          </w:p>
        </w:tc>
      </w:tr>
    </w:tbl>
    <w:p>
      <w:pPr>
        <w:spacing w:after="80" w:line="324" w:lineRule="auto"/>
      </w:pPr>
      <w:r>
        <w:rPr>
          <w:sz w:val="21"/>
        </w:rPr>
        <w:t>这意味着：现阶段不要急着把所有成本一次算全，而要先确保最关键的成本项可以被稳定获取、统一映射、持续修正。</w:t>
      </w:r>
    </w:p>
    <w:p>
      <w:pPr>
        <w:pStyle w:val="Heading1"/>
      </w:pPr>
      <w:r>
        <w:rPr>
          <w:b/>
          <w:color w:val="1F4E79"/>
          <w:sz w:val="30"/>
        </w:rPr>
        <w:t>八、定价策略何时接入，以及先接入到什么深度</w:t>
      </w:r>
    </w:p>
    <w:p>
      <w:pPr>
        <w:spacing w:after="80" w:line="324" w:lineRule="auto"/>
      </w:pPr>
      <w:r>
        <w:rPr>
          <w:sz w:val="21"/>
        </w:rPr>
        <w:t>定价策略不是越早做越好。它必须建立在利润引擎 V1 已经可信、价格事实层与评分/广告/库存联动已经具备的前提上。更合理的接入顺序如下。</w:t>
      </w:r>
    </w:p>
    <w:p>
      <w:pPr>
        <w:pStyle w:val="ListNumber"/>
        <w:spacing w:after="40" w:line="300" w:lineRule="auto"/>
      </w:pPr>
      <w:r>
        <w:rPr>
          <w:sz w:val="21"/>
        </w:rPr>
        <w:t>P0 只定义定价决策因素清单：成本底线、竞品价格、评分水平、广告依赖、库存压力、生命周期、转化弹性。</w:t>
      </w:r>
    </w:p>
    <w:p>
      <w:pPr>
        <w:pStyle w:val="ListNumber"/>
        <w:spacing w:after="40" w:line="300" w:lineRule="auto"/>
      </w:pPr>
      <w:r>
        <w:rPr>
          <w:sz w:val="21"/>
        </w:rPr>
        <w:t>P1 不做调价逻辑，只预留底价 floor price、目标价 target price、市场上限价 ceiling price 的字段与接口。</w:t>
      </w:r>
    </w:p>
    <w:p>
      <w:pPr>
        <w:pStyle w:val="ListNumber"/>
        <w:spacing w:after="40" w:line="300" w:lineRule="auto"/>
      </w:pPr>
      <w:r>
        <w:rPr>
          <w:sz w:val="21"/>
        </w:rPr>
        <w:t>P2 上线“定价建议 V1”，输出建议价格区间与原因解释，但不自动推送。</w:t>
      </w:r>
    </w:p>
    <w:p>
      <w:pPr>
        <w:pStyle w:val="ListNumber"/>
        <w:spacing w:after="40" w:line="300" w:lineRule="auto"/>
      </w:pPr>
      <w:r>
        <w:rPr>
          <w:sz w:val="21"/>
        </w:rPr>
        <w:t>P3 在评分、退款、库存、广告联动稳定后，才纳入更完整的定价修正。</w:t>
      </w:r>
    </w:p>
    <w:p>
      <w:pPr>
        <w:pStyle w:val="ListNumber"/>
        <w:spacing w:after="40" w:line="300" w:lineRule="auto"/>
      </w:pPr>
      <w:r>
        <w:rPr>
          <w:sz w:val="21"/>
        </w:rPr>
        <w:t>P4 策略闭环成熟后，才把调价动作接入人工确认、API 推送和效果复盘。</w:t>
      </w:r>
    </w:p>
    <w:p>
      <w:pPr>
        <w:pStyle w:val="Heading1"/>
      </w:pPr>
      <w:r>
        <w:rPr>
          <w:b/>
          <w:color w:val="1F4E79"/>
          <w:sz w:val="30"/>
        </w:rPr>
        <w:t>九、哪些内容现在不要做得太深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不要现在就追求“全自动成本”。现实里成本一定是 API 自动获取、规则估算、人工维护、阶段性导入并存。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不要现在就做复杂动态调价。当前最关键的是利润口径可信，而不是先把价格自动改起来。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不要现在就做过细的财务结账分摊。运营系统第一阶段更需要“可决策利润”，而不是完全财务化利润。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不要为了利润引擎打断当前导入主线。导入可信性仍然是整系统可信性的入口。</w:t>
      </w:r>
    </w:p>
    <w:p>
      <w:pPr>
        <w:pStyle w:val="Heading1"/>
      </w:pPr>
      <w:r>
        <w:rPr>
          <w:b/>
          <w:color w:val="1F4E79"/>
          <w:sz w:val="30"/>
        </w:rPr>
        <w:t>十、阶段切换的触发条件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从哪一阶段切到下一阶段</w:t>
            </w:r>
          </w:p>
        </w:tc>
        <w:tc>
          <w:tcPr>
            <w:tcW w:type="dxa" w:w="311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195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切换后的首要任务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P0 → P1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导入状态口径稳定；软门禁、审计、可提交性表达基本收口；订单/商品/费用的事实层设计明确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开始建设 SKU 成本卡、费用规则与利润引擎 V1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P1 → P2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基础贡献利润与广告后利润可稳定产出；广告与费用能够按 SKU / 商品线聚合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上线定价建议 V1，建立价格区间和建议原因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P2 → P3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评分、退款、库存、广告模块具备联动分析能力；产品分层逻辑可以消费利润字段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上线风险调整后利润与经营级产品分层</w:t>
            </w:r>
          </w:p>
        </w:tc>
      </w:tr>
      <w:tr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P3 → P4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动作模型、人工确认、API 推送、回写审计链路成熟；价格建议已具备解释性</w:t>
            </w:r>
          </w:p>
        </w:tc>
        <w:tc>
          <w:tcPr>
            <w:tcW w:type="dxa" w:w="3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sz w:val="21"/>
              </w:rPr>
              <w:t>把调价、停投、补货等策略正式接入执行闭环</w:t>
            </w:r>
          </w:p>
        </w:tc>
      </w:tr>
    </w:tbl>
    <w:p>
      <w:pPr>
        <w:pStyle w:val="Heading1"/>
      </w:pPr>
      <w:r>
        <w:rPr>
          <w:b/>
          <w:color w:val="1F4E79"/>
          <w:sz w:val="30"/>
        </w:rPr>
        <w:t>十一、与此前两份阶段报告的衔接方式</w:t>
      </w:r>
    </w:p>
    <w:p>
      <w:pPr>
        <w:spacing w:after="80" w:line="324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为了不偏离现有主线，这份设计必须服从两份阶段报告已经明确下来的边界：当前首先收口的是导入模块可信性，其后才是利润与策略闭环。因此，利润引擎不是替代导入主线，而是在导入主线稳定后自然接入的下一段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对《导入模块与整系统阶段性交接分析报告》的衔接：保留“导入约 88%、整系统约 75%”这一工程判断，不让利润设计提前吞掉导入收口资源。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对《导入模块_新窗口接替总报告》的衔接：继续坚持“导入可信 → 指标可信 → 策略可信 → 人工确认 → API 推送后台 → 回写审计”的总主线。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对评分与口碑模块的衔接：评分不是后补页面，而是 P2 之后利润修正与定价修正的重要输入。</w:t>
      </w:r>
    </w:p>
    <w:p>
      <w:pPr>
        <w:pStyle w:val="ListBullet"/>
        <w:spacing w:after="40" w:line="300" w:lineRule="auto"/>
        <w:ind w:left="340"/>
      </w:pPr>
      <w:r>
        <w:rPr>
          <w:sz w:val="21"/>
        </w:rPr>
        <w:t>对未来策略模块的衔接：利润输出应直接服务于潜力产品、无效/有害产品、可优化产品识别和动作排序。</w:t>
      </w:r>
    </w:p>
    <w:p>
      <w:pPr>
        <w:pStyle w:val="Heading1"/>
      </w:pPr>
      <w:r>
        <w:rPr>
          <w:b/>
          <w:color w:val="1F4E79"/>
          <w:sz w:val="30"/>
        </w:rPr>
        <w:t>十二、建议的实际执行顺序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1. 先把利润引擎与定价策略正式写入系统总体架构图和实体清单。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2. 立刻建立成本字典：区分自动获取、规则估算、人工维护、后续增强。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3. 在商品主数据、订单事实表、费用表、广告表、评分表中预留利润所需字段。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4. 待导入可信性收口后，优先做利润引擎 V1，只算基础贡献利润与广告后利润。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5. 待统一事实层稳定后，再上定价建议 V1，只给建议、不自动执行。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6. 待评分/广告/库存/退款联动后，再做风险调整后利润。</w:t>
      </w:r>
    </w:p>
    <w:p>
      <w:pPr>
        <w:spacing w:after="40" w:line="300" w:lineRule="auto"/>
      </w:pPr>
      <w:r>
        <w:rPr>
          <w:sz w:val="21"/>
        </w:rPr>
      </w:r>
      <w:r>
        <w:rPr>
          <w:rFonts w:ascii="Arial" w:hAnsi="Arial" w:eastAsia="Microsoft YaHei"/>
          <w:sz w:val="21"/>
        </w:rPr>
        <w:t>7. 最后在策略闭环成熟后，才接入调价 API 推送与结果复盘。</w:t>
      </w:r>
    </w:p>
    <w:p>
      <w:pPr>
        <w:pStyle w:val="Heading1"/>
      </w:pPr>
      <w:r>
        <w:rPr>
          <w:b/>
          <w:color w:val="1F4E79"/>
          <w:sz w:val="30"/>
        </w:rPr>
        <w:t>十三、最终判断</w:t>
      </w:r>
    </w:p>
    <w:p>
      <w:pPr>
        <w:spacing w:after="80" w:line="324" w:lineRule="auto"/>
      </w:pPr>
      <w:r>
        <w:rPr>
          <w:sz w:val="21"/>
        </w:rPr>
        <w:t>利润引擎与整体系统设计不冲突；它本来就是运营系统中层经营引擎的一部分。真正要防的不是方向冲突，而是阶段错位。</w:t>
      </w:r>
    </w:p>
    <w:p>
      <w:pPr>
        <w:spacing w:after="80" w:line="324" w:lineRule="auto"/>
      </w:pPr>
      <w:r>
        <w:rPr>
          <w:sz w:val="21"/>
        </w:rPr>
        <w:t>因此，当前阶段的最优方案不是“马上把利润引擎做完整”，而是“马上把利润引擎纳入总设计与数据模型，待导入和事实层稳定后分阶段上线”。</w:t>
      </w:r>
    </w:p>
    <w:p>
      <w:pPr>
        <w:spacing w:after="80" w:line="324" w:lineRule="auto"/>
      </w:pPr>
      <w:r>
        <w:rPr>
          <w:sz w:val="21"/>
        </w:rPr>
        <w:t>用一句话总结：现在先做结构预埋与设计接入，下一阶段做利润引擎 V1，再下一阶段做定价建议 V1，最后进入经营级联动与执行闭环。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