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000000"/>
          <w:sz w:val="38"/>
        </w:rPr>
        <w:t>八电极 Body270 指标等级判定表</w:t>
      </w:r>
    </w:p>
    <w:p>
      <w:pPr>
        <w:jc w:val="center"/>
      </w:pPr>
      <w:r>
        <w:rPr>
          <w:color w:val="595959"/>
          <w:sz w:val="19"/>
        </w:rPr>
        <w:t>用于生成 AI 综合评估中的关键依据标签与说明文案</w:t>
      </w:r>
    </w:p>
    <w:p>
      <w:r>
        <w:rPr>
          <w:b/>
        </w:rPr>
        <w:t>说明：</w:t>
      </w:r>
      <w:r>
        <w:t>标准 Min/Max、身体类型、节段标准和控制量来自 BMH05108 八电极 Body270 算法输出。轻度、偏高、明显等严重程度属于业务展示规则，不代表协议官方等级。</w:t>
      </w:r>
    </w:p>
    <w:p>
      <w:pPr>
        <w:spacing w:before="140" w:after="60"/>
      </w:pPr>
      <w:r>
        <w:rPr>
          <w:b/>
          <w:color w:val="1F4E79"/>
          <w:sz w:val="25"/>
        </w:rPr>
        <w:t>一、单指标判定表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判定状态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判断条件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偏离率/分位数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展示标签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是否进入关键依据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数据无效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ERROR_TYPE != 0x00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数据异常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达标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 ≤ value ≤ Max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达标项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轻度偏高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 &gt; Max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0%～5%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轻度偏高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偏高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 &gt; Max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5%～20%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偏高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明显偏高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 &gt; Max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&gt;20%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明显偏高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轻度偏低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 &lt; Min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0%～5%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轻度偏低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偏低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 &lt; Min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5%～20%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偏低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明显偏低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 &lt; Min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&gt;20%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明显偏低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接近下限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在区间内，分位数 ≤20%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边界观察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接近上限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在区间内，分位数 ≥80%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边界观察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有利偏低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低于下限且低值有利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有利方向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否，不作为异常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无标准区间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缺少 Min 或 Max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暂不判定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b/>
          <w:color w:val="1F4E79"/>
          <w:sz w:val="25"/>
        </w:rPr>
        <w:t>二、指标分组判定表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问题类别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主要指标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关键依据文案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脂肪超标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体脂率、皮下脂肪率、体脂量、节段脂肪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体脂率或皮下脂肪率偏高；或节段脂肪至少 2 项为超标准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脂肪超标：体脂率……；皮下脂肪率……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肌肉不足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肌肉量、骨骼肌量、骨量、身体细胞量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肌肉量或骨骼肌量偏低；或核心肌肉指标至少 2 项偏低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肌肉不足：肌肉量……；骨骼肌量……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伴随偏低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水分量、蛋白质量、细胞内水量、细胞外水量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已判定肌肉不足，且伴随指标至少 2 项偏低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归入肌肉不足的伴随表现，不单独干预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正常体重肥胖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体重、BMI、体脂率、肌肉量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体重和 BMI 达标，同时体脂率偏高、肌肉量偏低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属于正常体重肥胖倾向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基础代谢偏低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基础代谢、肌肉量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基础代谢接近下限或偏低，且肌肉量偏低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基础代谢接近下限，可能与肌肉量不足相关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节段失衡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节段脂肪、节段肌肉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任一节段异常；至少 2 个节段异常时升级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存在局部脂肪/肌肉分布不均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达标项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BMI、内脏脂肪等级、肥胖度等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位于标准区间内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均在标准区间内，无需单独干预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有利方向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腰臀比等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低于下限，但低值为有利方向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低于标准下限，但属于有利方向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b/>
          <w:color w:val="1F4E79"/>
          <w:sz w:val="25"/>
        </w:rPr>
        <w:t>三、节段标准判定表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协议值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展示状态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建议处理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低标准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计入节段异常数量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达标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不计入异常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超标准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偏高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计入节段异常数量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 项异常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节段分布正常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无需单独说明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项异常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局部边界或轻度异常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局部观察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可作为补充依据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项异常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节段分布失衡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分布失衡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进入关键依据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≥3 项异常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明显节段失衡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明显失衡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作为重点问题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b/>
          <w:color w:val="1F4E79"/>
          <w:sz w:val="25"/>
        </w:rPr>
        <w:t>四、关键依据生成优先级表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是否可覆盖低优先级结果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停止健康等级判定，仅提示测量异常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明显偏高/明显偏低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作为主要问题展示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偏高/偏低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作为主要问题展示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组合问题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生成“脂肪超标”“肌肉不足”等标签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伴随偏低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合并到主要问题，不单独干预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边界观察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作为补充说明，不升级为异常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达标项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汇总展示代表性指标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  <w:tr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有利方向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单独说明，不列为异常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B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spacing w:before="100"/>
      </w:pPr>
      <w:r>
        <w:rPr>
          <w:b/>
          <w:color w:val="1F4E79"/>
          <w:sz w:val="25"/>
        </w:rPr>
        <w:t>计算公式</w:t>
      </w:r>
    </w:p>
    <w:p>
      <w:pPr>
        <w:pStyle w:val="ListBullet"/>
        <w:spacing w:after="20"/>
      </w:pPr>
      <w:r>
        <w:t>高于上限的偏离率 = (value - standard_max) / standard_max × 100%</w:t>
      </w:r>
    </w:p>
    <w:p>
      <w:pPr>
        <w:pStyle w:val="ListBullet"/>
        <w:spacing w:after="20"/>
      </w:pPr>
      <w:r>
        <w:t>低于下限的偏离率 = (standard_min - value) / standard_min × 100%</w:t>
      </w:r>
    </w:p>
    <w:p>
      <w:pPr>
        <w:pStyle w:val="ListBullet"/>
        <w:spacing w:after="20"/>
      </w:pPr>
      <w:r>
        <w:t>区间分位数 = (value - standard_min) / (standard_max - standard_min) × 100%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