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4.png" ContentType="image/png"/>
  <Override PartName="/word/media/rId29.png" ContentType="image/png"/>
  <Override PartName="/word/media/rId36.png" ContentType="image/png"/>
  <Override PartName="/word/media/rId38.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from</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24</w:t>
      </w:r>
      <w:r>
        <w:t xml:space="preserve"> </w:t>
      </w:r>
      <w:r>
        <w:t xml:space="preserve">August,</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about</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computational</w:t>
      </w:r>
      <w:r>
        <w:t xml:space="preserve"> </w:t>
      </w:r>
      <w:r>
        <w:t xml:space="preserve">difficulties</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among</w:t>
      </w:r>
      <w:r>
        <w:t xml:space="preserve"> </w:t>
      </w:r>
      <w:r>
        <w:t xml:space="preserve">the</w:t>
      </w:r>
      <w:r>
        <w:t xml:space="preserve"> </w:t>
      </w:r>
      <w:r>
        <w:t xml:space="preserve">burials</w:t>
      </w:r>
      <w:r>
        <w:t xml:space="preserve"> </w:t>
      </w:r>
      <w:r>
        <w:t xml:space="preserve">from</w:t>
      </w:r>
      <w:r>
        <w:t xml:space="preserve"> </w:t>
      </w:r>
      <w:r>
        <w:t xml:space="preserve">network</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the</w:t>
      </w:r>
      <w:r>
        <w:t xml:space="preserve"> </w:t>
      </w:r>
      <w:r>
        <w:t xml:space="preserve">European</w:t>
      </w:r>
      <w:r>
        <w:t xml:space="preserve"> </w:t>
      </w:r>
      <w:r>
        <w:t xml:space="preserve">presence</w:t>
      </w:r>
      <w:r>
        <w:t xml:space="preserve"> </w:t>
      </w:r>
      <w:r>
        <w:t xml:space="preserve">was</w:t>
      </w:r>
      <w:r>
        <w:t xml:space="preserve"> </w:t>
      </w:r>
      <w:r>
        <w:t xml:space="preserve">established</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1"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relational data</w:t>
      </w:r>
      <w:r>
        <w:t xml:space="preserve"> </w:t>
      </w:r>
      <w:r>
        <w:t xml:space="preserve">(Brandes et al., 2013; Mills, 2017; Peeples, 2019)</w:t>
      </w:r>
      <w:r>
        <w:t xml:space="preserve">. Recent developments in modeling approaches enable hypothesis testing for the intercorrelations between individual elements and overall structures in networks</w:t>
      </w:r>
      <w:r>
        <w:t xml:space="preserve"> </w:t>
      </w:r>
      <w:r>
        <w:t xml:space="preserve">(Brughmans, 2013; Brughmans and Peeples, 2018; Freeman, 2004; Salvini, 2010)</w:t>
      </w:r>
      <w:r>
        <w:t xml:space="preserve">. By comparing hypothesized networks with the observed network, statistical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ERGMs are promising for evaluating the dynamic social processes behind observed archaeological networks</w:t>
      </w:r>
      <w:r>
        <w:t xml:space="preserve"> </w:t>
      </w:r>
      <w:r>
        <w:t xml:space="preserve">(Brughmans et al., 2014)</w:t>
      </w:r>
      <w:r>
        <w:t xml:space="preserve">. However, computational difficulties, sensitivities to uncertainties, and ambiguities in interpretation limit the practical applications of ERGMs</w:t>
      </w:r>
      <w:r>
        <w:t xml:space="preserve"> </w:t>
      </w:r>
      <w:r>
        <w:t xml:space="preserve">(Caimo and Friel, 2014)</w:t>
      </w:r>
      <w:r>
        <w:t xml:space="preserve">.</w:t>
      </w:r>
    </w:p>
    <w:p>
      <w:pPr>
        <w:pStyle w:val="BodyText"/>
      </w:pPr>
      <w:r>
        <w:t xml:space="preserve">In this paper, we go beyond ERGMs with a novel Bayesian approach that alleviates the computational issues and other limitations of ERGMs to enable clearer and more robust interpretations of the processes of network formation.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effects of colonialism, or involvement in long-distance trade, may also have impacted Indigenous societies, this is known as a pericolonial context</w:t>
      </w:r>
      <w:r>
        <w:t xml:space="preserve"> </w:t>
      </w:r>
      <w:r>
        <w:t xml:space="preserve">(Acabado, 2017; Trabert, 2017; Wang and Marwick, 2020a)</w:t>
      </w:r>
      <w:r>
        <w:t xml:space="preserve">. Burials are important for understanding past societies because material culture and biological records of burial behaviors can represent the social ranking of the deceased, and social relations between them</w:t>
      </w:r>
      <w:r>
        <w:t xml:space="preserve"> </w:t>
      </w:r>
      <w:r>
        <w:t xml:space="preserve">(Binford, 1971; Curet and Oliver, 1998;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Burial studies are usually based on characterizing each physical trace or burial variable, such as biological records, grave forms and goods, or ritual behaviors, and finally combining and comparing those individual observations to infer the organization of past societies</w:t>
      </w:r>
      <w:r>
        <w:t xml:space="preserve"> </w:t>
      </w:r>
      <w:r>
        <w:t xml:space="preserve">(Byrd and Monahan, 1995; Seikel, 2011)</w:t>
      </w:r>
      <w:r>
        <w:t xml:space="preserve">. Recent studies on burials using network analysis demonstrates it is a promising tool to test expectations derived from hypotheses</w:t>
      </w:r>
      <w:r>
        <w:t xml:space="preserve"> </w:t>
      </w:r>
      <w:r>
        <w:t xml:space="preserve">(Sosna et al., 2013)</w:t>
      </w:r>
      <w:r>
        <w:t xml:space="preserve">. Here we use network modeling to explore similarities and differences between burials by identifying underlying variable structuring burial relations.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social patterns represented in the data</w:t>
      </w:r>
      <w:r>
        <w:t xml:space="preserve"> </w:t>
      </w:r>
      <w:r>
        <w:t xml:space="preserve">(Brandes et al., 2013)</w:t>
      </w:r>
      <w:r>
        <w:t xml:space="preserve">. Our network indicates status similarity between individuals, where a tie means two individuals sharing a similar social status or a similar social environment that higher status individuals will be given similar burial goods</w:t>
      </w:r>
      <w:r>
        <w:t xml:space="preserve"> </w:t>
      </w:r>
      <w:r>
        <w:t xml:space="preserve">(eg. Collar et al., 2015, p. 4; eg. Sosna et al., 2013)</w:t>
      </w:r>
      <w:r>
        <w:t xml:space="preserve">. In this case, network ties do not indicate exchange or transmission but rather similarities. This is because burial goods, especially high value ones, are normally cultural symbols of personal wealth or social status from which we can infer social differentiation</w:t>
      </w:r>
      <w:r>
        <w:t xml:space="preserve"> </w:t>
      </w:r>
      <w:r>
        <w:t xml:space="preserve">(Gamble and Zepeda, 2002; Janes, 2013)</w:t>
      </w:r>
      <w:r>
        <w:t xml:space="preserve">. Our case study illustrates how a Bayesian approach to network modeling provides new insights into the formation of archaeological networks and allows testing of anthropological models to better understand dynamic social processes.</w:t>
      </w:r>
    </w:p>
    <w:bookmarkStart w:id="20" w:name="Xd05ff335146e2a59dac26bc4bef8280ae358f46"/>
    <w:p>
      <w:pPr>
        <w:pStyle w:val="Heading2"/>
      </w:pPr>
      <w:r>
        <w:t xml:space="preserve">Exponential random graph models in a Bayesian framework</w:t>
      </w:r>
    </w:p>
    <w:p>
      <w:pPr>
        <w:pStyle w:val="FirstParagraph"/>
      </w:pPr>
      <w:r>
        <w:t xml:space="preserve">Exponential random graph models (ERGMs) are statistical models for social networks that allow direct modeling for the formation of edges, or ties, between nodes</w:t>
      </w:r>
      <w:r>
        <w:t xml:space="preserve"> </w:t>
      </w:r>
      <w:r>
        <w:t xml:space="preserve">(Robins et al., 2007)</w:t>
      </w:r>
      <w:r>
        <w:t xml:space="preserve">. The application of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and at 190 sites for a later study</w:t>
      </w:r>
      <w:r>
        <w:t xml:space="preserve"> </w:t>
      </w:r>
      <w:r>
        <w:t xml:space="preserve">(Brughmans et al., 2015)</w:t>
      </w:r>
      <w:r>
        <w:t xml:space="preserve">. By fitting models with the observed network of archaeological data, they proposed that ERGMs are a promising approach for exploration and hypothesis testing of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 Other examples, such as exploring drivers of social stability for the Valencian Bronze Age settlements in eastern Spain</w:t>
      </w:r>
      <w:r>
        <w:t xml:space="preserve"> </w:t>
      </w:r>
      <w:r>
        <w:t xml:space="preserve">(Cegielski, 2020)</w:t>
      </w:r>
      <w:r>
        <w:t xml:space="preserve">, or reconstructing structurally efficient networks of Middle Bronze Age settlements in the Aegean</w:t>
      </w:r>
      <w:r>
        <w:t xml:space="preserve"> </w:t>
      </w:r>
      <w:r>
        <w:t xml:space="preserve">(Amati et al., 2018)</w:t>
      </w:r>
      <w:r>
        <w:t xml:space="preserve">, demonstrate the usefulness of ERGMs for hypothesis testing for social processes.</w:t>
      </w:r>
    </w:p>
    <w:p>
      <w:pPr>
        <w:pStyle w:val="BodyText"/>
      </w:pPr>
      <w:r>
        <w:t xml:space="preserve">However, those studies also illustrate some limitations of ERGMs, such as sensitivity to missing data and limited ability to incorporate and represent uncertainty. Also, it is difficult in ERGMs to estimate model parameters and interpret the results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to implement ERGMs in a Bayesian framework.</w:t>
      </w:r>
    </w:p>
    <w:p>
      <w:pPr>
        <w:pStyle w:val="BodyText"/>
      </w:pPr>
      <w:r>
        <w:t xml:space="preserve">In this paper, we used Bayesian inference on ERGMs to test our hypotheses. ERGMs are used as the tool to provide the conceptual background for network formation and structure, allowing testing social processes through covariates. The benefit of the Bayesian part is to deal with computational issues of ERGMs by incorporating prior information about the network configurations (details in Supplementary Online Materials) to better understand dependencies of network variables and uncertainty</w:t>
      </w:r>
      <w:r>
        <w:t xml:space="preserve"> </w:t>
      </w:r>
      <w:r>
        <w:t xml:space="preserve">(Caimo et al., 2017; Lehmann et al., 2021)</w:t>
      </w:r>
      <w:r>
        <w:t xml:space="preserve">. Prior information can be derived from previous data or assumptions based on the context of data. An important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w:t>
      </w:r>
    </w:p>
    <w:p>
      <w:pPr>
        <w:pStyle w:val="BodyText"/>
      </w:pPr>
      <w:r>
        <w:t xml:space="preserve">By fitting an ERGM with the approximate exchange algorithm, a Bayesian approach generates posterior probabilities that incorporate our sample data and prior information to estimate the effect of each ERGM parameter in our models</w:t>
      </w:r>
      <w:r>
        <w:t xml:space="preserve"> </w:t>
      </w:r>
      <w:r>
        <w:t xml:space="preserve">(Caimo and Lomi, 2015; Nemmers et al., 2019)</w:t>
      </w:r>
      <w:r>
        <w:t xml:space="preserve">. This allows robust and interpretable uncertainty quantification by examining the posterior distribution</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accurately predict, on average, 80% of the ties when a third of data is missing.</w:t>
      </w:r>
    </w:p>
    <w:bookmarkEnd w:id="20"/>
    <w:bookmarkEnd w:id="21"/>
    <w:bookmarkStart w:id="23" w:name="Xd5599817cf223561014d3e074fade9089fd4c8d"/>
    <w:p>
      <w:pPr>
        <w:pStyle w:val="Heading1"/>
      </w:pPr>
      <w:r>
        <w:t xml:space="preserve">Case Study: Exploring Social Changes in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an influx of Han Chinese in the 19th century</w:t>
      </w:r>
      <w:r>
        <w:t xml:space="preserve"> </w:t>
      </w:r>
      <w:r>
        <w:t xml:space="preserve">(Chen, 2007)</w:t>
      </w:r>
      <w:r>
        <w:t xml:space="preserve">. Our anthropological model proposes that the influence of an indirect colonial power, combined with high local values attached to imported goods, led to increased social inequality due to competition among individuals (details in Supplementary Online Materials)</w:t>
      </w:r>
      <w:r>
        <w:t xml:space="preserve"> </w:t>
      </w:r>
      <w:r>
        <w:t xml:space="preserve">(Brumfiel, 1994; Clark and Blake, 1994)</w:t>
      </w:r>
      <w:r>
        <w:t xml:space="preserve">. Before the arrival of Europeans, some imported goods already entered Kiwulan because of the regional trade network with Chinese traders</w:t>
      </w:r>
      <w:r>
        <w:t xml:space="preserve"> </w:t>
      </w:r>
      <w:r>
        <w:t xml:space="preserve">(Chen, 2005; Cheng, 2017)</w:t>
      </w:r>
      <w:r>
        <w:t xml:space="preserve">. We assume that the use of imported goods and their values were amplified after the European arrival. Different from Heping dao and Tamsui in northern Taiwan where European forts are located, the remote geographical setting of northeastern Taiwan resulted in less interference from European colonial powers, but more frequent trade activities due to local natural resources, such as rice and deerskins</w:t>
      </w:r>
      <w:r>
        <w:t xml:space="preserve"> </w:t>
      </w:r>
      <w:r>
        <w:t xml:space="preserve">(Chen, 2005; Cheng, 2017)</w:t>
      </w:r>
      <w:r>
        <w:t xml:space="preserve">. This makes northeastern Taiwan a special area to explore the effect of European colonization in a pericolonial context that remains not well understood compared to European colonial bases</w:t>
      </w:r>
      <w:r>
        <w:t xml:space="preserve"> </w:t>
      </w:r>
      <w:r>
        <w:t xml:space="preserve">(Acabado, 2017; Trabert, 2017)</w:t>
      </w:r>
      <w:r>
        <w:t xml:space="preserve">.</w:t>
      </w:r>
    </w:p>
    <w:p>
      <w:pPr>
        <w:pStyle w:val="BodyText"/>
      </w:pPr>
      <w:r>
        <w:t xml:space="preserve">Involvement in long-distance exchange is often associated with an increased social inequality where ambitious individuals could gain power by building personal influence through the acquisition and distribution of foreign goods, leading to social change from corporate to network societies</w:t>
      </w:r>
      <w:r>
        <w:t xml:space="preserve"> </w:t>
      </w:r>
      <w:r>
        <w:t xml:space="preserve">(Blanton et al., 1996; Feinman, 2000; Klehm, 2017)</w:t>
      </w:r>
      <w:r>
        <w:t xml:space="preserve">. Corporate-network societies represent two distinct political-economic strategies for obtaining power, viewed as a horizontal axis crosscutting traditional vertical hierarchy</w:t>
      </w:r>
      <w:r>
        <w:t xml:space="preserve"> </w:t>
      </w:r>
      <w:r>
        <w:t xml:space="preserve">(Drennan et al., 2010; Feinman, 2000)</w:t>
      </w:r>
      <w:r>
        <w:t xml:space="preserve">. The features of network strategies include the accumulation of prestige goods, wealth differentiation, and trade monopolization through individual networks. These are contrasted with corporate strategies that stress communal ritual elements, shared power, and where wealth differentiation, if any, would be associated with corporate groups, such as age-based or kin-based, rather than individuals</w:t>
      </w:r>
      <w:r>
        <w:t xml:space="preserve"> </w:t>
      </w:r>
      <w:r>
        <w:t xml:space="preserve">(Siegel, 1999)</w:t>
      </w:r>
      <w:r>
        <w:t xml:space="preserve">. In Asia, network-based societies are frequently identified, especially for places involved in long-distance trade</w:t>
      </w:r>
      <w:r>
        <w:t xml:space="preserve"> </w:t>
      </w:r>
      <w:r>
        <w:t xml:space="preserve">(Carter, 2015; Liu and Chen, 2006; Ueda et al., 2016)</w:t>
      </w:r>
      <w:r>
        <w:t xml:space="preserve">.</w:t>
      </w:r>
    </w:p>
    <w:p>
      <w:pPr>
        <w:pStyle w:val="BodyText"/>
      </w:pPr>
      <w:r>
        <w:t xml:space="preserve">The observed uneven distribution of burial goods at Kiwulan may be explained as a result of unequal access to trade goods when Indigenous societies became more involved in the complex trade networks stimulated by European colonial activities in northern Taiwan. Foreign trade goods were believed to be used as prestige goods based on archaeological contexts at Kiwulan</w:t>
      </w:r>
      <w:r>
        <w:t xml:space="preserve"> </w:t>
      </w:r>
      <w:r>
        <w:t xml:space="preserve">(Hsieh, 2009; Wang, 2011)</w:t>
      </w:r>
      <w:r>
        <w:t xml:space="preserve">. There are very few trade goods found in middens but more in the residential area and burials. According to Spanish historical records they are a symbol of personal influence</w:t>
      </w:r>
      <w:r>
        <w:t xml:space="preserve"> </w:t>
      </w:r>
      <w:r>
        <w:t xml:space="preserve">(Li and Wu, 2006)</w:t>
      </w:r>
      <w:r>
        <w:t xml:space="preserve">. In addition, the study of spatial distribution of trade ornaments in Kiwulan residential area demonstrates a more clustered pattern after the European presence, indicative of intentional accumulation of trade goods</w:t>
      </w:r>
      <w:r>
        <w:t xml:space="preserve"> </w:t>
      </w:r>
      <w:r>
        <w:t xml:space="preserve">(Wang and Marwick, 2020a)</w:t>
      </w:r>
      <w:r>
        <w:t xml:space="preserve">. The European contact and associated trade activities could be the stimulus of competition for foreign resources among aggrandizers that led to social changes.</w:t>
      </w:r>
    </w:p>
    <w:p>
      <w:pPr>
        <w:pStyle w:val="BodyText"/>
      </w:pPr>
      <w:r>
        <w:t xml:space="preserve">Using the theoretical framework of corporate-network strategies, we test a hypothesis of the shift in organizational modes in relation to increased social inequality, from a more corporate to a more network society, after the European presence that can be observed in the Kiwulan burial network</w:t>
      </w:r>
      <w:r>
        <w:t xml:space="preserve"> </w:t>
      </w:r>
      <w:r>
        <w:t xml:space="preserve">(Blanton et al., 1996; Drennan et al., 2010; Feinman, 2000)</w:t>
      </w:r>
      <w:r>
        <w:t xml:space="preserve">. We explore whether this change can be identified through the pattern of intercorrelations of foreign prestige goods among burials. We ask: (1) Does the burial network after European arrival present a more centralized structure with fewer subgroups compared to the burial network before European contact? and if so, (2) what are the major variables affecting or forming these two networks? Can we identify the shift in variables from ritual to wealth associated with two different strategies?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6" w:name="materials"/>
    <w:p>
      <w:pPr>
        <w:pStyle w:val="Heading1"/>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excavation squares that provide continuous stratigraphic sections suitable for temporal comparison (Figure</w:t>
      </w:r>
      <w:r>
        <w:t xml:space="preserve"> </w:t>
      </w:r>
      <w:r>
        <w:t xml:space="preserve">2</w:t>
      </w:r>
      <w:r>
        <w:t xml:space="preserve">). The preservation of human remains at Kiwulan was generally poor, so we have incomplete data for age and sex (details in Supplementary Online Materials) and lack health status data. Burials are oriented in an east-west direction on the north side of the residential area, which is indicated by post-holes and</w:t>
      </w:r>
      <w:r>
        <w:t xml:space="preserve"> </w:t>
      </w:r>
      <w:r>
        <w:rPr>
          <w:iCs/>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a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behaviors from different phases. Here, we adopt a new chronological framework for the burials to test if network configurations differ from the pre-European period (before European colonization) to the post-European period (during and after European colonization until the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2020a, 2020b)</w:t>
      </w:r>
      <w:r>
        <w:t xml:space="preserve">. We excluded burials from the Chinese phase (n = 4) due to the smaller sample size that corresponds to the population decline at Kiwulan in the Chinese period</w:t>
      </w:r>
      <w:r>
        <w:t xml:space="preserve"> </w:t>
      </w:r>
      <w:r>
        <w:t xml:space="preserve">(Chen, 2007)</w:t>
      </w:r>
      <w:r>
        <w:t xml:space="preserve">. For the two periods studied here, we evaluated differences in network size using a vertex bootstrap method. We also excluded 8 burials that were heavily disturbed by modern construction which prevented accurate determination of their chronology. Most burials have clear stratigraphic contexts so modern or ancient disturbance is readily visible (i.e. if a burial has been cut into by later burials, very few cases of this have been documented at Kiwulan). By comparing networks from the pre-European period and the post-European period we can examine the effects of foreign contact on community relationships at Kiwulan.</w:t>
      </w:r>
    </w:p>
    <w:bookmarkStart w:id="25" w:name="contextualizing-burial-networks"/>
    <w:p>
      <w:pPr>
        <w:pStyle w:val="Heading2"/>
      </w:pPr>
      <w:r>
        <w:t xml:space="preserve">Contextualizing Burial Networks</w:t>
      </w:r>
    </w:p>
    <w:p>
      <w:pPr>
        <w:pStyle w:val="FirstParagraph"/>
      </w:pPr>
      <w:r>
        <w:t xml:space="preserve">We built networks where burials (nodes in the network) are linked when they have the same trade goods in common. This is based on the assumptions that social status and associated relations can be represented by sharing similar goods and burials can reflect social structures</w:t>
      </w:r>
      <w:r>
        <w:t xml:space="preserve"> </w:t>
      </w:r>
      <w:r>
        <w:t xml:space="preserve">(Binford, 1971; Saxe, 1970; cf. Coward, 2013, p. 252)</w:t>
      </w:r>
      <w:r>
        <w:t xml:space="preserve">. Thus, individuals with the same prestige goods reflect similar access to trade, exchange, and gifting networks, indicative of the similarity among Kiwulan residents and social inequality. The trade goods we identified include gold-foil beads, carnelian beads, glass beads, Chinese porcelains, stonewares, gold foils, fish-shaped ornaments, and imported coins, which were also items less affected by taphonomic processes because of their durable materials. Those goods are considered as prestige goods due to their rarity in burial contexts and descriptions in historical records</w:t>
      </w:r>
      <w:r>
        <w:t xml:space="preserve"> </w:t>
      </w:r>
      <w:r>
        <w:t xml:space="preserve">(Chen, 2007; 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Indigenous people possessing more imported goods were recognized as having higher status in their community</w:t>
      </w:r>
      <w:r>
        <w:t xml:space="preserve"> </w:t>
      </w:r>
      <w:r>
        <w:t xml:space="preserve">(Li and Wu, 2006)</w:t>
      </w:r>
      <w:r>
        <w:t xml:space="preserve">.</w:t>
      </w:r>
    </w:p>
    <w:bookmarkEnd w:id="25"/>
    <w:bookmarkEnd w:id="26"/>
    <w:bookmarkStart w:id="33" w:name="methods"/>
    <w:p>
      <w:pPr>
        <w:pStyle w:val="Heading1"/>
      </w:pPr>
      <w:r>
        <w:t xml:space="preserve">Methods</w:t>
      </w:r>
    </w:p>
    <w:bookmarkStart w:id="27" w:name="hypothesis-and-prediction"/>
    <w:p>
      <w:pPr>
        <w:pStyle w:val="Heading2"/>
      </w:pPr>
      <w:r>
        <w:t xml:space="preserve">Hypothesis and prediction</w:t>
      </w:r>
    </w:p>
    <w:p>
      <w:pPr>
        <w:pStyle w:val="FirstParagraph"/>
      </w:pPr>
      <w:r>
        <w:t xml:space="preserve">Our social change hypothesis is that differential access to foreign prestige goods after the European presence led to increased social inequality at Kiwulan, where the social structure changed from a more corporate strategy to a more network strategy, presenting different organizational modes of societies</w:t>
      </w:r>
      <w:r>
        <w:t xml:space="preserve"> </w:t>
      </w:r>
      <w:r>
        <w:t xml:space="preserve">(Blanton et al., 1996; Drennan et al., 2010; Feinman, 2000)</w:t>
      </w:r>
      <w:r>
        <w:t xml:space="preserve">. If social inequality gradually increased after European arrival as we hypothesize, then we expect to observe a network structure with higher centralization and less transitivity, along with network ties determined by wealth, indicative of a network-based society. In contrast, we predict the network before European arrival will show low centralization and high transitivity, and network ties associated with ritual elements, indicative of a corporate-based society. High transitivity (or clustering) indicates multiple subgroups with shared burial goods, representing social cohesion instead of individual accumulation in an earlier time. To test this hypothesis, we use Bayesian ERGMs to model the formation of network ties and the underlying mechanisms that shaped relationships between people at Kiwulan.</w:t>
      </w:r>
    </w:p>
    <w:bookmarkEnd w:id="27"/>
    <w:bookmarkStart w:id="30" w:name="construction-of-network-variables"/>
    <w:p>
      <w:pPr>
        <w:pStyle w:val="Heading2"/>
      </w:pPr>
      <w:r>
        <w:t xml:space="preserve">Construction of Network Variables</w:t>
      </w:r>
    </w:p>
    <w:p>
      <w:pPr>
        <w:pStyle w:val="FirstParagraph"/>
      </w:pPr>
      <w:r>
        <w:t xml:space="preserve">Trade beads are found across burials with substantial differences in quantities, so we described each burial as having one of four levels, high, upper-middle, lower-middle, and low, according to their distributions across all burials (Figure</w:t>
      </w:r>
      <w:r>
        <w:t xml:space="preserve"> </w:t>
      </w:r>
      <w:r>
        <w:t xml:space="preserve">3</w:t>
      </w:r>
      <w:r>
        <w:t xml:space="preserve">; details in Supplementary Online Materials). For less frequent prestige goods, including imported ceramics, gold foils, fish-shaped ornaments, and coins, we linked two burials when they both possess each type of goods (i.e. presence or absence). Node attributes here include osteological data, such as age and sex, and cultural data, such as ritual pottery, and a burial value index. Ritual pottery was identified as locally-made ceramics placed above an individual, which is interpreted as vessels used for funeral feasting or offering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the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CaptionedFigure"/>
      </w:pPr>
      <w:r>
        <w:drawing>
          <wp:inline>
            <wp:extent cx="5943600" cy="3962400"/>
            <wp:effectExtent b="0" l="0" r="0" t="0"/>
            <wp:docPr descr="Figure 3: The distributions of different types of trade beads across all burials analyzed in this paper. Seven burials with 60 and more (the maximum is 2936) glass beads are not shown in this plot." title="" id="1" name="Picture"/>
            <a:graphic>
              <a:graphicData uri="http://schemas.openxmlformats.org/drawingml/2006/picture">
                <pic:pic>
                  <pic:nvPicPr>
                    <pic:cNvPr descr="/Users/bmarwick/Desktop/kwl-burials/analysis/figures/000-raincloud-beads.png" id="0" name="Picture"/>
                    <pic:cNvPicPr>
                      <a:picLocks noChangeArrowheads="1" noChangeAspect="1"/>
                    </pic:cNvPicPr>
                  </pic:nvPicPr>
                  <pic:blipFill>
                    <a:blip r:embed="rId28"/>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The distributions of different types of trade beads across all burials analyzed in this paper. Seven burials with 60 and more (the maximum is 2936) glass beads are not shown in this plot.</w:t>
      </w:r>
    </w:p>
    <w:p>
      <w:pPr>
        <w:pStyle w:val="BodyText"/>
      </w:pPr>
      <w:r>
        <w:t xml:space="preserve">We then assigned the burials into three ranks according to breaks in the distribution of burial values, high (&gt;24.7, top 10 percent), above average (16-24.7), and below average (&lt;16), as an index of wealth. Since burials tend to have multiple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We are able to weigh ties due to durable materials of trade goods that are preserved well in each burial.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4</w:t>
      </w:r>
      <w:r>
        <w:t xml:space="preserve">).</w:t>
      </w:r>
    </w:p>
    <w:p>
      <w:pPr>
        <w:pStyle w:val="CaptionedFigure"/>
      </w:pPr>
      <w:r>
        <w:drawing>
          <wp:inline>
            <wp:extent cx="5943600" cy="2377440"/>
            <wp:effectExtent b="0" l="0" r="0" t="0"/>
            <wp:docPr descr="Figure 4: A: Burial network before the European arrival (14th-16th centuries), B: Burial network after the European arrival (17th-18th centuries). Nodes represent burials, tied when they share the same trade goods. The size of each node is proportional to node degrees or the number of connections to a node. The thickness of ties represents the number of goods in common between two nodes. Isolated nodes are not displayed in the plot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4: A: Burial network before the European arrival (14th-16th centuries), B: Burial network after the European arrival (17th-18th centuries). Nodes represent burials, tied when they share the same trade goods. The size of each node is proportional to node degrees or the number of connections to a node. The thickness of ties represents the number of goods in common between two nodes. Isolated nodes are not displayed in the plots.</w:t>
      </w:r>
    </w:p>
    <w:bookmarkEnd w:id="30"/>
    <w:bookmarkStart w:id="31"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that we assume the deceased from the same family were buried nearby</w:t>
      </w:r>
      <w:r>
        <w:t xml:space="preserve"> </w:t>
      </w:r>
      <w:r>
        <w:t xml:space="preserve">(Chen, 2007)</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et al., 2008; Morris et al., 2008)</w:t>
      </w:r>
    </w:p>
    <w:tbl>
      <w:tblPr>
        <w:tblStyle w:val="Table"/>
        <w:tblW w:type="pct" w:w="5000.0"/>
        <w:tblLook w:firstRow="1" w:lastRow="0" w:firstColumn="0" w:lastColumn="0" w:noHBand="0" w:noVBand="0" w:val="0020"/>
        <w:tblCaption w:val="Table 1: Network parameters in ERGMs used for model specifications with associated archaeological interpretation for burial relations. ERGM terminology is from the R package statnet (Handcock et al., 2008; Morris et al., 2008)"/>
      </w:tblPr>
      <w:tblGrid>
        <w:gridCol w:w="1400"/>
        <w:gridCol w:w="2963"/>
        <w:gridCol w:w="3555"/>
      </w:tblGrid>
      <w:tr>
        <w:tc>
          <w:p>
            <w:pPr>
              <w:pStyle w:val="Compact"/>
              <w:jc w:val="left"/>
            </w:pPr>
            <w:r>
              <w:t xml:space="preserve">Network variable</w:t>
            </w:r>
          </w:p>
        </w:tc>
        <w:tc>
          <w:p>
            <w:pPr>
              <w:pStyle w:val="Compact"/>
              <w:jc w:val="left"/>
            </w:pPr>
            <w:r>
              <w:t xml:space="preserve">Configuration (ERGM term)</w:t>
            </w:r>
          </w:p>
        </w:tc>
        <w:tc>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of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Two 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physically close to each other tend to have similar goods</w:t>
            </w:r>
          </w:p>
        </w:tc>
      </w:tr>
    </w:tbl>
    <w:bookmarkEnd w:id="31"/>
    <w:bookmarkStart w:id="32" w:name="Xf5c741e4079c673243fd959577f604af015808f"/>
    <w:p>
      <w:pPr>
        <w:pStyle w:val="Heading2"/>
      </w:pPr>
      <w:r>
        <w:t xml:space="preserve">Choice of prior values to evaluate our anthropological model</w:t>
      </w:r>
    </w:p>
    <w:p>
      <w:pPr>
        <w:pStyle w:val="FirstParagraph"/>
      </w:pPr>
      <w:r>
        <w:t xml:space="preserve">Priors are a distinctive aspect of Bayesian methods that enable us to combine our beliefs based on prior research with newly observed data</w:t>
      </w:r>
      <w:r>
        <w:t xml:space="preserve"> </w:t>
      </w:r>
      <w:r>
        <w:t xml:space="preserve">(Gill, 2014)</w:t>
      </w:r>
      <w:r>
        <w:t xml:space="preserve">. The normal distribution N(</w:t>
      </w:r>
      <m:oMath>
        <m:r>
          <m:t>μ</m:t>
        </m:r>
      </m:oMath>
      <w:r>
        <w:t xml:space="preserve">,</w:t>
      </w:r>
      <w:r>
        <w:t xml:space="preserve"> </w:t>
      </w:r>
      <m:oMath>
        <m:sSup>
          <m:e>
            <m:r>
              <m:t>σ</m:t>
            </m:r>
          </m:e>
          <m:sup>
            <m:r>
              <m:t>2</m:t>
            </m:r>
          </m:sup>
        </m:sSup>
      </m:oMath>
      <w:r>
        <w:t xml:space="preserve">), where</w:t>
      </w:r>
      <w:r>
        <w:t xml:space="preserve"> </w:t>
      </w:r>
      <m:oMath>
        <m:r>
          <m:t>μ</m:t>
        </m:r>
      </m:oMath>
      <w:r>
        <w:t xml:space="preserve"> </w:t>
      </w:r>
      <w:r>
        <w:t xml:space="preserve">is the mean and</w:t>
      </w:r>
      <w:r>
        <w:t xml:space="preserve"> </w:t>
      </w:r>
      <m:oMath>
        <m:sSup>
          <m:e>
            <m:r>
              <m:t>σ</m:t>
            </m:r>
          </m:e>
          <m:sup>
            <m:r>
              <m:t>2</m:t>
            </m:r>
          </m:sup>
        </m:sSup>
      </m:oMath>
      <w:r>
        <w:t xml:space="preserve"> </w:t>
      </w:r>
      <w:r>
        <w:t xml:space="preserve">is the standard deviation, is typically used for priors when modelling network parameters because it is sensible and convenient, allowing adjustments for a wide range of prior information</w:t>
      </w:r>
      <w:r>
        <w:t xml:space="preserve"> </w:t>
      </w:r>
      <w:r>
        <w:t xml:space="preserve">(Caimo et al., 2017; Normand and Tritchler, 1992)</w:t>
      </w:r>
      <w:r>
        <w:t xml:space="preserve">. The larger the mean of the prior distribution, the more positive effect of that parameter on network formation. A larger standard deviation makes the prior more vague, enabling comparison between variables for which we do not have specific assumptions. Since low network densities are commonly found in the real world</w:t>
      </w:r>
      <w:r>
        <w:t xml:space="preserve"> </w:t>
      </w:r>
      <w:r>
        <w:t xml:space="preserve">(Caimo et al., 2017)</w:t>
      </w:r>
      <w:r>
        <w:t xml:space="preserve">, we specified the prior of the edge density parameter to low for both network models, following a normal distribution with mean at -3, and standard deviations at 1 (i.e (N(-3, 1))).</w:t>
      </w:r>
    </w:p>
    <w:p>
      <w:pPr>
        <w:pStyle w:val="BodyText"/>
      </w:pPr>
      <w:r>
        <w:t xml:space="preserve">To evaluate our anthropological model of increased social inequality, specifically a shift from a corporate to network society</w:t>
      </w:r>
      <w:r>
        <w:t xml:space="preserve"> </w:t>
      </w:r>
      <w:r>
        <w:t xml:space="preserve">(Drennan et al., 2010; Feinman, 2000)</w:t>
      </w:r>
      <w:r>
        <w:t xml:space="preserve">, we specified priors that are meaningful for social inequality, especially for the variables of transitivity and centralization (see our supplementary information for more details on prior selection). For the network before European contact, we set the priors to model less social differentiation and emphasize the ritual element shared in corporate groups: higher transitivity (N(3, 1)), lower centralization (N(-3, 1)), and a higher covariate effect of ritual activity (N(3, 1)). Conversely, to model an increased social differentiation after European contact, we set the priors for the network after European arrival to lower transitivity (N(1, 1)), higher centralization (N(3, 1)), and a higher covariate effect for burial values (N(3, 1)). For covariates about biological features, such as age, sex, we specified a vague prior (N(0, 5)) for both models to explore their effects. Similarly, we used the same vague prior (N(0, 5)) for physical distance between burials, to explore whether there is kinship-based proximity, e.g. stronger correlations for shorter distances. We then examine the fit of the observed data to the two models we specified to evaluate our hypotheses.</w:t>
      </w:r>
    </w:p>
    <w:bookmarkEnd w:id="32"/>
    <w:bookmarkEnd w:id="33"/>
    <w:bookmarkStart w:id="35"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4">
        <w:r>
          <w:rPr>
            <w:rStyle w:val="Hyperlink"/>
          </w:rPr>
          <w:t xml:space="preserve">http://doi.org/10.17605/OSF.IO/XGA6N</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and additional details of definition of our approach to tie formation, model fitting, MCMC run details, assessment of MCMC convergence and output, and goodness-of-fit diagnostics for our models. All of the figures, tables, and statistical test results presented here can be independently reproduced with the code and data in this repository. The code is released under the MIT license, the data as CC-0, and figures as CC-BY, to enable maximum re-use.</w:t>
      </w:r>
    </w:p>
    <w:bookmarkEnd w:id="35"/>
    <w:bookmarkStart w:id="39" w:name="results"/>
    <w:p>
      <w:pPr>
        <w:pStyle w:val="Heading1"/>
      </w:pPr>
      <w:r>
        <w:t xml:space="preserve">Results</w:t>
      </w:r>
    </w:p>
    <w:p>
      <w:pPr>
        <w:pStyle w:val="FirstParagraph"/>
      </w:pPr>
      <w:r>
        <w:t xml:space="preserve">We examined the estimates from the posterior distributions to compare their differences in structure of the simulated networks (Table</w:t>
      </w:r>
      <w:r>
        <w:t xml:space="preserve"> </w:t>
      </w:r>
      <w:r>
        <w:t xml:space="preserve">2</w:t>
      </w:r>
      <w:r>
        <w:t xml:space="preserve">; Figure</w:t>
      </w:r>
      <w:r>
        <w:t xml:space="preserve"> </w:t>
      </w:r>
      <w:r>
        <w:t xml:space="preserve">5</w:t>
      </w:r>
      <w:r>
        <w:t xml:space="preserve">). For nodal covariates in the pre-European model, the values of ritual element represented by pots (ritual-homophily) are mostly greater than zero. This suggests a positive effect on the formation of relations between burials, while the values of wealth rank represented by burial values (wealth-homophily) are mostly negative, indicating it has less influence on the tie formation. This demonstrates that burials with ritual pottery tend to form relations, but burials in the same wealth level tend not to. For other covariates with values mostly around zero, such as age (age-homophily) and sex (sex-homophily), we do not see any clear tendency. Most values are positive for the physical distance variable (dyadic covariate), indicating that physical proximity between burials influences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trade goods in terms of the flow of goods.</w:t>
      </w:r>
    </w:p>
    <w:p>
      <w:pPr>
        <w:pStyle w:val="BodyText"/>
      </w:pPr>
      <w:r>
        <w:t xml:space="preserve">Table 2: Estimated posterior means, medians, and 95% confidence intervals for each network parameter of two models. Confidence intervals that do not include zero indicate significant effects of parameters (Caimo, 2017). Posterior means close to posterior medians that indicate symmetric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-3.96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4.29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2.78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5.51</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5: Posterior density estimates for the parameters associated with edges, transitivity, centralization, and physical distance by phases. The pre-European group presents a long tailed distribution with larger values for the transitivity, but negative values for the centralization parameter compared to the post-European group. The edges and distance parameters for the pre-European group have larger values generally compared to the post-European one."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Posterior density estimates for the parameters associated with edges, transitivity, centralization, and physical distance by phases. The pre-European group presents a long tailed distribution with larger values for the transitivity, but negative values for the centralization parameter compared to the post-European group. The edges and distance parameters for the pre-European group have larger values generally compared to the post-European one.</w:t>
      </w:r>
    </w:p>
    <w:p>
      <w:pPr>
        <w:pStyle w:val="BodyText"/>
      </w:pPr>
      <w:r>
        <w:t xml:space="preserve">For the post-European network model, two nodal covariates, wealth rank and age, both show tendencies towards positive values in the posterior distributions. This indicates the burials in the same wealth level and age groups tend to form relations. However, there is no clear pattern for ritual and sex variables since most values are around zero. There are also no effects for the variable of physical distance. Similar to the pre-European network, transitivity demonstrates a significant positive effect, but weaker than the effect of the pre-European network. In contrast, centralization has a significantly higher positive effect than the effect of the pre-European network. This means there is a tendency toward centralization, reflecting a limited number of burials having many more ties than others. This implies that the presence of better access to trade goods and the behavior of wealth accumulation and display in burial events. In general, the post-European network model has a smaller transitivity effect and higher centralization effect than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confirm the robustness of our comparison between these two different-sized networks, we used a vertex bootstrap technique to cross-validate the results of our Bayesian ERGMs. The vertex bootstrap is a non-parametric method that conducts resampling for all vertices (i.e. nodes)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at up to 35% node removals for the centralization variable as shown in Figure</w:t>
      </w:r>
      <w:r>
        <w:t xml:space="preserve"> </w:t>
      </w:r>
      <w:r>
        <w:t xml:space="preserve">6</w:t>
      </w:r>
      <w:r>
        <w:t xml:space="preserve">. This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 This indicates that the network variables, including density, centralization, and transitivity, are robust to the different network sizes of our sample.</w:t>
      </w:r>
    </w:p>
    <w:p>
      <w:pPr>
        <w:pStyle w:val="CaptionedFigure"/>
      </w:pPr>
      <w:r>
        <w:drawing>
          <wp:inline>
            <wp:extent cx="5943600" cy="3714750"/>
            <wp:effectExtent b="0" l="0" r="0" t="0"/>
            <wp:docPr descr="Figure 6: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bmarwick/Desktop/kwl-burials/analysis/figures/008-bootstrap-CI.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6: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BodyText"/>
      </w:pPr>
      <w:r>
        <w:t xml:space="preserve">Our computational models reproduce networks that resemble the structural features of our observed networks according to Bayesian goodness of fit diagnostics (details in Supplementary Online Materials), showing both models fit the observed networks very well.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bmarwick/Desktop/kwl-burials/analysis/figures/007-distribution-moments.png" id="0" name="Picture"/>
                    <pic:cNvPicPr>
                      <a:picLocks noChangeArrowheads="1" noChangeAspect="1"/>
                    </pic:cNvPicPr>
                  </pic:nvPicPr>
                  <pic:blipFill>
                    <a:blip r:embed="rId38"/>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bookmarkEnd w:id="39"/>
    <w:bookmarkStart w:id="40"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burial goods and burial attributes. Changes in mortuary practices could reflect the development of social or political complexity</w:t>
      </w:r>
      <w:r>
        <w:t xml:space="preserve"> </w:t>
      </w:r>
      <w:r>
        <w:t xml:space="preserve">(eg. Curet and Oliver, 1998)</w:t>
      </w:r>
      <w:r>
        <w:t xml:space="preserve">.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The general pattern of posterior distributions indicates that the main factor contributing to burial networks for the pre-European network was ritual, and for the post-European network was wealth. We interpret these results as illustrating different social and economic mechanisms influencing relations between burials for the two periods. Before European arrival, ritual behaviors could have been important factors that structured the interconnections of prestige goods in the burial contexts. This might imply that ritual was a status indicator at the time before many foreign goods were introduced to Indigenous societies. After the European presence was established, status indicators shifted from ritual to wealth differences, corresponding with the characteristics of corporate/network strategies. In addition, geographical proximity of burials, implying kinship association, has some effect on sharing similar prestige items between burials in the pre-European period, but not in the post-European period. This may suggest that the use of prestige items is more individual-oriented instead of kinship-based after European arrival. Burials in the same age group tend to have similar goods after European arrival. However the sex of the buried individual did not have any effects on network formation for both networks. We should also note that their effects may be impacted by the unavailability of age (30 out of 78 burials) and sex (52 out of 78 burials) values in our sample.</w:t>
      </w:r>
    </w:p>
    <w:p>
      <w:pPr>
        <w:pStyle w:val="BodyText"/>
      </w:pPr>
      <w:r>
        <w:t xml:space="preserve">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2020a)</w:t>
      </w:r>
      <w:r>
        <w:t xml:space="preserve">. This is consistent with the result of a more centralized burial network after the presence of Europeans, that supports a connection between a burial and the social role of the living person. Also, ethnographic records correspond to our interpretation of burial goods as prestige goods or status items in the local Indigenous culture</w:t>
      </w:r>
      <w:r>
        <w:t xml:space="preserve"> </w:t>
      </w:r>
      <w:r>
        <w:t xml:space="preserve">(Borao, 2009; Li and Wu, 2006)</w:t>
      </w:r>
      <w:r>
        <w:t xml:space="preserve">, so the interrelations represented by the flow of these goods observed in the burial data likely reflect social contexts of the living people at Kiwulan.</w:t>
      </w:r>
    </w:p>
    <w:p>
      <w:pPr>
        <w:pStyle w:val="BodyText"/>
      </w:pPr>
      <w:r>
        <w:t xml:space="preserve">We recognize that complex local and international trade dynamics between different Indigenous groups and other foreign groups, such as the Han Chinese and Japanese, might have contributed to social changes at Kiwulan as well. However, the current changes observed from burial networks and spatial distribution of trade items in the residential area at Kiwulan demonstrate consistent changes before and after the European arrival. The frequent trade activities stimulated by the presence of Europeans led to many trade items, including Anping jars, stonewares, Chinese porcelains, and beads found at archaeological sites with Dutch occupation at different parts of Taiwan, such as Fort Zeelandia. Although shortages mentioned in Spanish documents might indicate insufficient goods were brought into Taiwan</w:t>
      </w:r>
      <w:r>
        <w:t xml:space="preserve"> </w:t>
      </w:r>
      <w:r>
        <w:t xml:space="preserve">(Borao, 2009)</w:t>
      </w:r>
      <w:r>
        <w:t xml:space="preserve">, we observed a large amount of trade goods at Kiwulan. Trade goods may not have been originally owned by Europeans if we consider the pre-existent regional trade with Chinese merchants. However, the large amount of foreign goods suggests frequent and active trade activities with local places involved in a global trade network.</w:t>
      </w:r>
    </w:p>
    <w:p>
      <w:pPr>
        <w:pStyle w:val="BodyText"/>
      </w:pPr>
      <w:r>
        <w:t xml:space="preserve">As a large village with continuous occupation since the 14th century in northeastern Taiwan, the archaeological evidence at Kiwulan provides a special example to explore the reaction of Indigenous people living on the periphery to European colonial presence at a settlement scale that historical records rarely offer. Was its experience with the European presence unique or typical of the region? We need more evidence from other sites in northeastern Taiwan to dive deeper into pericolonial effects, and compare evidence between sites on the periphery and colonial centers, such as Heping Dao and Tamsui. The contemporary community of descendants of Kiwulan, the Kavalan people, shows features of a corporate society, such as a matrilineal system with age group administration and ritual practices</w:t>
      </w:r>
      <w:r>
        <w:t xml:space="preserve"> </w:t>
      </w:r>
      <w:r>
        <w:t xml:space="preserve">(Liu, 2021)</w:t>
      </w:r>
      <w:r>
        <w:t xml:space="preserve">. This indicates that social change has been continuous in this area, from the more centralized network mode of social organization we observed in the burials after European arrival, to the current corporate model of social organization. Future work should focus on collecting data from Indigenous sites related to European contact and Chinese contact for comparison with Kiwulan.</w:t>
      </w:r>
    </w:p>
    <w:bookmarkEnd w:id="40"/>
    <w:bookmarkStart w:id="41" w:name="conclusion"/>
    <w:p>
      <w:pPr>
        <w:pStyle w:val="Heading1"/>
      </w:pPr>
      <w:r>
        <w:t xml:space="preserve">Conclusion</w:t>
      </w:r>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better estimate archaeological data by incorporating prior information with MCMC estimations to quantify uncertainty and provide interpretable output. An important feature of Bayesian network modeling is the ability to set prior values to evaluate competing anthropological hypotheses,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Our case study examined social changes in a European pericolonial context in northeastern Taiwan. We tested a hypothesis of changes in burial networks at Kiwulan with the evaluation of both endogenous and exogenous network effects. The results support our model that the intercorrelation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observed as a change from tie formation dominated by ritual to wealth,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While ethnographic records may be ambiguous on the degree of social hierarchy at Kiwulan, the archaeological record allows us to see clear signals of changes in social organization. The archaeological record is valuable here because it gives us a better understanding of the indirect European impacts in understudied pericolonial contexts of East Asia</w:t>
      </w:r>
      <w:r>
        <w:t xml:space="preserve"> </w:t>
      </w:r>
      <w:r>
        <w:t xml:space="preserve">(e.g. Acabado, 2017; Trabert, 2017)</w:t>
      </w:r>
      <w:r>
        <w:t xml:space="preserve">.</w:t>
      </w:r>
    </w:p>
    <w:bookmarkEnd w:id="41"/>
    <w:bookmarkStart w:id="43"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the predissertation summer travel grant from the Henry Luce Foundation/ACLS Program in China Studies, and the Doctoral Dissertation Fellowship from the Chiang Ching-kuo Foundation for International Scholarly Exchange (Project #DF009-A-18). We thank Ben Fitzhugh, Peter Lape, Erik Gjesfjeld, Matthew Peeples for their insightful comments on an early draft. We also acknowledge comments from anonymous reviewers that have greatly improved this manuscript.</w:t>
      </w:r>
    </w:p>
    <w:bookmarkStart w:id="42" w:name="pagebreak"/>
    <w:p>
      <w:pPr>
        <w:pStyle w:val="Heading5"/>
      </w:pPr>
      <w:r>
        <w:rPr>
          <w:rStyle w:val="SectionNumber"/>
        </w:rPr>
        <w:t xml:space="preserve">0.0.0.0.1</w:t>
      </w:r>
      <w:r>
        <w:tab/>
      </w:r>
      <w:r>
        <w:t xml:space="preserve">pagebreak</w:t>
      </w:r>
    </w:p>
    <w:bookmarkEnd w:id="42"/>
    <w:bookmarkEnd w:id="43"/>
    <w:bookmarkStart w:id="135" w:name="references"/>
    <w:p>
      <w:pPr>
        <w:pStyle w:val="Heading1"/>
      </w:pPr>
      <w:r>
        <w:t xml:space="preserve">References</w:t>
      </w:r>
    </w:p>
    <w:bookmarkStart w:id="132" w:name="refs"/>
    <w:bookmarkStart w:id="44" w:name="ref-Acabado2017"/>
    <w:p>
      <w:pPr>
        <w:pStyle w:val="Bibliography"/>
      </w:pPr>
      <w:r>
        <w:t xml:space="preserve">Acabado, S., 2017. The archaeology of pericolonialism: Responses of the "unconquered"" 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4"/>
    <w:bookmarkStart w:id="45"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5"/>
    <w:bookmarkStart w:id="46" w:name="ref-Amati2018"/>
    <w:p>
      <w:pPr>
        <w:pStyle w:val="Bibliography"/>
      </w:pPr>
      <w:r>
        <w:t xml:space="preserve">Amati, V., Shafie, T., Brandes, U., 2018. Reconstructing archaeological networks with structural holes. Journal of archaeological method and theory 25, 226–253.</w:t>
      </w:r>
    </w:p>
    <w:bookmarkEnd w:id="46"/>
    <w:bookmarkStart w:id="47"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7"/>
    <w:bookmarkStart w:id="48"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8"/>
    <w:bookmarkStart w:id="49"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5"/>
    <w:p>
      <w:pPr>
        <w:pStyle w:val="Bibliography"/>
      </w:pPr>
      <w:r>
        <w:t xml:space="preserve">Brughmans, T., Keay, S., Earl, G., 2015. Understanding inter-settlement visibility in</w:t>
      </w:r>
      <w:r>
        <w:t xml:space="preserve"> </w:t>
      </w:r>
      <w:r>
        <w:t xml:space="preserve">Iron Age</w:t>
      </w:r>
      <w:r>
        <w:t xml:space="preserve"> </w:t>
      </w:r>
      <w:r>
        <w:t xml:space="preserve">and</w:t>
      </w:r>
      <w:r>
        <w:t xml:space="preserve"> </w:t>
      </w:r>
      <w:r>
        <w:t xml:space="preserve">Roman Southern Spain</w:t>
      </w:r>
      <w:r>
        <w:t xml:space="preserve"> </w:t>
      </w:r>
      <w:r>
        <w:t xml:space="preserve">with exponential random graph models for visibility networks. Journal of Archaeological Method and Theory 22, 58–143.</w:t>
      </w:r>
    </w:p>
    <w:bookmarkEnd w:id="52"/>
    <w:bookmarkStart w:id="53" w:name="ref-Brughmans2014"/>
    <w:p>
      <w:pPr>
        <w:pStyle w:val="Bibliography"/>
      </w:pPr>
      <w:r>
        <w:t xml:space="preserve">Brughmans, T., Keay, S., Earl, G., 2014. Introducing exponential random graph models for visibility networks. Journal of Archaeological Science 49, 442–454.</w:t>
      </w:r>
    </w:p>
    <w:bookmarkEnd w:id="53"/>
    <w:bookmarkStart w:id="54" w:name="ref-Brughmans2018"/>
    <w:p>
      <w:pPr>
        <w:pStyle w:val="Bibliography"/>
      </w:pPr>
      <w:r>
        <w:t xml:space="preserve">Brughmans, T., Peeples, M.A., 2018. Network science, in: Varela, S.L., Thomas, J. (Eds.), The Encyclopedia of Archaeological Sciences. John Wiley &amp; Sons, pp. 1–4.</w:t>
      </w:r>
    </w:p>
    <w:bookmarkEnd w:id="54"/>
    <w:bookmarkStart w:id="55"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5"/>
    <w:bookmarkStart w:id="56"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6"/>
    <w:bookmarkStart w:id="57"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7"/>
    <w:bookmarkStart w:id="58" w:name="ref-Caimo2013"/>
    <w:p>
      <w:pPr>
        <w:pStyle w:val="Bibliography"/>
      </w:pPr>
      <w:r>
        <w:t xml:space="preserve">Caimo, A., Friel, N., 2013. Bayesian model selection for exponential random graph models. Social Networks 35, 11–24.</w:t>
      </w:r>
    </w:p>
    <w:bookmarkEnd w:id="58"/>
    <w:bookmarkStart w:id="59" w:name="ref-Caimo2011"/>
    <w:p>
      <w:pPr>
        <w:pStyle w:val="Bibliography"/>
      </w:pPr>
      <w:r>
        <w:t xml:space="preserve">Caimo, A., Friel, N., 2011. Bayesian inference for exponential random graph models. Social Networks 33, 41–55.</w:t>
      </w:r>
    </w:p>
    <w:bookmarkEnd w:id="59"/>
    <w:bookmarkStart w:id="60" w:name="ref-Caimo2017bayesian"/>
    <w:p>
      <w:pPr>
        <w:pStyle w:val="Bibliography"/>
      </w:pPr>
      <w:r>
        <w:t xml:space="preserve">Caimo, A., Gollini, I., 2017. Bayesian computational algorithms for social network analysis, in: Dehmer, S., M. (Ed.), Computational Network Analysis with r: Applications in Biology, Medicine and Chemistry. Wiley Online Library, pp. 63–82.</w:t>
      </w:r>
    </w:p>
    <w:bookmarkEnd w:id="60"/>
    <w:bookmarkStart w:id="61"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61"/>
    <w:bookmarkStart w:id="62" w:name="ref-Caimo2017"/>
    <w:p>
      <w:pPr>
        <w:pStyle w:val="Bibliography"/>
      </w:pPr>
      <w:r>
        <w:t xml:space="preserve">Caimo, A., Pallotti, F., Lomi, A., 2017. Bayesian exponential random graph modelling of interhospital patient referral networks. Statistics in medicine 36, 2902–2920.</w:t>
      </w:r>
    </w:p>
    <w:bookmarkEnd w:id="62"/>
    <w:bookmarkStart w:id="63"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3"/>
    <w:bookmarkStart w:id="64" w:name="ref-Cegielski2020"/>
    <w:p>
      <w:pPr>
        <w:pStyle w:val="Bibliography"/>
      </w:pPr>
      <w:r>
        <w:t xml:space="preserve">Cegielski, W.H., 2020. Toward a theory of social stability: Investigating relationships among the</w:t>
      </w:r>
      <w:r>
        <w:t xml:space="preserve"> </w:t>
      </w:r>
      <w:r>
        <w:t xml:space="preserve">Valencian Bronze Age</w:t>
      </w:r>
      <w:r>
        <w:t xml:space="preserve"> </w:t>
      </w:r>
      <w:r>
        <w:t xml:space="preserve">peoples of</w:t>
      </w:r>
      <w:r>
        <w:t xml:space="preserve"> </w:t>
      </w:r>
      <w:r>
        <w:t xml:space="preserve">Mediterranean Iberia</w:t>
      </w:r>
      <w:r>
        <w:t xml:space="preserve"> </w:t>
      </w:r>
      <w:r>
        <w:t xml:space="preserve">(PhD thesis). Arizona State University.</w:t>
      </w:r>
    </w:p>
    <w:bookmarkEnd w:id="64"/>
    <w:bookmarkStart w:id="65" w:name="ref-Chapman2003"/>
    <w:p>
      <w:pPr>
        <w:pStyle w:val="Bibliography"/>
      </w:pPr>
      <w:r>
        <w:t xml:space="preserve">Chapman, R., 2003. Death, society and archaeology: The social dimensions of mortuary practices. Mortality 8, 305–312.</w:t>
      </w:r>
    </w:p>
    <w:bookmarkEnd w:id="65"/>
    <w:bookmarkStart w:id="66"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6"/>
    <w:bookmarkStart w:id="67"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7"/>
    <w:bookmarkStart w:id="68" w:name="ref-Chen2019"/>
    <w:p>
      <w:pPr>
        <w:pStyle w:val="Bibliography"/>
      </w:pPr>
      <w:r>
        <w:t xml:space="preserve">Chen, Y., Gel, Y.R., Lyubchich, V., Nezafati, K., 2019. Snowboot: Bootstrap methods for network inference. arXiv preprint arXiv:1902.09029.</w:t>
      </w:r>
    </w:p>
    <w:bookmarkEnd w:id="68"/>
    <w:bookmarkStart w:id="69"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 National Tsing Hua University.</w:t>
      </w:r>
    </w:p>
    <w:bookmarkEnd w:id="69"/>
    <w:bookmarkStart w:id="70" w:name="ref-Cheng2017"/>
    <w:p>
      <w:pPr>
        <w:pStyle w:val="Bibliography"/>
      </w:pPr>
      <w:r>
        <w:t xml:space="preserve">Cheng, W., 2017. Emergence of deerskin exports from</w:t>
      </w:r>
      <w:r>
        <w:t xml:space="preserve"> </w:t>
      </w:r>
      <w:r>
        <w:t xml:space="preserve">Taiwan</w:t>
      </w:r>
      <w:r>
        <w:t xml:space="preserve"> </w:t>
      </w:r>
      <w:r>
        <w:t xml:space="preserve">under</w:t>
      </w:r>
      <w:r>
        <w:t xml:space="preserve"> </w:t>
      </w:r>
      <w:r>
        <w:t xml:space="preserve">V</w:t>
      </w:r>
      <w:r>
        <w:t xml:space="preserve">O</w:t>
      </w:r>
      <w:r>
        <w:t xml:space="preserve">C</w:t>
      </w:r>
      <w:r>
        <w:t xml:space="preserve"> </w:t>
      </w:r>
      <w:r>
        <w:t xml:space="preserve">(1624-1642). Taiwan Historical Research 24, 1–48.</w:t>
      </w:r>
    </w:p>
    <w:bookmarkEnd w:id="70"/>
    <w:bookmarkStart w:id="71"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71"/>
    <w:bookmarkStart w:id="72" w:name="ref-Collar2015"/>
    <w:p>
      <w:pPr>
        <w:pStyle w:val="Bibliography"/>
      </w:pPr>
      <w:r>
        <w:t xml:space="preserve">Collar, A., Coward, F., Brughmans, T., Mills, B.J., 2015. Networks in archaeology: Phenomena, abstraction, representation. Journal of Archaeological Method and Theory 22, 1–32.</w:t>
      </w:r>
    </w:p>
    <w:bookmarkEnd w:id="72"/>
    <w:bookmarkStart w:id="73"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73"/>
    <w:bookmarkStart w:id="74"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74"/>
    <w:bookmarkStart w:id="75" w:name="ref-Curet1998"/>
    <w:p>
      <w:pPr>
        <w:pStyle w:val="Bibliography"/>
      </w:pPr>
      <w:r>
        <w:t xml:space="preserve">Curet, L.A., Oliver, J.R., 1998. Mortuary practices, social development, and ideology in</w:t>
      </w:r>
      <w:r>
        <w:t xml:space="preserve"> </w:t>
      </w:r>
      <w:r>
        <w:t xml:space="preserve">Precolumbian Puerto Rico</w:t>
      </w:r>
      <w:r>
        <w:t xml:space="preserve">. Latin American Antiquity 217–239.</w:t>
      </w:r>
    </w:p>
    <w:bookmarkEnd w:id="75"/>
    <w:bookmarkStart w:id="76"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76"/>
    <w:bookmarkStart w:id="77"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77"/>
    <w:bookmarkStart w:id="78"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8"/>
    <w:bookmarkStart w:id="79"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9"/>
    <w:bookmarkStart w:id="80"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80"/>
    <w:bookmarkStart w:id="81" w:name="ref-Freeman2004"/>
    <w:p>
      <w:pPr>
        <w:pStyle w:val="Bibliography"/>
      </w:pPr>
      <w:r>
        <w:t xml:space="preserve">Freeman, L., 2004. The development of social network analysis:</w:t>
      </w:r>
      <w:r>
        <w:t xml:space="preserve"> </w:t>
      </w:r>
      <w:r>
        <w:t xml:space="preserve">A</w:t>
      </w:r>
      <w:r>
        <w:t xml:space="preserve"> </w:t>
      </w:r>
      <w:r>
        <w:t xml:space="preserve">study in the sociology of science. Empirical Press, Vancouver,</w:t>
      </w:r>
      <w:r>
        <w:t xml:space="preserve"> </w:t>
      </w:r>
      <w:r>
        <w:t xml:space="preserve">BC</w:t>
      </w:r>
      <w:r>
        <w:t xml:space="preserve">.</w:t>
      </w:r>
    </w:p>
    <w:bookmarkEnd w:id="81"/>
    <w:bookmarkStart w:id="82" w:name="ref-Gamble2002"/>
    <w:p>
      <w:pPr>
        <w:pStyle w:val="Bibliography"/>
      </w:pPr>
      <w:r>
        <w:t xml:space="preserve">Gamble, L.H., Zepeda, I.C., 2002. Social differentiation and exchange among the</w:t>
      </w:r>
      <w:r>
        <w:t xml:space="preserve"> </w:t>
      </w:r>
      <w:r>
        <w:t xml:space="preserve">Kumeyaay Indians</w:t>
      </w:r>
      <w:r>
        <w:t xml:space="preserve"> </w:t>
      </w:r>
      <w:r>
        <w:t xml:space="preserve">during the historic period in</w:t>
      </w:r>
      <w:r>
        <w:t xml:space="preserve"> </w:t>
      </w:r>
      <w:r>
        <w:t xml:space="preserve">California</w:t>
      </w:r>
      <w:r>
        <w:t xml:space="preserve">. Historical Archaeology 71–91.</w:t>
      </w:r>
    </w:p>
    <w:bookmarkEnd w:id="82"/>
    <w:bookmarkStart w:id="83" w:name="ref-Ghafouri2020"/>
    <w:p>
      <w:pPr>
        <w:pStyle w:val="Bibliography"/>
      </w:pPr>
      <w:r>
        <w:t xml:space="preserve">Ghafouri, S., Khasteh, S.H., 2020. A survey on exponential random graph models: An application perspective. PeerJ Computer Science 6, e269.</w:t>
      </w:r>
    </w:p>
    <w:bookmarkEnd w:id="83"/>
    <w:bookmarkStart w:id="84" w:name="ref-Gill2014"/>
    <w:p>
      <w:pPr>
        <w:pStyle w:val="Bibliography"/>
      </w:pPr>
      <w:r>
        <w:t xml:space="preserve">Gill, J., 2014. Bayesian methods: A social and behavioral sciences approach. Chapman; Hall, CRC press.</w:t>
      </w:r>
    </w:p>
    <w:bookmarkEnd w:id="84"/>
    <w:bookmarkStart w:id="85" w:name="ref-Gjesfjeld2013"/>
    <w:p>
      <w:pPr>
        <w:pStyle w:val="Bibliography"/>
      </w:pPr>
      <w:r>
        <w:t xml:space="preserve">Gjesfjeld, E., Phillips, S.C., 2013. Evaluating adaptive network strategies with geochemical sourcing data: A case study from the</w:t>
      </w:r>
      <w:r>
        <w:t xml:space="preserve"> </w:t>
      </w:r>
      <w:r>
        <w:t xml:space="preserve">Kuril Islands</w:t>
      </w:r>
      <w:r>
        <w:t xml:space="preserve">, in: Knappett, C. (Ed.), Network Analysis in Archaeology: New Approaches to Regional Interaction. Oxford University Press, pp. 281–305.</w:t>
      </w:r>
    </w:p>
    <w:bookmarkEnd w:id="85"/>
    <w:bookmarkStart w:id="86"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86"/>
    <w:bookmarkStart w:id="87" w:name="ref-Harris2013"/>
    <w:p>
      <w:pPr>
        <w:pStyle w:val="Bibliography"/>
      </w:pPr>
      <w:r>
        <w:t xml:space="preserve">Harris, J.K., 2013. An introduction to exponential random graph modeling. Sage Publications.</w:t>
      </w:r>
    </w:p>
    <w:bookmarkEnd w:id="87"/>
    <w:bookmarkStart w:id="88" w:name="ref-Hodder1980"/>
    <w:p>
      <w:pPr>
        <w:pStyle w:val="Bibliography"/>
      </w:pPr>
      <w:r>
        <w:t xml:space="preserve">Hodder, I., 1980. Social structure and cemeteries: A critical appraisal, in: Rahtz, P., Dickinson, T., Watts, L. (Eds.), Anglo-Saxon Cemeteries. Oxford: British Archaeological Reports 82, pp. 6–29.</w:t>
      </w:r>
    </w:p>
    <w:bookmarkEnd w:id="88"/>
    <w:bookmarkStart w:id="89"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 in: Hsu, M.-C., Li, S.-Y. (Eds.), Exploring Kiwulan: The Ninth Academic Conference of Yilan Study. Lan-Yan Museum, The Institute of Yilan County History, pp. 527–556.</w:t>
      </w:r>
    </w:p>
    <w:bookmarkEnd w:id="89"/>
    <w:bookmarkStart w:id="90"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 National</w:t>
      </w:r>
      <w:r>
        <w:t xml:space="preserve"> </w:t>
      </w:r>
      <w:r>
        <w:t xml:space="preserve">Taiwan</w:t>
      </w:r>
      <w:r>
        <w:t xml:space="preserve"> </w:t>
      </w:r>
      <w:r>
        <w:t xml:space="preserve">University.</w:t>
      </w:r>
    </w:p>
    <w:bookmarkEnd w:id="90"/>
    <w:bookmarkStart w:id="91" w:name="ref-Janes2013"/>
    <w:p>
      <w:pPr>
        <w:pStyle w:val="Bibliography"/>
      </w:pPr>
      <w:r>
        <w:t xml:space="preserve">Janes, S., 2013. Death and burial in the</w:t>
      </w:r>
      <w:r>
        <w:t xml:space="preserve"> </w:t>
      </w:r>
      <w:r>
        <w:t xml:space="preserve">Age</w:t>
      </w:r>
      <w:r>
        <w:t xml:space="preserve"> </w:t>
      </w:r>
      <w:r>
        <w:t xml:space="preserve">of the</w:t>
      </w:r>
      <w:r>
        <w:t xml:space="preserve"> </w:t>
      </w:r>
      <w:r>
        <w:t xml:space="preserve">Cypriot City</w:t>
      </w:r>
      <w:r>
        <w:t xml:space="preserve">-</w:t>
      </w:r>
      <w:r>
        <w:t xml:space="preserve">Kingdoms</w:t>
      </w:r>
      <w:r>
        <w:t xml:space="preserve">: Social complexity based on the mortuary evidence. Bulletin of the American Schools of Oriental Research 145–168.</w:t>
      </w:r>
    </w:p>
    <w:bookmarkEnd w:id="91"/>
    <w:bookmarkStart w:id="92" w:name="ref-Jin2013"/>
    <w:p>
      <w:pPr>
        <w:pStyle w:val="Bibliography"/>
      </w:pPr>
      <w:r>
        <w:t xml:space="preserve">Jin, I.H., Yuan, Y., Liang, F., 2013. Bayesian analysis for exponential random graph models using the adaptive exchange sampler. Statistics and its interface 6, 559.</w:t>
      </w:r>
    </w:p>
    <w:bookmarkEnd w:id="92"/>
    <w:bookmarkStart w:id="93"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(6th - 8th cent. AD). Acta Archaeologica 62, 1–58.</w:t>
      </w:r>
    </w:p>
    <w:bookmarkEnd w:id="93"/>
    <w:bookmarkStart w:id="94" w:name="ref-Klehm2017"/>
    <w:p>
      <w:pPr>
        <w:pStyle w:val="Bibliography"/>
      </w:pPr>
      <w:r>
        <w:t xml:space="preserve">Klehm, C.E., 2017. Local dynamics and the emergence of social inequality in</w:t>
      </w:r>
      <w:r>
        <w:t xml:space="preserve"> </w:t>
      </w:r>
      <w:r>
        <w:t xml:space="preserve">Iron Age Botswana</w:t>
      </w:r>
      <w:r>
        <w:t xml:space="preserve">. Current Anthropology 58, 604–633.</w:t>
      </w:r>
    </w:p>
    <w:bookmarkEnd w:id="94"/>
    <w:bookmarkStart w:id="95"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95"/>
    <w:bookmarkStart w:id="96" w:name="ref-Lehmann2021"/>
    <w:p>
      <w:pPr>
        <w:pStyle w:val="Bibliography"/>
      </w:pPr>
      <w:r>
        <w:t xml:space="preserve">Lehmann, B., Henson, R., Geerligs, L., Cam-CAN, White, S., 2021. Characterising group-level brain connectivity: A framework using</w:t>
      </w:r>
      <w:r>
        <w:t xml:space="preserve"> </w:t>
      </w:r>
      <w:r>
        <w:t xml:space="preserve">Bayesian</w:t>
      </w:r>
      <w:r>
        <w:t xml:space="preserve"> </w:t>
      </w:r>
      <w:r>
        <w:t xml:space="preserve">exponential random graph models. NeuroImage 225, 117480.</w:t>
      </w:r>
    </w:p>
    <w:bookmarkEnd w:id="96"/>
    <w:bookmarkStart w:id="97"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97"/>
    <w:bookmarkStart w:id="98"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in: Stark, M.T. (Ed.), Archaeology of</w:t>
      </w:r>
      <w:r>
        <w:t xml:space="preserve"> </w:t>
      </w:r>
      <w:r>
        <w:t xml:space="preserve">Asia</w:t>
      </w:r>
      <w:r>
        <w:t xml:space="preserve">. Blackwell Publishing Ltd, pp. 149–176.</w:t>
      </w:r>
    </w:p>
    <w:bookmarkEnd w:id="98"/>
    <w:bookmarkStart w:id="99" w:name="ref-LiuPC2021"/>
    <w:p>
      <w:pPr>
        <w:pStyle w:val="Bibliography"/>
      </w:pPr>
      <w:r>
        <w:t xml:space="preserve">Liu, P., 2021. Shamanism and gender construction among the</w:t>
      </w:r>
      <w:r>
        <w:t xml:space="preserve"> </w:t>
      </w:r>
      <w:r>
        <w:t xml:space="preserve">Kavalan</w:t>
      </w:r>
      <w:r>
        <w:t xml:space="preserve"> </w:t>
      </w:r>
      <w:r>
        <w:t xml:space="preserve">of</w:t>
      </w:r>
      <w:r>
        <w:t xml:space="preserve"> </w:t>
      </w:r>
      <w:r>
        <w:t xml:space="preserve">Taiwan</w:t>
      </w:r>
      <w:r>
        <w:t xml:space="preserve">: Men and women’s illness caused by different spirits, in: Davide, T., Roche, S. (Eds.), The</w:t>
      </w:r>
      <w:r>
        <w:t xml:space="preserve"> </w:t>
      </w:r>
      <w:r>
        <w:t xml:space="preserve">Shamaness</w:t>
      </w:r>
      <w:r>
        <w:t xml:space="preserve"> </w:t>
      </w:r>
      <w:r>
        <w:t xml:space="preserve">in</w:t>
      </w:r>
      <w:r>
        <w:t xml:space="preserve"> </w:t>
      </w:r>
      <w:r>
        <w:t xml:space="preserve">Asia</w:t>
      </w:r>
      <w:r>
        <w:t xml:space="preserve">. Routledge, pp. 208–224.</w:t>
      </w:r>
    </w:p>
    <w:bookmarkEnd w:id="99"/>
    <w:bookmarkStart w:id="100"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100"/>
    <w:bookmarkStart w:id="102"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1">
        <w:r>
          <w:rPr>
            <w:rStyle w:val="Hyperlink"/>
          </w:rPr>
          <w:t xml:space="preserve">https://doi.org/10.1007/s10816-015-9272-9</w:t>
        </w:r>
      </w:hyperlink>
    </w:p>
    <w:bookmarkEnd w:id="102"/>
    <w:bookmarkStart w:id="103"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103"/>
    <w:bookmarkStart w:id="104" w:name="ref-Mills2017"/>
    <w:p>
      <w:pPr>
        <w:pStyle w:val="Bibliography"/>
      </w:pPr>
      <w:r>
        <w:t xml:space="preserve">Mills, B.J., 2017. Social network analysis in archaeology. Annual review of anthropology 46, 379–397.</w:t>
      </w:r>
    </w:p>
    <w:bookmarkEnd w:id="104"/>
    <w:bookmarkStart w:id="105" w:name="ref-Mills2013"/>
    <w:p>
      <w:pPr>
        <w:pStyle w:val="Bibliography"/>
      </w:pPr>
      <w:r>
        <w:t xml:space="preserve">Mills, B.J., Clark, J.J., Peeples, M.A., Haas, W.R., Roberts, J.M., Hill, J.B., Huntley, D.L., Borck, L., Breiger, R.L., Clauset, A., others, 2013. Transformation of social networks in the late pre-</w:t>
      </w:r>
      <w:r>
        <w:t xml:space="preserve">Hispanic</w:t>
      </w:r>
      <w:r>
        <w:t xml:space="preserve"> </w:t>
      </w:r>
      <w:r>
        <w:t xml:space="preserve">U</w:t>
      </w:r>
      <w:r>
        <w:t xml:space="preserve">S</w:t>
      </w:r>
      <w:r>
        <w:t xml:space="preserve"> </w:t>
      </w:r>
      <w:r>
        <w:t xml:space="preserve">Southwest</w:t>
      </w:r>
      <w:r>
        <w:t xml:space="preserve">. Proceedings of the National Academy of Sciences 110, 5785–5790.</w:t>
      </w:r>
    </w:p>
    <w:bookmarkEnd w:id="105"/>
    <w:bookmarkStart w:id="106" w:name="ref-Morris2008"/>
    <w:p>
      <w:pPr>
        <w:pStyle w:val="Bibliography"/>
      </w:pPr>
      <w:r>
        <w:t xml:space="preserve">Morris, M., Handcock, M.S., Hunter, D.R., 2008. Specification of exponential-family random graph models: Terms and computational aspects. Journal of statistical software 24, 1548.</w:t>
      </w:r>
    </w:p>
    <w:bookmarkEnd w:id="106"/>
    <w:bookmarkStart w:id="107" w:name="ref-Nemmers2019"/>
    <w:p>
      <w:pPr>
        <w:pStyle w:val="Bibliography"/>
      </w:pPr>
      <w:r>
        <w:t xml:space="preserve">Nemmers, T., Narayan, A., Banerjee, S., 2019. Bayesian modeling and uncertainty quantification for descriptive social networks. Statistics and its interface 12, 181.</w:t>
      </w:r>
    </w:p>
    <w:bookmarkEnd w:id="107"/>
    <w:bookmarkStart w:id="108" w:name="ref-Normand1992"/>
    <w:p>
      <w:pPr>
        <w:pStyle w:val="Bibliography"/>
      </w:pPr>
      <w:r>
        <w:t xml:space="preserve">Normand, S.-U., Tritchler, D., 1992. Parameter updating in a</w:t>
      </w:r>
      <w:r>
        <w:t xml:space="preserve"> </w:t>
      </w:r>
      <w:r>
        <w:t xml:space="preserve">Bayes</w:t>
      </w:r>
      <w:r>
        <w:t xml:space="preserve"> </w:t>
      </w:r>
      <w:r>
        <w:t xml:space="preserve">network. Journal of the American Statistical Association 87, 1109–1115.</w:t>
      </w:r>
    </w:p>
    <w:bookmarkEnd w:id="108"/>
    <w:bookmarkStart w:id="109"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109"/>
    <w:bookmarkStart w:id="110" w:name="ref-Pearson1982"/>
    <w:p>
      <w:pPr>
        <w:pStyle w:val="Bibliography"/>
      </w:pPr>
      <w:r>
        <w:t xml:space="preserve">Pearson, P., 1982. Mortuary practices, society and ideology: An ethnoarchaeological study, in: Hodder, I. (Ed.), Symbolic and Structural Archaeology. Cambridge University Press, pp. 99–114.</w:t>
      </w:r>
    </w:p>
    <w:bookmarkEnd w:id="110"/>
    <w:bookmarkStart w:id="111" w:name="ref-Peeples2019"/>
    <w:p>
      <w:pPr>
        <w:pStyle w:val="Bibliography"/>
      </w:pPr>
      <w:r>
        <w:t xml:space="preserve">Peeples, M.A., 2019. Finding a place for networks in archaeology. Journal of Archaeological Research 27, 451–499.</w:t>
      </w:r>
    </w:p>
    <w:bookmarkEnd w:id="111"/>
    <w:bookmarkStart w:id="112" w:name="ref-Rlanguage2019"/>
    <w:p>
      <w:pPr>
        <w:pStyle w:val="Bibliography"/>
      </w:pPr>
      <w:r>
        <w:t xml:space="preserve">R Core Team, 2019. R: A language and environment for statistical computing. R Foundation for Statistical Computing, Vienna, Austria.</w:t>
      </w:r>
    </w:p>
    <w:bookmarkEnd w:id="112"/>
    <w:bookmarkStart w:id="114" w:name="ref-Rroberts2021"/>
    <w:p>
      <w:pPr>
        <w:pStyle w:val="Bibliography"/>
      </w:pPr>
      <w:r>
        <w:t xml:space="preserve">Roberts, J.M., Yin, Y., Dorshorst, E., Peeples, M.A., Mills, B.J., 2021. Assessing the performance of the bootstrap in simulated assemblage networks. Social Networks 65, 98–109. https://doi.org/</w:t>
      </w:r>
      <w:hyperlink r:id="rId113">
        <w:r>
          <w:rPr>
            <w:rStyle w:val="Hyperlink"/>
          </w:rPr>
          <w:t xml:space="preserve">https://doi.org/10.1016/j.socnet.2020.11.005</w:t>
        </w:r>
      </w:hyperlink>
    </w:p>
    <w:bookmarkEnd w:id="114"/>
    <w:bookmarkStart w:id="115" w:name="ref-Robins2007"/>
    <w:p>
      <w:pPr>
        <w:pStyle w:val="Bibliography"/>
      </w:pPr>
      <w:r>
        <w:t xml:space="preserve">Robins, G., Pattison, P., Kalish, Y., Lusher, D., 2007. An introduction to exponential random graph (p*) models for social networks. Social networks 29, 173–191.</w:t>
      </w:r>
    </w:p>
    <w:bookmarkEnd w:id="115"/>
    <w:bookmarkStart w:id="116" w:name="ref-Salvini2010"/>
    <w:p>
      <w:pPr>
        <w:pStyle w:val="Bibliography"/>
      </w:pPr>
      <w:r>
        <w:t xml:space="preserve">Salvini, A., 2010. Symbolic interactionism and social network analysis: An uncertain encounter. Symbolic Interaction 33, 364–388.</w:t>
      </w:r>
    </w:p>
    <w:bookmarkEnd w:id="116"/>
    <w:bookmarkStart w:id="117" w:name="ref-Saxe1970"/>
    <w:p>
      <w:pPr>
        <w:pStyle w:val="Bibliography"/>
      </w:pPr>
      <w:r>
        <w:t xml:space="preserve">Saxe, A., 1970. Social dimensions of mortuary practices (PhD thesis). University of Michigan.</w:t>
      </w:r>
    </w:p>
    <w:bookmarkEnd w:id="117"/>
    <w:bookmarkStart w:id="118" w:name="ref-Schweinberger2011"/>
    <w:p>
      <w:pPr>
        <w:pStyle w:val="Bibliography"/>
      </w:pPr>
      <w:r>
        <w:t xml:space="preserve">Schweinberger, M., 2011. Instability, sensitivity, and degeneracy of discrete exponential families. Journal of the American Statistical Association 106, 1361–1370.</w:t>
      </w:r>
    </w:p>
    <w:bookmarkEnd w:id="118"/>
    <w:bookmarkStart w:id="119"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19"/>
    <w:bookmarkStart w:id="120"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10, 209–238.</w:t>
      </w:r>
    </w:p>
    <w:bookmarkEnd w:id="120"/>
    <w:bookmarkStart w:id="121"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70, 55–74.</w:t>
      </w:r>
    </w:p>
    <w:bookmarkEnd w:id="121"/>
    <w:bookmarkStart w:id="122" w:name="ref-Snijders2011"/>
    <w:p>
      <w:pPr>
        <w:pStyle w:val="Bibliography"/>
      </w:pPr>
      <w:r>
        <w:t xml:space="preserve">Snijders, T.A., 2011. Statistical models for social networks. Annual Review of Sociology 37, 131–153.</w:t>
      </w:r>
    </w:p>
    <w:bookmarkEnd w:id="122"/>
    <w:bookmarkStart w:id="123" w:name="ref-Snijders1999"/>
    <w:p>
      <w:pPr>
        <w:pStyle w:val="Bibliography"/>
      </w:pPr>
      <w:r>
        <w:t xml:space="preserve">Snijders, T.A., Borgatti, S.P., 1999. Non-parametric standard errors and tests for network statistics. Connections 22, 161–170.</w:t>
      </w:r>
    </w:p>
    <w:bookmarkEnd w:id="123"/>
    <w:bookmarkStart w:id="124" w:name="ref-Snijders2006"/>
    <w:p>
      <w:pPr>
        <w:pStyle w:val="Bibliography"/>
      </w:pPr>
      <w:r>
        <w:t xml:space="preserve">Snijders, T.A., Pattison, P.E., Robins, G.L., Handcock, M.S., 2006. New specifications for exponential random graph models. Sociological methodology 36, 99–153.</w:t>
      </w:r>
    </w:p>
    <w:bookmarkEnd w:id="124"/>
    <w:bookmarkStart w:id="125" w:name="ref-Sosna2013"/>
    <w:p>
      <w:pPr>
        <w:pStyle w:val="Bibliography"/>
      </w:pPr>
      <w:r>
        <w:t xml:space="preserve">Sosna, D., Galeta, P., Šmejda, L., Sladek, V., Bruzek, J., 2013. Burials and graphs: Relational approach to mortuary analysis. Social Science Computer Review 31, 56–70.</w:t>
      </w:r>
    </w:p>
    <w:bookmarkEnd w:id="125"/>
    <w:bookmarkStart w:id="126" w:name="ref-Trabert2017"/>
    <w:p>
      <w:pPr>
        <w:pStyle w:val="Bibliography"/>
      </w:pPr>
      <w:r>
        <w:t xml:space="preserve">Trabert, S., 2017. Considering the indirect effects of colonialism: Example from a</w:t>
      </w:r>
      <w:r>
        <w:t xml:space="preserve"> </w:t>
      </w:r>
      <w:r>
        <w:t xml:space="preserve">Great Plains</w:t>
      </w:r>
      <w:r>
        <w:t xml:space="preserve"> </w:t>
      </w:r>
      <w:r>
        <w:t xml:space="preserve">middle ground. Journal of Anthropological Archaeology 48, 17–27.</w:t>
      </w:r>
    </w:p>
    <w:bookmarkEnd w:id="126"/>
    <w:bookmarkStart w:id="127"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55, 89–119.</w:t>
      </w:r>
    </w:p>
    <w:bookmarkEnd w:id="127"/>
    <w:bookmarkStart w:id="128"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28"/>
    <w:bookmarkStart w:id="129"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 National</w:t>
      </w:r>
      <w:r>
        <w:t xml:space="preserve"> </w:t>
      </w:r>
      <w:r>
        <w:t xml:space="preserve">Taiwan</w:t>
      </w:r>
      <w:r>
        <w:t xml:space="preserve"> </w:t>
      </w:r>
      <w:r>
        <w:t xml:space="preserve">University.</w:t>
      </w:r>
    </w:p>
    <w:bookmarkEnd w:id="129"/>
    <w:bookmarkStart w:id="130" w:name="ref-LWandBM2020ornament"/>
    <w:p>
      <w:pPr>
        <w:pStyle w:val="Bibliography"/>
      </w:pPr>
      <w:r>
        <w:t xml:space="preserve">Wang, L.-Y., Marwick, B., 2020a. Trade ornaments as indicators of social changes resulting from indirect effects of colonialism in northeastern</w:t>
      </w:r>
      <w:r>
        <w:t xml:space="preserve"> </w:t>
      </w:r>
      <w:r>
        <w:t xml:space="preserve">Taiwan</w:t>
      </w:r>
      <w:r>
        <w:t xml:space="preserve">. Archaeological Research in Asia 24.</w:t>
      </w:r>
    </w:p>
    <w:bookmarkEnd w:id="130"/>
    <w:bookmarkStart w:id="131" w:name="ref-LWandBM2020pot"/>
    <w:p>
      <w:pPr>
        <w:pStyle w:val="Bibliography"/>
      </w:pPr>
      <w:r>
        <w:t xml:space="preserve">Wang, L.-Y., Marwick, B., 2020b. Standardization of ceramic shape: A case study of</w:t>
      </w:r>
      <w:r>
        <w:t xml:space="preserve"> </w:t>
      </w:r>
      <w:r>
        <w:t xml:space="preserve">Iron Age</w:t>
      </w:r>
      <w:r>
        <w:t xml:space="preserve"> </w:t>
      </w:r>
      <w:r>
        <w:t xml:space="preserve">pottery from northeastern</w:t>
      </w:r>
      <w:r>
        <w:t xml:space="preserve"> </w:t>
      </w:r>
      <w:r>
        <w:t xml:space="preserve">Taiwan</w:t>
      </w:r>
      <w:r>
        <w:t xml:space="preserve">. Journal of Archaeological Science: Reports 33.</w:t>
      </w:r>
    </w:p>
    <w:bookmarkEnd w:id="131"/>
    <w:bookmarkEnd w:id="132"/>
    <w:bookmarkStart w:id="133" w:name="pagebreak-1"/>
    <w:p>
      <w:pPr>
        <w:pStyle w:val="Heading5"/>
      </w:pPr>
      <w:r>
        <w:rPr>
          <w:rStyle w:val="SectionNumber"/>
        </w:rPr>
        <w:t xml:space="preserve">0.0.0.0.2</w:t>
      </w:r>
      <w:r>
        <w:tab/>
      </w:r>
      <w:r>
        <w:t xml:space="preserve">pagebreak</w:t>
      </w:r>
    </w:p>
    <w:bookmarkEnd w:id="133"/>
    <w:bookmarkStart w:id="134" w:name="colophon"/>
    <w:p>
      <w:pPr>
        <w:pStyle w:val="Heading3"/>
      </w:pPr>
      <w:r>
        <w:rPr>
          <w:rStyle w:val="SectionNumber"/>
        </w:rPr>
        <w:t xml:space="preserve">0.0.1</w:t>
      </w:r>
      <w:r>
        <w:tab/>
      </w:r>
      <w:r>
        <w:t xml:space="preserve">Colophon</w:t>
      </w:r>
    </w:p>
    <w:p>
      <w:pPr>
        <w:pStyle w:val="FirstParagraph"/>
      </w:pPr>
      <w:r>
        <w:t xml:space="preserve">This report was generated on 2021-08-24 10:02:22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2021-08-24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Bergm          * 5.0.2      2020-11-12 [?]</w:t>
      </w:r>
      <w:r>
        <w:br/>
      </w:r>
      <w:r>
        <w:rPr>
          <w:rStyle w:val="VerbatimChar"/>
        </w:rPr>
        <w:t xml:space="preserve">#&gt;  P bitops           1.0-6      2013-08-17 [?]</w:t>
      </w:r>
      <w:r>
        <w:br/>
      </w:r>
      <w:r>
        <w:rPr>
          <w:rStyle w:val="VerbatimChar"/>
        </w:rPr>
        <w:t xml:space="preserve">#&gt;  P bookdown         0.21       2020-10-13 [?]</w:t>
      </w:r>
      <w:r>
        <w:br/>
      </w:r>
      <w:r>
        <w:rPr>
          <w:rStyle w:val="VerbatimChar"/>
        </w:rPr>
        <w:t xml:space="preserve">#&gt;  P broom            0.7.3      2020-12-16 [?]</w:t>
      </w:r>
      <w:r>
        <w:br/>
      </w:r>
      <w:r>
        <w:rPr>
          <w:rStyle w:val="VerbatimChar"/>
        </w:rPr>
        <w:t xml:space="preserve">#&gt;  P callr            3.5.1      2020-10-13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class            7.3-17     2020-04-26 [?]</w:t>
      </w:r>
      <w:r>
        <w:br/>
      </w:r>
      <w:r>
        <w:rPr>
          <w:rStyle w:val="VerbatimChar"/>
        </w:rPr>
        <w:t xml:space="preserve">#&gt;  P classInt         0.4-3      2020-04-07 [?]</w:t>
      </w:r>
      <w:r>
        <w:br/>
      </w:r>
      <w:r>
        <w:rPr>
          <w:rStyle w:val="VerbatimChar"/>
        </w:rPr>
        <w:t xml:space="preserve">#&gt;  P cli              2.2.0      2020-11-20 [?]</w:t>
      </w:r>
      <w:r>
        <w:br/>
      </w:r>
      <w:r>
        <w:rPr>
          <w:rStyle w:val="VerbatimChar"/>
        </w:rPr>
        <w:t xml:space="preserve">#&gt;  P coda             0.19-4     2020-09-30 [?]</w:t>
      </w:r>
      <w:r>
        <w:br/>
      </w:r>
      <w:r>
        <w:rPr>
          <w:rStyle w:val="VerbatimChar"/>
        </w:rPr>
        <w:t xml:space="preserve">#&gt;  P codetools        0.2-18     2020-11-04 [3]</w:t>
      </w:r>
      <w:r>
        <w:br/>
      </w:r>
      <w:r>
        <w:rPr>
          <w:rStyle w:val="VerbatimChar"/>
        </w:rPr>
        <w:t xml:space="preserve">#&gt;  P colorspace       2.0-0      2020-11-11 [?]</w:t>
      </w:r>
      <w:r>
        <w:br/>
      </w:r>
      <w:r>
        <w:rPr>
          <w:rStyle w:val="VerbatimChar"/>
        </w:rPr>
        <w:t xml:space="preserve">#&gt;  P conquer          1.0.2      2020-08-27 [?]</w:t>
      </w:r>
      <w:r>
        <w:br/>
      </w:r>
      <w:r>
        <w:rPr>
          <w:rStyle w:val="VerbatimChar"/>
        </w:rPr>
        <w:t xml:space="preserve">#&gt;  P cowplot        * 1.1.0      2020-09-08 [?]</w:t>
      </w:r>
      <w:r>
        <w:br/>
      </w:r>
      <w:r>
        <w:rPr>
          <w:rStyle w:val="VerbatimChar"/>
        </w:rPr>
        <w:t xml:space="preserve">#&gt;  P crayon           1.3.4      2017-09-16 [?]</w:t>
      </w:r>
      <w:r>
        <w:br/>
      </w:r>
      <w:r>
        <w:rPr>
          <w:rStyle w:val="VerbatimChar"/>
        </w:rPr>
        <w:t xml:space="preserve">#&gt;  P data.table       1.13.6     2020-12-30 [?]</w:t>
      </w:r>
      <w:r>
        <w:br/>
      </w:r>
      <w:r>
        <w:rPr>
          <w:rStyle w:val="VerbatimChar"/>
        </w:rPr>
        <w:t xml:space="preserve">#&gt;  P DBI              1.1.0      2019-12-15 [?]</w:t>
      </w:r>
      <w:r>
        <w:br/>
      </w:r>
      <w:r>
        <w:rPr>
          <w:rStyle w:val="VerbatimChar"/>
        </w:rPr>
        <w:t xml:space="preserve">#&gt;  P dbplyr           2.0.0      2020-11-03 [?]</w:t>
      </w:r>
      <w:r>
        <w:br/>
      </w:r>
      <w:r>
        <w:rPr>
          <w:rStyle w:val="VerbatimChar"/>
        </w:rPr>
        <w:t xml:space="preserve">#&gt;  P DEoptimR         1.0-8      2016-11-19 [?]</w:t>
      </w:r>
      <w:r>
        <w:br/>
      </w:r>
      <w:r>
        <w:rPr>
          <w:rStyle w:val="VerbatimChar"/>
        </w:rPr>
        <w:t xml:space="preserve">#&gt;  P desc             1.2.0      2018-05-01 [?]</w:t>
      </w:r>
      <w:r>
        <w:br/>
      </w:r>
      <w:r>
        <w:rPr>
          <w:rStyle w:val="VerbatimChar"/>
        </w:rPr>
        <w:t xml:space="preserve">#&gt;  P devtools         2.3.2      2020-09-18 [?]</w:t>
      </w:r>
      <w:r>
        <w:br/>
      </w:r>
      <w:r>
        <w:rPr>
          <w:rStyle w:val="VerbatimChar"/>
        </w:rPr>
        <w:t xml:space="preserve">#&gt;  P digest           0.6.27     2020-10-24 [?]</w:t>
      </w:r>
      <w:r>
        <w:br/>
      </w:r>
      <w:r>
        <w:rPr>
          <w:rStyle w:val="VerbatimChar"/>
        </w:rPr>
        <w:t xml:space="preserve">#&gt;  P dotCall64        1.0-0      2018-07-30 [?]</w:t>
      </w:r>
      <w:r>
        <w:br/>
      </w:r>
      <w:r>
        <w:rPr>
          <w:rStyle w:val="VerbatimChar"/>
        </w:rPr>
        <w:t xml:space="preserve">#&gt;  P dplyr          * 1.0.3      2021-01-15 [?]</w:t>
      </w:r>
      <w:r>
        <w:br/>
      </w:r>
      <w:r>
        <w:rPr>
          <w:rStyle w:val="VerbatimChar"/>
        </w:rPr>
        <w:t xml:space="preserve">#&gt;  P e1071            1.7-4      2020-10-14 [?]</w:t>
      </w:r>
      <w:r>
        <w:br/>
      </w:r>
      <w:r>
        <w:rPr>
          <w:rStyle w:val="VerbatimChar"/>
        </w:rPr>
        <w:t xml:space="preserve">#&gt;  P ellipsis         0.3.1      2020-05-15 [?]</w:t>
      </w:r>
      <w:r>
        <w:br/>
      </w:r>
      <w:r>
        <w:rPr>
          <w:rStyle w:val="VerbatimChar"/>
        </w:rPr>
        <w:t xml:space="preserve">#&gt;  P ergm           * 3.11.0     2020-10-14 [?]</w:t>
      </w:r>
      <w:r>
        <w:br/>
      </w:r>
      <w:r>
        <w:rPr>
          <w:rStyle w:val="VerbatimChar"/>
        </w:rPr>
        <w:t xml:space="preserve">#&gt;  P ergm.count     * 3.4.0      2019-05-15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2.0.3      2020-01-16 [?]</w:t>
      </w:r>
      <w:r>
        <w:br/>
      </w:r>
      <w:r>
        <w:rPr>
          <w:rStyle w:val="VerbatimChar"/>
        </w:rPr>
        <w:t xml:space="preserve">#&gt;  P fields           11.6       2020-10-09 [?]</w:t>
      </w:r>
      <w:r>
        <w:br/>
      </w:r>
      <w:r>
        <w:rPr>
          <w:rStyle w:val="VerbatimChar"/>
        </w:rPr>
        <w:t xml:space="preserve">#&gt;  P flextable      * 0.6.1      2020-12-08 [?]</w:t>
      </w:r>
      <w:r>
        <w:br/>
      </w:r>
      <w:r>
        <w:rPr>
          <w:rStyle w:val="VerbatimChar"/>
        </w:rPr>
        <w:t xml:space="preserve">#&gt;  P forcats        * 0.5.0      2020-03-01 [?]</w:t>
      </w:r>
      <w:r>
        <w:br/>
      </w:r>
      <w:r>
        <w:rPr>
          <w:rStyle w:val="VerbatimChar"/>
        </w:rPr>
        <w:t xml:space="preserve">#&gt;  P foreign          0.8-80     2020-05-24 [?]</w:t>
      </w:r>
      <w:r>
        <w:br/>
      </w:r>
      <w:r>
        <w:rPr>
          <w:rStyle w:val="VerbatimChar"/>
        </w:rPr>
        <w:t xml:space="preserve">#&gt;  P fs               1.5.0      2020-07-31 [?]</w:t>
      </w:r>
      <w:r>
        <w:br/>
      </w:r>
      <w:r>
        <w:rPr>
          <w:rStyle w:val="VerbatimChar"/>
        </w:rPr>
        <w:t xml:space="preserve">#&gt;  P gbRd             0.4-11     2012-10-01 [?]</w:t>
      </w:r>
      <w:r>
        <w:br/>
      </w:r>
      <w:r>
        <w:rPr>
          <w:rStyle w:val="VerbatimChar"/>
        </w:rPr>
        <w:t xml:space="preserve">#&gt;  P gdtools          0.2.2      2020-04-03 [?]</w:t>
      </w:r>
      <w:r>
        <w:br/>
      </w:r>
      <w:r>
        <w:rPr>
          <w:rStyle w:val="VerbatimChar"/>
        </w:rPr>
        <w:t xml:space="preserve">#&gt;  P generics         0.1.0      2020-10-31 [?]</w:t>
      </w:r>
      <w:r>
        <w:br/>
      </w:r>
      <w:r>
        <w:rPr>
          <w:rStyle w:val="VerbatimChar"/>
        </w:rPr>
        <w:t xml:space="preserve">#&gt;  P ggforce          0.3.2      2020-06-23 [?]</w:t>
      </w:r>
      <w:r>
        <w:br/>
      </w:r>
      <w:r>
        <w:rPr>
          <w:rStyle w:val="VerbatimChar"/>
        </w:rPr>
        <w:t xml:space="preserve">#&gt;  P ggmap            3.0.0      2019-02-05 [?]</w:t>
      </w:r>
      <w:r>
        <w:br/>
      </w:r>
      <w:r>
        <w:rPr>
          <w:rStyle w:val="VerbatimChar"/>
        </w:rPr>
        <w:t xml:space="preserve">#&gt;  P ggplot2        * 3.3.3      2020-12-30 [?]</w:t>
      </w:r>
      <w:r>
        <w:br/>
      </w:r>
      <w:r>
        <w:rPr>
          <w:rStyle w:val="VerbatimChar"/>
        </w:rPr>
        <w:t xml:space="preserve">#&gt;  P ggpointgrid      1.0.0      2021-01-11 [?]</w:t>
      </w:r>
      <w:r>
        <w:br/>
      </w:r>
      <w:r>
        <w:rPr>
          <w:rStyle w:val="VerbatimChar"/>
        </w:rPr>
        <w:t xml:space="preserve">#&gt;  P ggraph         * 2.0.4      2020-11-16 [?]</w:t>
      </w:r>
      <w:r>
        <w:br/>
      </w:r>
      <w:r>
        <w:rPr>
          <w:rStyle w:val="VerbatimChar"/>
        </w:rPr>
        <w:t xml:space="preserve">#&gt;  P ggrepel          0.9.1.9999 2021-01-19 [?]</w:t>
      </w:r>
      <w:r>
        <w:br/>
      </w:r>
      <w:r>
        <w:rPr>
          <w:rStyle w:val="VerbatimChar"/>
        </w:rPr>
        <w:t xml:space="preserve">#&gt;  P ggridges       * 0.5.2      2020-01-12 [?]</w:t>
      </w:r>
      <w:r>
        <w:br/>
      </w:r>
      <w:r>
        <w:rPr>
          <w:rStyle w:val="VerbatimChar"/>
        </w:rPr>
        <w:t xml:space="preserve">#&gt;  P ggsn           * 0.5.0      2019-02-18 [?]</w:t>
      </w:r>
      <w:r>
        <w:br/>
      </w:r>
      <w:r>
        <w:rPr>
          <w:rStyle w:val="VerbatimChar"/>
        </w:rPr>
        <w:t xml:space="preserve">#&gt;  P glue             1.4.2      2020-08-27 [?]</w:t>
      </w:r>
      <w:r>
        <w:br/>
      </w:r>
      <w:r>
        <w:rPr>
          <w:rStyle w:val="VerbatimChar"/>
        </w:rPr>
        <w:t xml:space="preserve">#&gt;  P graphlayouts     0.7.1      2020-10-26 [?]</w:t>
      </w:r>
      <w:r>
        <w:br/>
      </w:r>
      <w:r>
        <w:rPr>
          <w:rStyle w:val="VerbatimChar"/>
        </w:rPr>
        <w:t xml:space="preserve">#&gt;  P gridExtra        2.3        2017-09-09 [?]</w:t>
      </w:r>
      <w:r>
        <w:br/>
      </w:r>
      <w:r>
        <w:rPr>
          <w:rStyle w:val="VerbatimChar"/>
        </w:rPr>
        <w:t xml:space="preserve">#&gt;  P gtable           0.3.0      2019-03-25 [?]</w:t>
      </w:r>
      <w:r>
        <w:br/>
      </w:r>
      <w:r>
        <w:rPr>
          <w:rStyle w:val="VerbatimChar"/>
        </w:rPr>
        <w:t xml:space="preserve">#&gt;  P gtools         * 3.8.2      2020-03-31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hms              1.0.0      2021-01-13 [?]</w:t>
      </w:r>
      <w:r>
        <w:br/>
      </w:r>
      <w:r>
        <w:rPr>
          <w:rStyle w:val="VerbatimChar"/>
        </w:rPr>
        <w:t xml:space="preserve">#&gt;  P htmltools        0.5.1      2021-01-12 [?]</w:t>
      </w:r>
      <w:r>
        <w:br/>
      </w:r>
      <w:r>
        <w:rPr>
          <w:rStyle w:val="VerbatimChar"/>
        </w:rPr>
        <w:t xml:space="preserve">#&gt;  P httr             1.4.2      2020-07-20 [?]</w:t>
      </w:r>
      <w:r>
        <w:br/>
      </w:r>
      <w:r>
        <w:rPr>
          <w:rStyle w:val="VerbatimChar"/>
        </w:rPr>
        <w:t xml:space="preserve">#&gt;  P igraph         * 1.2.6      2020-10-06 [?]</w:t>
      </w:r>
      <w:r>
        <w:br/>
      </w:r>
      <w:r>
        <w:rPr>
          <w:rStyle w:val="VerbatimChar"/>
        </w:rPr>
        <w:t xml:space="preserve">#&gt;  P jpeg             0.1-8.1    2019-10-24 [?]</w:t>
      </w:r>
      <w:r>
        <w:br/>
      </w:r>
      <w:r>
        <w:rPr>
          <w:rStyle w:val="VerbatimChar"/>
        </w:rPr>
        <w:t xml:space="preserve">#&gt;  P jsonlite         1.7.2      2020-12-09 [?]</w:t>
      </w:r>
      <w:r>
        <w:br/>
      </w:r>
      <w:r>
        <w:rPr>
          <w:rStyle w:val="VerbatimChar"/>
        </w:rPr>
        <w:t xml:space="preserve">#&gt;  P KernSmooth       2.23-18    2020-10-29 [?]</w:t>
      </w:r>
      <w:r>
        <w:br/>
      </w:r>
      <w:r>
        <w:rPr>
          <w:rStyle w:val="VerbatimChar"/>
        </w:rPr>
        <w:t xml:space="preserve">#&gt;  P knitr            1.30       2020-09-22 [?]</w:t>
      </w:r>
      <w:r>
        <w:br/>
      </w:r>
      <w:r>
        <w:rPr>
          <w:rStyle w:val="VerbatimChar"/>
        </w:rPr>
        <w:t xml:space="preserve">#&gt;  P labeling         0.4.2      2020-10-20 [?]</w:t>
      </w:r>
      <w:r>
        <w:br/>
      </w:r>
      <w:r>
        <w:rPr>
          <w:rStyle w:val="VerbatimChar"/>
        </w:rPr>
        <w:t xml:space="preserve">#&gt;  P lattice          0.20-41    2020-04-02 [?]</w:t>
      </w:r>
      <w:r>
        <w:br/>
      </w:r>
      <w:r>
        <w:rPr>
          <w:rStyle w:val="VerbatimChar"/>
        </w:rPr>
        <w:t xml:space="preserve">#&gt;  P lifecycle        0.2.0      2020-03-06 [?]</w:t>
      </w:r>
      <w:r>
        <w:br/>
      </w:r>
      <w:r>
        <w:rPr>
          <w:rStyle w:val="VerbatimChar"/>
        </w:rPr>
        <w:t xml:space="preserve">#&gt;  P lpSolve          5.6.15     2020-01-24 [?]</w:t>
      </w:r>
      <w:r>
        <w:br/>
      </w:r>
      <w:r>
        <w:rPr>
          <w:rStyle w:val="VerbatimChar"/>
        </w:rPr>
        <w:t xml:space="preserve">#&gt;  P lubridate        1.7.9.2    2020-11-13 [?]</w:t>
      </w:r>
      <w:r>
        <w:br/>
      </w:r>
      <w:r>
        <w:rPr>
          <w:rStyle w:val="VerbatimChar"/>
        </w:rPr>
        <w:t xml:space="preserve">#&gt;  P magrittr         2.0.1      2020-11-17 [?]</w:t>
      </w:r>
      <w:r>
        <w:br/>
      </w:r>
      <w:r>
        <w:rPr>
          <w:rStyle w:val="VerbatimChar"/>
        </w:rPr>
        <w:t xml:space="preserve">#&gt;  P maps             3.3.0      2018-04-03 [?]</w:t>
      </w:r>
      <w:r>
        <w:br/>
      </w:r>
      <w:r>
        <w:rPr>
          <w:rStyle w:val="VerbatimChar"/>
        </w:rPr>
        <w:t xml:space="preserve">#&gt;  P maptools         1.0-2      2020-08-24 [?]</w:t>
      </w:r>
      <w:r>
        <w:br/>
      </w:r>
      <w:r>
        <w:rPr>
          <w:rStyle w:val="VerbatimChar"/>
        </w:rPr>
        <w:t xml:space="preserve">#&gt;  P MASS             7.3-53     2020-09-09 [?]</w:t>
      </w:r>
      <w:r>
        <w:br/>
      </w:r>
      <w:r>
        <w:rPr>
          <w:rStyle w:val="VerbatimChar"/>
        </w:rPr>
        <w:t xml:space="preserve">#&gt;  P Matrix           1.3-2      2021-01-06 [?]</w:t>
      </w:r>
      <w:r>
        <w:br/>
      </w:r>
      <w:r>
        <w:rPr>
          <w:rStyle w:val="VerbatimChar"/>
        </w:rPr>
        <w:t xml:space="preserve">#&gt;  P matrixcalc       1.0-3      2012-09-15 [?]</w:t>
      </w:r>
      <w:r>
        <w:br/>
      </w:r>
      <w:r>
        <w:rPr>
          <w:rStyle w:val="VerbatimChar"/>
        </w:rPr>
        <w:t xml:space="preserve">#&gt;  P MatrixModels     0.4-1      2015-08-22 [?]</w:t>
      </w:r>
      <w:r>
        <w:br/>
      </w:r>
      <w:r>
        <w:rPr>
          <w:rStyle w:val="VerbatimChar"/>
        </w:rPr>
        <w:t xml:space="preserve">#&gt;  P matrixStats      0.57.0     2020-09-25 [?]</w:t>
      </w:r>
      <w:r>
        <w:br/>
      </w:r>
      <w:r>
        <w:rPr>
          <w:rStyle w:val="VerbatimChar"/>
        </w:rPr>
        <w:t xml:space="preserve">#&gt;  P mcmc             0.9-7      2020-03-21 [?]</w:t>
      </w:r>
      <w:r>
        <w:br/>
      </w:r>
      <w:r>
        <w:rPr>
          <w:rStyle w:val="VerbatimChar"/>
        </w:rPr>
        <w:t xml:space="preserve">#&gt;  P MCMCpack         1.4-9      2020-08-02 [?]</w:t>
      </w:r>
      <w:r>
        <w:br/>
      </w:r>
      <w:r>
        <w:rPr>
          <w:rStyle w:val="VerbatimChar"/>
        </w:rPr>
        <w:t xml:space="preserve">#&gt;  P memoise          1.1.0      2017-04-21 [?]</w:t>
      </w:r>
      <w:r>
        <w:br/>
      </w:r>
      <w:r>
        <w:rPr>
          <w:rStyle w:val="VerbatimChar"/>
        </w:rPr>
        <w:t xml:space="preserve">#&gt;  P mnormt           2.0.2      2020-09-01 [?]</w:t>
      </w:r>
      <w:r>
        <w:br/>
      </w:r>
      <w:r>
        <w:rPr>
          <w:rStyle w:val="VerbatimChar"/>
        </w:rPr>
        <w:t xml:space="preserve">#&gt;  P modelr           0.1.8      2020-05-19 [?]</w:t>
      </w:r>
      <w:r>
        <w:br/>
      </w:r>
      <w:r>
        <w:rPr>
          <w:rStyle w:val="VerbatimChar"/>
        </w:rPr>
        <w:t xml:space="preserve">#&gt;  P munsell          0.5.0      2018-06-12 [?]</w:t>
      </w:r>
      <w:r>
        <w:br/>
      </w:r>
      <w:r>
        <w:rPr>
          <w:rStyle w:val="VerbatimChar"/>
        </w:rPr>
        <w:t xml:space="preserve">#&gt;  P mvtnorm          1.1-1      2020-06-09 [?]</w:t>
      </w:r>
      <w:r>
        <w:br/>
      </w:r>
      <w:r>
        <w:rPr>
          <w:rStyle w:val="VerbatimChar"/>
        </w:rPr>
        <w:t xml:space="preserve">#&gt;  P network        * 1.16.1     2020-10-07 [?]</w:t>
      </w:r>
      <w:r>
        <w:br/>
      </w:r>
      <w:r>
        <w:rPr>
          <w:rStyle w:val="VerbatimChar"/>
        </w:rPr>
        <w:t xml:space="preserve">#&gt;  P networkDynamic * 0.10.1     2020-01-21 [?]</w:t>
      </w:r>
      <w:r>
        <w:br/>
      </w:r>
      <w:r>
        <w:rPr>
          <w:rStyle w:val="VerbatimChar"/>
        </w:rPr>
        <w:t xml:space="preserve">#&gt;  P nlme             3.1-151    2020-12-10 [?]</w:t>
      </w:r>
      <w:r>
        <w:br/>
      </w:r>
      <w:r>
        <w:rPr>
          <w:rStyle w:val="VerbatimChar"/>
        </w:rPr>
        <w:t xml:space="preserve">#&gt;  P officer          0.3.16     2021-01-04 [?]</w:t>
      </w:r>
      <w:r>
        <w:br/>
      </w:r>
      <w:r>
        <w:rPr>
          <w:rStyle w:val="VerbatimChar"/>
        </w:rPr>
        <w:t xml:space="preserve">#&gt;  P pillar           1.4.7      2020-11-20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1.1.0      2020-05-29 [?]</w:t>
      </w:r>
      <w:r>
        <w:br/>
      </w:r>
      <w:r>
        <w:rPr>
          <w:rStyle w:val="VerbatimChar"/>
        </w:rPr>
        <w:t xml:space="preserve">#&gt;  P plyr             1.8.6      2020-03-03 [?]</w:t>
      </w:r>
      <w:r>
        <w:br/>
      </w:r>
      <w:r>
        <w:rPr>
          <w:rStyle w:val="VerbatimChar"/>
        </w:rPr>
        <w:t xml:space="preserve">#&gt;  P png              0.1-7      2013-12-03 [?]</w:t>
      </w:r>
      <w:r>
        <w:br/>
      </w:r>
      <w:r>
        <w:rPr>
          <w:rStyle w:val="VerbatimChar"/>
        </w:rPr>
        <w:t xml:space="preserve">#&gt;  P polyclip         1.10-0     2019-03-14 [?]</w:t>
      </w:r>
      <w:r>
        <w:br/>
      </w:r>
      <w:r>
        <w:rPr>
          <w:rStyle w:val="VerbatimChar"/>
        </w:rPr>
        <w:t xml:space="preserve">#&gt;  P prettyunits      1.1.1      2020-01-24 [?]</w:t>
      </w:r>
      <w:r>
        <w:br/>
      </w:r>
      <w:r>
        <w:rPr>
          <w:rStyle w:val="VerbatimChar"/>
        </w:rPr>
        <w:t xml:space="preserve">#&gt;  P processx         3.4.5      2020-11-30 [?]</w:t>
      </w:r>
      <w:r>
        <w:br/>
      </w:r>
      <w:r>
        <w:rPr>
          <w:rStyle w:val="VerbatimChar"/>
        </w:rPr>
        <w:t xml:space="preserve">#&gt;  P ps               1.5.0      2020-12-05 [?]</w:t>
      </w:r>
      <w:r>
        <w:br/>
      </w:r>
      <w:r>
        <w:rPr>
          <w:rStyle w:val="VerbatimChar"/>
        </w:rPr>
        <w:t xml:space="preserve">#&gt;  P psych          * 2.0.12     2020-12-16 [?]</w:t>
      </w:r>
      <w:r>
        <w:br/>
      </w:r>
      <w:r>
        <w:rPr>
          <w:rStyle w:val="VerbatimChar"/>
        </w:rPr>
        <w:t xml:space="preserve">#&gt;  P purrr          * 0.3.4      2020-04-17 [?]</w:t>
      </w:r>
      <w:r>
        <w:br/>
      </w:r>
      <w:r>
        <w:rPr>
          <w:rStyle w:val="VerbatimChar"/>
        </w:rPr>
        <w:t xml:space="preserve">#&gt;  P quantreg         5.82       2021-01-10 [?]</w:t>
      </w:r>
      <w:r>
        <w:br/>
      </w:r>
      <w:r>
        <w:rPr>
          <w:rStyle w:val="VerbatimChar"/>
        </w:rPr>
        <w:t xml:space="preserve">#&gt;  P R6               2.5.0      2020-10-28 [?]</w:t>
      </w:r>
      <w:r>
        <w:br/>
      </w:r>
      <w:r>
        <w:rPr>
          <w:rStyle w:val="VerbatimChar"/>
        </w:rPr>
        <w:t xml:space="preserve">#&gt;  P rbibutils        2.0        2020-11-18 [?]</w:t>
      </w:r>
      <w:r>
        <w:br/>
      </w:r>
      <w:r>
        <w:rPr>
          <w:rStyle w:val="VerbatimChar"/>
        </w:rPr>
        <w:t xml:space="preserve">#&gt;  P Rcpp             1.0.6      2021-01-15 [?]</w:t>
      </w:r>
      <w:r>
        <w:br/>
      </w:r>
      <w:r>
        <w:rPr>
          <w:rStyle w:val="VerbatimChar"/>
        </w:rPr>
        <w:t xml:space="preserve">#&gt;  P Rdpack           2.1        2020-11-09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2.2.0      2020-07-21 [?]</w:t>
      </w:r>
      <w:r>
        <w:br/>
      </w:r>
      <w:r>
        <w:rPr>
          <w:rStyle w:val="VerbatimChar"/>
        </w:rPr>
        <w:t xml:space="preserve">#&gt;  P reprex           0.3.0      2019-05-16 [?]</w:t>
      </w:r>
      <w:r>
        <w:br/>
      </w:r>
      <w:r>
        <w:rPr>
          <w:rStyle w:val="VerbatimChar"/>
        </w:rPr>
        <w:t xml:space="preserve">#&gt;  P reshape2         1.4.4      2020-04-09 [?]</w:t>
      </w:r>
      <w:r>
        <w:br/>
      </w:r>
      <w:r>
        <w:rPr>
          <w:rStyle w:val="VerbatimChar"/>
        </w:rPr>
        <w:t xml:space="preserve">#&gt;  P RgoogleMaps      1.4.5.3    2020-02-12 [?]</w:t>
      </w:r>
      <w:r>
        <w:br/>
      </w:r>
      <w:r>
        <w:rPr>
          <w:rStyle w:val="VerbatimChar"/>
        </w:rPr>
        <w:t xml:space="preserve">#&gt;  P rjson            0.2.20     2018-06-08 [?]</w:t>
      </w:r>
      <w:r>
        <w:br/>
      </w:r>
      <w:r>
        <w:rPr>
          <w:rStyle w:val="VerbatimChar"/>
        </w:rPr>
        <w:t xml:space="preserve">#&gt;  P rlang            0.4.10     2020-12-30 [?]</w:t>
      </w:r>
      <w:r>
        <w:br/>
      </w:r>
      <w:r>
        <w:rPr>
          <w:rStyle w:val="VerbatimChar"/>
        </w:rPr>
        <w:t xml:space="preserve">#&gt;  P rle              0.9.2      2020-09-25 [?]</w:t>
      </w:r>
      <w:r>
        <w:br/>
      </w:r>
      <w:r>
        <w:rPr>
          <w:rStyle w:val="VerbatimChar"/>
        </w:rPr>
        <w:t xml:space="preserve">#&gt;  P rmarkdown        2.6        2020-12-14 [?]</w:t>
      </w:r>
      <w:r>
        <w:br/>
      </w:r>
      <w:r>
        <w:rPr>
          <w:rStyle w:val="VerbatimChar"/>
        </w:rPr>
        <w:t xml:space="preserve">#&gt;  P robustbase       0.93-7     2021-01-04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0.3.6      2020-07-25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sf             * 0.9-6      2020-09-13 [?]</w:t>
      </w:r>
      <w:r>
        <w:br/>
      </w:r>
      <w:r>
        <w:rPr>
          <w:rStyle w:val="VerbatimChar"/>
        </w:rPr>
        <w:t xml:space="preserve">#&gt;  P sna            * 2.6        2020-10-06 [?]</w:t>
      </w:r>
      <w:r>
        <w:br/>
      </w:r>
      <w:r>
        <w:rPr>
          <w:rStyle w:val="VerbatimChar"/>
        </w:rPr>
        <w:t xml:space="preserve">#&gt;  P snowboot       * 1.0.2      2020-04-25 [?]</w:t>
      </w:r>
      <w:r>
        <w:br/>
      </w:r>
      <w:r>
        <w:rPr>
          <w:rStyle w:val="VerbatimChar"/>
        </w:rPr>
        <w:t xml:space="preserve">#&gt;  P sp               1.4-5      2021-01-10 [?]</w:t>
      </w:r>
      <w:r>
        <w:br/>
      </w:r>
      <w:r>
        <w:rPr>
          <w:rStyle w:val="VerbatimChar"/>
        </w:rPr>
        <w:t xml:space="preserve">#&gt;  P spam             2.6-0      2020-12-14 [?]</w:t>
      </w:r>
      <w:r>
        <w:br/>
      </w:r>
      <w:r>
        <w:rPr>
          <w:rStyle w:val="VerbatimChar"/>
        </w:rPr>
        <w:t xml:space="preserve">#&gt;  P SparseM          1.78       2019-12-13 [?]</w:t>
      </w:r>
      <w:r>
        <w:br/>
      </w:r>
      <w:r>
        <w:rPr>
          <w:rStyle w:val="VerbatimChar"/>
        </w:rPr>
        <w:t xml:space="preserve">#&gt;  P statnet        * 2019.6     2019-06-14 [?]</w:t>
      </w:r>
      <w:r>
        <w:br/>
      </w:r>
      <w:r>
        <w:rPr>
          <w:rStyle w:val="VerbatimChar"/>
        </w:rPr>
        <w:t xml:space="preserve">#&gt;  P statnet.common * 4.4.1      2020-10-03 [?]</w:t>
      </w:r>
      <w:r>
        <w:br/>
      </w:r>
      <w:r>
        <w:rPr>
          <w:rStyle w:val="VerbatimChar"/>
        </w:rPr>
        <w:t xml:space="preserve">#&gt;  P stringi          1.5.3      2020-09-09 [?]</w:t>
      </w:r>
      <w:r>
        <w:br/>
      </w:r>
      <w:r>
        <w:rPr>
          <w:rStyle w:val="VerbatimChar"/>
        </w:rPr>
        <w:t xml:space="preserve">#&gt;  P stringr        * 1.4.0      2019-02-10 [?]</w:t>
      </w:r>
      <w:r>
        <w:br/>
      </w:r>
      <w:r>
        <w:rPr>
          <w:rStyle w:val="VerbatimChar"/>
        </w:rPr>
        <w:t xml:space="preserve">#&gt;  P systemfonts      0.3.2      2020-09-29 [?]</w:t>
      </w:r>
      <w:r>
        <w:br/>
      </w:r>
      <w:r>
        <w:rPr>
          <w:rStyle w:val="VerbatimChar"/>
        </w:rPr>
        <w:t xml:space="preserve">#&gt;  P tergm          * 3.7.0      2020-10-15 [?]</w:t>
      </w:r>
      <w:r>
        <w:br/>
      </w:r>
      <w:r>
        <w:rPr>
          <w:rStyle w:val="VerbatimChar"/>
        </w:rPr>
        <w:t xml:space="preserve">#&gt;  P testthat         3.0.1      2020-12-17 [?]</w:t>
      </w:r>
      <w:r>
        <w:br/>
      </w:r>
      <w:r>
        <w:rPr>
          <w:rStyle w:val="VerbatimChar"/>
        </w:rPr>
        <w:t xml:space="preserve">#&gt;  P tibble         * 3.0.5      2021-01-15 [?]</w:t>
      </w:r>
      <w:r>
        <w:br/>
      </w:r>
      <w:r>
        <w:rPr>
          <w:rStyle w:val="VerbatimChar"/>
        </w:rPr>
        <w:t xml:space="preserve">#&gt;  P tidygraph      * 1.2.0      2020-05-12 [?]</w:t>
      </w:r>
      <w:r>
        <w:br/>
      </w:r>
      <w:r>
        <w:rPr>
          <w:rStyle w:val="VerbatimChar"/>
        </w:rPr>
        <w:t xml:space="preserve">#&gt;  P tidyr          * 1.1.2      2020-08-27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tmvnsim          1.0-2      2016-12-15 [?]</w:t>
      </w:r>
      <w:r>
        <w:br/>
      </w:r>
      <w:r>
        <w:rPr>
          <w:rStyle w:val="VerbatimChar"/>
        </w:rPr>
        <w:t xml:space="preserve">#&gt;  P trust            0.1-8      2020-01-10 [?]</w:t>
      </w:r>
      <w:r>
        <w:br/>
      </w:r>
      <w:r>
        <w:rPr>
          <w:rStyle w:val="VerbatimChar"/>
        </w:rPr>
        <w:t xml:space="preserve">#&gt;  P tsna           * 0.3.1      2020-01-20 [?]</w:t>
      </w:r>
      <w:r>
        <w:br/>
      </w:r>
      <w:r>
        <w:rPr>
          <w:rStyle w:val="VerbatimChar"/>
        </w:rPr>
        <w:t xml:space="preserve">#&gt;  P tweenr           1.0.1      2018-12-14 [?]</w:t>
      </w:r>
      <w:r>
        <w:br/>
      </w:r>
      <w:r>
        <w:rPr>
          <w:rStyle w:val="VerbatimChar"/>
        </w:rPr>
        <w:t xml:space="preserve">#&gt;  P units            0.6-7      2020-06-13 [?]</w:t>
      </w:r>
      <w:r>
        <w:br/>
      </w:r>
      <w:r>
        <w:rPr>
          <w:rStyle w:val="VerbatimChar"/>
        </w:rPr>
        <w:t xml:space="preserve">#&gt;  P usethis          2.0.0      2020-12-10 [?]</w:t>
      </w:r>
      <w:r>
        <w:br/>
      </w:r>
      <w:r>
        <w:rPr>
          <w:rStyle w:val="VerbatimChar"/>
        </w:rPr>
        <w:t xml:space="preserve">#&gt;  P uuid             0.1-4      2020-02-26 [?]</w:t>
      </w:r>
      <w:r>
        <w:br/>
      </w:r>
      <w:r>
        <w:rPr>
          <w:rStyle w:val="VerbatimChar"/>
        </w:rPr>
        <w:t xml:space="preserve">#&gt;  P vctrs            0.3.6      2020-12-17 [?]</w:t>
      </w:r>
      <w:r>
        <w:br/>
      </w:r>
      <w:r>
        <w:rPr>
          <w:rStyle w:val="VerbatimChar"/>
        </w:rPr>
        <w:t xml:space="preserve">#&gt;  P viridis          0.5.1      2018-03-29 [?]</w:t>
      </w:r>
      <w:r>
        <w:br/>
      </w:r>
      <w:r>
        <w:rPr>
          <w:rStyle w:val="VerbatimChar"/>
        </w:rPr>
        <w:t xml:space="preserve">#&gt;  P viridisLite      0.3.0      2018-02-01 [?]</w:t>
      </w:r>
      <w:r>
        <w:br/>
      </w:r>
      <w:r>
        <w:rPr>
          <w:rStyle w:val="VerbatimChar"/>
        </w:rPr>
        <w:t xml:space="preserve">#&gt;  P withr            2.4.0      2021-01-16 [?]</w:t>
      </w:r>
      <w:r>
        <w:br/>
      </w:r>
      <w:r>
        <w:rPr>
          <w:rStyle w:val="VerbatimChar"/>
        </w:rPr>
        <w:t xml:space="preserve">#&gt;  P xfun             0.20       2021-01-06 [?]</w:t>
      </w:r>
      <w:r>
        <w:br/>
      </w:r>
      <w:r>
        <w:rPr>
          <w:rStyle w:val="VerbatimChar"/>
        </w:rPr>
        <w:t xml:space="preserve">#&gt;  P xml2             1.3.2      2020-04-23 [?]</w:t>
      </w:r>
      <w:r>
        <w:br/>
      </w:r>
      <w:r>
        <w:rPr>
          <w:rStyle w:val="VerbatimChar"/>
        </w:rPr>
        <w:t xml:space="preserve">#&gt;  P yaml             2.2.1      2020-02-01 [?]</w:t>
      </w:r>
      <w:r>
        <w:br/>
      </w:r>
      <w:r>
        <w:rPr>
          <w:rStyle w:val="VerbatimChar"/>
        </w:rPr>
        <w:t xml:space="preserve">#&gt;  P zip              2.1.1      2020-08-27 [?]</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4.0.3)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4.0.5)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4.0.1)                      </w:t>
      </w:r>
      <w:r>
        <w:br/>
      </w:r>
      <w:r>
        <w:rPr>
          <w:rStyle w:val="VerbatimChar"/>
        </w:rPr>
        <w:t xml:space="preserve">#&gt;  CRAN (R 4.0.0)                      </w:t>
      </w:r>
      <w:r>
        <w:br/>
      </w:r>
      <w:r>
        <w:rPr>
          <w:rStyle w:val="VerbatimChar"/>
        </w:rPr>
        <w:t xml:space="preserve">#&gt;  CRAN (R 4.0.2)                      </w:t>
      </w:r>
      <w:r>
        <w:br/>
      </w:r>
      <w:r>
        <w:rPr>
          <w:rStyle w:val="VerbatimChar"/>
        </w:rPr>
        <w:t xml:space="preserve">#&gt;  Github (nevrome/ggpointgrid@1dceed9)</w:t>
      </w:r>
      <w:r>
        <w:br/>
      </w:r>
      <w:r>
        <w:rPr>
          <w:rStyle w:val="VerbatimChar"/>
        </w:rPr>
        <w:t xml:space="preserve">#&gt;  CRAN (R 4.0.2)                      </w:t>
      </w:r>
      <w:r>
        <w:br/>
      </w:r>
      <w:r>
        <w:rPr>
          <w:rStyle w:val="VerbatimChar"/>
        </w:rPr>
        <w:t xml:space="preserve">#&gt;  Github (slowkow/ggrepel@54838c6)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4.0.1)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/Users/bmarwick/Desktop/kwl-burials/renv/library/R-4.0/x86_64-apple-darwin17.0</w:t>
      </w:r>
      <w:r>
        <w:br/>
      </w:r>
      <w:r>
        <w:rPr>
          <w:rStyle w:val="VerbatimChar"/>
        </w:rPr>
        <w:t xml:space="preserve">#&gt; [2] /private/var/folders/mz/6nn330m17_37ck5hhz2p24100000gn/T/Rtmpw2bDxw/renv-system-library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[22d2e90] 2021-08-24: merge conflict</w:t>
      </w:r>
    </w:p>
    <w:p>
      <w:pPr>
        <w:pStyle w:val="FirstParagraph"/>
      </w:pPr>
      <w:r>
        <w:t xml:space="preserve">Word count: 2909</w:t>
      </w:r>
    </w:p>
    <w:bookmarkEnd w:id="134"/>
    <w:bookmarkEnd w:id="135"/>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hyperlink" Id="rId34" Target="http://doi.org/10.17605/OSF.IO/XGA6N" TargetMode="External" /><Relationship Type="http://schemas.openxmlformats.org/officeDocument/2006/relationships/hyperlink" Id="rId101" Target="https://doi.org/10.1007/s10816-015-9272-9" TargetMode="External" /><Relationship Type="http://schemas.openxmlformats.org/officeDocument/2006/relationships/hyperlink" Id="rId113" Target="https://doi.org/10.1016/j.socnet.2020.11.005" TargetMode="External" /></Relationships>
</file>

<file path=word/_rels/footnotes.xml.rels><?xml version="1.0" encoding="UTF-8"?>
<Relationships xmlns="http://schemas.openxmlformats.org/package/2006/relationships"><Relationship Type="http://schemas.openxmlformats.org/officeDocument/2006/relationships/hyperlink" Id="rId34" Target="http://doi.org/10.17605/OSF.IO/XGA6N" TargetMode="External" /><Relationship Type="http://schemas.openxmlformats.org/officeDocument/2006/relationships/hyperlink" Id="rId101" Target="https://doi.org/10.1007/s10816-015-9272-9" TargetMode="External" /><Relationship Type="http://schemas.openxmlformats.org/officeDocument/2006/relationships/hyperlink" Id="rId113" Target="https://doi.org/10.1016/j.socnet.2020.11.0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networks approach to infer social changes from burials in northeastern Taiwan during the European colonization period</dc:title>
  <dc:creator>Li-Ying Wang; Ben Marwick</dc:creator>
  <cp:keywords/>
  <dcterms:created xsi:type="dcterms:W3CDTF">2021-08-24T17:02:29Z</dcterms:created>
  <dcterms:modified xsi:type="dcterms:W3CDTF">2021-08-24T17:02:29Z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infer interactions and relationships between entities. Statistical approaches to network analysis, such as exponential random graph models (ERGMs), provide a way to test hypotheses about dynamic processes of network formation. However, computational difficulties and sensitivity to uncertainties limit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among the burials from network ties based on ritual objects to wealth objects, and a more centralized structure with increased social differentiation after the European presence was established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24 August,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