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4.png" ContentType="image/png"/>
  <Override PartName="/word/media/rId26.png" ContentType="image/png"/>
  <Override PartName="/word/media/rId29.png" ContentType="image/png"/>
  <Override PartName="/word/media/rId38.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February,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in</w:t>
      </w:r>
      <w:r>
        <w:t xml:space="preserve"> </w:t>
      </w:r>
      <w:r>
        <w:t xml:space="preserve">the</w:t>
      </w:r>
      <w:r>
        <w:t xml:space="preserve"> </w:t>
      </w:r>
      <w:r>
        <w:t xml:space="preserve">process</w:t>
      </w:r>
      <w:r>
        <w:t xml:space="preserve"> </w:t>
      </w:r>
      <w:r>
        <w:t xml:space="preserve">that</w:t>
      </w:r>
      <w:r>
        <w:t xml:space="preserve"> </w:t>
      </w:r>
      <w:r>
        <w:t xml:space="preserve">led</w:t>
      </w:r>
      <w:r>
        <w:t xml:space="preserve"> </w:t>
      </w:r>
      <w:r>
        <w:t xml:space="preserve">to</w:t>
      </w:r>
      <w:r>
        <w:t xml:space="preserve"> </w:t>
      </w:r>
      <w:r>
        <w:t xml:space="preserve">the</w:t>
      </w:r>
      <w:r>
        <w:t xml:space="preserve"> </w:t>
      </w:r>
      <w:r>
        <w:t xml:space="preserve">formation</w:t>
      </w:r>
      <w:r>
        <w:t xml:space="preserve"> </w:t>
      </w:r>
      <w:r>
        <w:t xml:space="preserve">of</w:t>
      </w:r>
      <w:r>
        <w:t xml:space="preserve"> </w:t>
      </w:r>
      <w:r>
        <w:t xml:space="preserve">the</w:t>
      </w:r>
      <w:r>
        <w:t xml:space="preserve"> </w:t>
      </w:r>
      <w:r>
        <w:t xml:space="preserve">burial</w:t>
      </w:r>
      <w:r>
        <w:t xml:space="preserve"> </w:t>
      </w:r>
      <w:r>
        <w:t xml:space="preserve">network,</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Network analysis has been increasingly used by archaeologists to understand past relationships, interactions, and structures of observed phenomena by visualizing and analyzing rational data</w:t>
      </w:r>
      <w:r>
        <w:t xml:space="preserve"> </w:t>
      </w:r>
      <w:r>
        <w:t xml:space="preserve">(Brandes et al., 2013; Mills, 2017; Peeples, 2019)</w:t>
      </w:r>
      <w:r>
        <w:t xml:space="preserve">. The recent development of modeling approaches enable hypothesis testing for the intercorrelations between individual elements and overall structures inherent in networks</w:t>
      </w:r>
      <w:r>
        <w:t xml:space="preserve"> </w:t>
      </w:r>
      <w:r>
        <w:t xml:space="preserve">(Brughmans, 2013; Brughmans and Peeples, 2018; Freeman, 2004; Salvini, 2010)</w:t>
      </w:r>
      <w:r>
        <w:t xml:space="preserve">. By comparing hypothesized networks with the observed network,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Since relationships in a network emerging relative to their position in a network can be hypothesized, ERGMs are promising to evaluate dynamic social processes behind observed archaeological networks</w:t>
      </w:r>
      <w:r>
        <w:t xml:space="preserve"> </w:t>
      </w:r>
      <w:r>
        <w:t xml:space="preserve">(Brughmans et al., 2014)</w:t>
      </w:r>
      <w:r>
        <w:t xml:space="preserve">. However, computational difficulties and the sensitivity to uncertainties to some extent limits the practical applications of ERGMs, where results could be challenging for interpretation</w:t>
      </w:r>
      <w:r>
        <w:t xml:space="preserve"> </w:t>
      </w:r>
      <w:r>
        <w:t xml:space="preserve">(Caimo and Friel, 2014)</w:t>
      </w:r>
      <w:r>
        <w:t xml:space="preserve">.</w:t>
      </w:r>
    </w:p>
    <w:p>
      <w:pPr>
        <w:pStyle w:val="BodyText"/>
      </w:pPr>
      <w:r>
        <w:t xml:space="preserve">In this paper, we go beyond ERGMs with a novel Bayesian approach that can alleviate the computational issues in ERGMs to better interpret the process of network formation for past phenomena.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 of colonialism, or involvement in long-distance trade, could also have impacts on Indigenous societies, this is known as a pericolonial context</w:t>
      </w:r>
      <w:r>
        <w:t xml:space="preserve"> </w:t>
      </w:r>
      <w:r>
        <w:t xml:space="preserve">(Acabado, 2017; Trabert, 2017; Wang and Marwick, 2020)</w:t>
      </w:r>
      <w:r>
        <w:t xml:space="preserve">. To explore social changes, burials are important evidence to understand past societies because material culture and biological records of burial behaviors can represent the social ranking or identities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Usually, burial studies are based on characterizing each physical trace or burial variable, such as biological records, grave forms and goods, or ritual behaviors, and finally combining those individual observations to infer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global patterns represented in the data</w:t>
      </w:r>
      <w:r>
        <w:t xml:space="preserve"> </w:t>
      </w:r>
      <w:r>
        <w:t xml:space="preserve">(Brandes et al., 2013)</w:t>
      </w:r>
      <w:r>
        <w:t xml:space="preserve">. Our case study illustrates how a Bayesian approach to network modeling provides new insights for studying the formation of archaeological networks and allows testing on theoretical assumptions to better understand dynamic social processes.</w:t>
      </w:r>
    </w:p>
    <w:p>
      <w:pPr>
        <w:pStyle w:val="Heading1"/>
      </w:pPr>
      <w:bookmarkStart w:id="21" w:name="Xd05ff335146e2a59dac26bc4bef8280ae358f46"/>
      <w:r>
        <w:t xml:space="preserve">Exponential random graph models in a Bayesian framework</w:t>
      </w:r>
      <w:bookmarkEnd w:id="21"/>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is a promising method for exploration and hypothesis testing for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point out some limitations of ERGMs, such as sensitivity to missing data and less able to handle uncertainty. Also, it is difficult in ERGMs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available by implementing ERGMs by means of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improve computational issues in ERGMs</w:t>
      </w:r>
      <w:r>
        <w:t xml:space="preserve"> </w:t>
      </w:r>
      <w:r>
        <w:t xml:space="preserve">(Caimo et al., 2017; Lehmann et al., 2020)</w:t>
      </w:r>
      <w:r>
        <w:t xml:space="preserve">. Prior information is derived from previous data or assumptions of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that estimates the effect of each ERGM parameter in our models</w:t>
      </w:r>
      <w:r>
        <w:t xml:space="preserve"> </w:t>
      </w:r>
      <w:r>
        <w:t xml:space="preserve">(Caimo and Lomi, 2015; Nemmers et al., 2019)</w:t>
      </w:r>
      <w:r>
        <w:t xml:space="preserve">. This allows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average, 80% of the ties when a third of data is missing.</w:t>
      </w:r>
    </w:p>
    <w:p>
      <w:pPr>
        <w:pStyle w:val="Heading1"/>
      </w:pPr>
      <w:bookmarkStart w:id="22" w:name="background"/>
      <w:r>
        <w:t xml:space="preserve">Background</w:t>
      </w:r>
      <w:bookmarkEnd w:id="22"/>
    </w:p>
    <w:p>
      <w:pPr>
        <w:pStyle w:val="Heading2"/>
      </w:pPr>
      <w:bookmarkStart w:id="23" w:name="a-case-study-from-northeastern-taiwan"/>
      <w:r>
        <w:t xml:space="preserve">A Case Study from Northeastern Taiwan</w:t>
      </w:r>
      <w:bookmarkEnd w:id="23"/>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general model proposes that the influence of a colonial power, combined with high local values attached to imported goods, leads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network strategies for gaining power</w:t>
      </w:r>
      <w:r>
        <w:t xml:space="preserve"> </w:t>
      </w:r>
      <w:r>
        <w:t xml:space="preserve">(Blanton et al., 1996; Feinman, 2000)</w:t>
      </w:r>
      <w:r>
        <w:t xml:space="preserve">. Network-based societies are identified in some places in Asia with involvement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while corporate-based societies stress communal ritual elements, shared power, and wealth differentiation, if any, would be associated with corporate groups, such as age groups</w:t>
      </w:r>
      <w:r>
        <w:t xml:space="preserve"> </w:t>
      </w:r>
      <w:r>
        <w:t xml:space="preserve">(Siegel, 1999)</w:t>
      </w:r>
      <w:r>
        <w:t xml:space="preserve">. Using the theoretical framework of corporate-network strategies, or horizontal hierarchy, we test a hypothesis that changes from a corporate mode (a structure showing more subgroups with less wealth differentiation )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(2) if so,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4"/>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p>
      <w:pPr>
        <w:pStyle w:val="Heading2"/>
      </w:pPr>
      <w:bookmarkStart w:id="25" w:name="materials"/>
      <w:r>
        <w:t xml:space="preserve">Materials</w:t>
      </w:r>
      <w:bookmarkEnd w:id="25"/>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squares that provide continuous stratigraphic sections suitable for temporal comparison (Figure</w:t>
      </w:r>
      <w:r>
        <w:t xml:space="preserve"> </w:t>
      </w:r>
      <w:r>
        <w:t xml:space="preserve">2</w:t>
      </w:r>
      <w:r>
        <w:t xml:space="preserve">). The preservation of human remains at Kiwulan was generally poor, so we have incomplete age and sex data (details in Supplementary Online Materials) and lack health status data. Burials are oriented in an east-west direction on the north side of the residential area, which is indicated by post-holes and</w:t>
      </w:r>
      <w:r>
        <w:t xml:space="preserve"> </w:t>
      </w:r>
      <w:r>
        <w:rPr>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the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the phases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because we cannot determine their chronology.</w:t>
      </w:r>
    </w:p>
    <w:p>
      <w:pPr>
        <w:pStyle w:val="BodyText"/>
      </w:pPr>
      <w:r>
        <w:t xml:space="preserve">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Mateo,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an Indigenous person possessing more imported goods may have been recognized as having higher status in their community</w:t>
      </w:r>
      <w:r>
        <w:t xml:space="preserve"> </w:t>
      </w:r>
      <w:r>
        <w:t xml:space="preserve">(Li and Wu, 2006)</w:t>
      </w:r>
      <w:r>
        <w:t xml:space="preserve">.</w:t>
      </w:r>
    </w:p>
    <w:p>
      <w:pPr>
        <w:pStyle w:val="Heading1"/>
      </w:pPr>
      <w:bookmarkStart w:id="27" w:name="methods"/>
      <w:r>
        <w:t xml:space="preserve">Methods</w:t>
      </w:r>
      <w:bookmarkEnd w:id="27"/>
    </w:p>
    <w:p>
      <w:pPr>
        <w:pStyle w:val="Heading2"/>
      </w:pPr>
      <w:bookmarkStart w:id="28" w:name="hypothesis-and-construction-of-networks"/>
      <w:r>
        <w:t xml:space="preserve">Hypothesis and construction of networks</w:t>
      </w:r>
      <w:bookmarkEnd w:id="28"/>
    </w:p>
    <w:p>
      <w:pPr>
        <w:pStyle w:val="FirstParagraph"/>
      </w:pPr>
      <w:r>
        <w:t xml:space="preserve">Our social change hypothesis is that differential access to foreign prestige goods after the European presence led to increased social inequality at Kiwulan, where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associations with wealth accumulation, indicative of a network-based society. In contrast, the network before the European arrival will show low centralization and high transitivity, associated with ritual element, or age/sex groups to indicate a corporate-based society. To test this hypothesis, we use Bayesian ERGMs to model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osteologically determined age and sex, cultural data, such as ritual pottery, and a burial value index. Ritual pottery was identified as locally made ceramics placed above an individual. Those pots mostly have soot on vessel exteriors and charred residues on interiors that are interpreted as vessels for funeral feasting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BodyText"/>
      </w:pPr>
      <w:r>
        <w:t xml:space="preserve">We then assigned the burials into three ranks according to breaks in the distribution of burial values, high (&gt;24.7, top 10 percent), above average (16-24.7), and below average (&lt;16), as an index of wealth (details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 represents the number of goods in common between two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 represents the number of goods in common between two nodes.</w:t>
      </w:r>
    </w:p>
    <w:p>
      <w:pPr>
        <w:pStyle w:val="Heading2"/>
      </w:pPr>
      <w:bookmarkStart w:id="30" w:name="Xd605f7269e86ccd6b2b8b39b2c599ff50eb1757"/>
      <w:r>
        <w:t xml:space="preserve">Model specification in a Bayesian framework</w:t>
      </w:r>
      <w:bookmarkEnd w:id="30"/>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in terms of prestige goods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tblCaption w:val="Table 1: Network parameters in ERGMs used for model specifications with associated archaeological interpretation for burial relations. ERGM terminology is from the R package statnet (Handcock, 2008; Morris, 2008)"/>
      </w:tblPr>
      <w:tblGrid>
        <w:gridCol w:w="1470"/>
        <w:gridCol w:w="3111"/>
        <w:gridCol w:w="3337"/>
      </w:tblGrid>
      <w:tr>
        <w:trPr>
          <w:cnfStyle w:firstRow="1"/>
        </w:trPr>
        <w:tc>
          <w:tcPr>
            <w:tcBorders>
              <w:bottom w:val="single"/>
            </w:tcBorders>
            <w:vAlign w:val="bottom"/>
          </w:tcPr>
          <w:p>
            <w:pPr>
              <w:pStyle w:val="Compact"/>
              <w:jc w:val="left"/>
            </w:pPr>
            <w:r>
              <w:t xml:space="preserve">Network variable</w:t>
            </w:r>
          </w:p>
        </w:tc>
        <w:tc>
          <w:tcPr>
            <w:tcBorders>
              <w:bottom w:val="single"/>
            </w:tcBorders>
            <w:vAlign w:val="bottom"/>
          </w:tcPr>
          <w:p>
            <w:pPr>
              <w:pStyle w:val="Compact"/>
              <w:jc w:val="left"/>
            </w:pPr>
            <w:r>
              <w:t xml:space="preserve">Configuration (ERGM term)</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similar goods</w:t>
            </w:r>
          </w:p>
        </w:tc>
      </w:tr>
    </w:tbl>
    <w:p>
      <w:pPr>
        <w:pStyle w:val="Heading2"/>
      </w:pPr>
      <w:bookmarkStart w:id="31" w:name="Xf5c741e4079c673243fd959577f604af015808f"/>
      <w:r>
        <w:t xml:space="preserve">Choice of prior values to evaluate our anthropological model</w:t>
      </w:r>
      <w:bookmarkEnd w:id="31"/>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which follows a normal distribution with mean at -3, and standard deviations at 3 (i.e (N(-3, 3))). For covariates about biological features, such as age, sex, we specified a vague prior (N(0, 5)) for both models to explore their effects. For physical distance between burials, we also set a vague prior effect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and centralization. We set the priors to higher transitivity (N(2, 2)), lower centralization (N(-2, 3)), and higher covariate effect of ritual activity (N(1, 5)) for the network before European contact to indicate less social differentiation and stress ritual element shared in corporate groups. Conversely, we set the priors for the network after European arrival to lower transitivity (N(1, 3)), higher centralization (N(2, 3)), and higher covariate effect of burial values (N(2, 3)) to model an increased social differentiation.</w:t>
      </w:r>
    </w:p>
    <w:p>
      <w:pPr>
        <w:pStyle w:val="Heading1"/>
      </w:pPr>
      <w:bookmarkStart w:id="32" w:name="X1d9039aecbbcb44c2dfa3a9268a6c9535658f66"/>
      <w:r>
        <w:t xml:space="preserve">Reproducibility and open source materials</w:t>
      </w:r>
      <w:bookmarkEnd w:id="32"/>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3">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4" w:name="results"/>
      <w:r>
        <w:t xml:space="preserve">Results</w:t>
      </w:r>
      <w:bookmarkEnd w:id="34"/>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nodal covariates in the pre-European model, the ritual element represented by pots (ritual-homophily) has a significant effect on the formation of relations between burials. On the other hand, the wealth rank, represented by burial values (wealth-homophily), has a negative effect but not significant since its confidence intervals include zero. This demonstrates that burials in the pre-European period with ritual pottery tend to form relations. Despite positive mean values for some covariates, such as age and sex, they do not show a significant influence. Similarly, the dyadic covariate, physical distance, shows no significant effect, indicating that physical proximity between burials does not reflect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the flow of trade goods.</w:t>
      </w:r>
    </w:p>
    <w:p>
      <w:pPr>
        <w:pStyle w:val="Compact"/>
      </w:pPr>
      <w:r>
        <w:t xml:space="preserve">Table 2: Estimated posterior means, medians, and 95% confidence intervals for each network parameter of two models. Confidence intervals that do not include zero indicate significant effects of parameters (Caimo, 2017). Posterior means are generally close to posterior medians.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5.48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r>
    </w:tbl>
    <w:p>
      <w:pPr>
        <w:pStyle w:val="CaptionedFigure"/>
      </w:pPr>
      <w:r>
        <w:drawing>
          <wp:inline>
            <wp:extent cx="5943600" cy="3714750"/>
            <wp:effectExtent b="0" l="0" r="0" t="0"/>
            <wp:docPr descr="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w:t>
      </w:r>
    </w:p>
    <w:p>
      <w:pPr>
        <w:pStyle w:val="BodyText"/>
      </w:pPr>
      <w:r>
        <w:t xml:space="preserve">After the arrival of Europeans, the nodal covariates of wealth rank show significant positive effects. This indicates burials in the same wealth level tend to be more connected with each other. Despite negative effects for ritual and sex variables, they are not significant. Also, there are no significant effects for variables of age and physical distance. Similar to the pre-European network, transitivity demonstrates a significant positive effect, but much weaker than in the pre-European network. In contrast, centralization has a significantly higher positive effect than the pre-European network. This means there is a tendency toward centralization that reflects a limited number of burials having many more ties than others. This implies more access to trade goods, increased wealth accumulation and display behaviors in burial events. In general, the post-European network model has a smaller transitivity effect and a positive centralization effect compared to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understand the robustness of comparison between two networks, we used a vertex bootstrap technique to cross-validate the results of our Bayesian ERGMs. The vertex bootstrap is a non-parametric method that conducts resampling for all vertices (i.e. node)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30% node removals (Figure</w:t>
      </w:r>
      <w:r>
        <w:t xml:space="preserve"> </w:t>
      </w:r>
      <w:r>
        <w:t xml:space="preserve">5</w:t>
      </w:r>
      <w:r>
        <w:t xml:space="preserve">). This indicates that the network variables under investigation are robust to the different network size of our sample. Figure</w:t>
      </w:r>
      <w:r>
        <w:t xml:space="preserve"> </w:t>
      </w:r>
      <w:r>
        <w:t xml:space="preserve">5</w:t>
      </w:r>
      <w:r>
        <w:t xml:space="preserve"> </w:t>
      </w:r>
      <w:r>
        <w:t xml:space="preserve">also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w:t>
      </w:r>
    </w:p>
    <w:p>
      <w:pPr>
        <w:pStyle w:val="CaptionedFigure"/>
      </w:pPr>
      <w:r>
        <w:drawing>
          <wp:inline>
            <wp:extent cx="5943600" cy="3714750"/>
            <wp:effectExtent b="0" l="0" r="0" t="0"/>
            <wp:docPr descr="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7"/>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Our computational models reproduce networks that resemble the structural features of our observed networks. Bayesian goodness of fit (GOF) diagnostics plots (Figure</w:t>
      </w:r>
      <w:r>
        <w:t xml:space="preserve"> </w:t>
      </w:r>
      <w:r>
        <w:t xml:space="preserve">6</w:t>
      </w:r>
      <w:r>
        <w:t xml:space="preserve">)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distribution, despite some observations falling outside the 95% interval, the fit is generally good with most observations within it.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8"/>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p>
      <w:pPr>
        <w:pStyle w:val="Heading1"/>
      </w:pPr>
      <w:bookmarkStart w:id="39" w:name="discussion"/>
      <w:r>
        <w:t xml:space="preserve">Discussion</w:t>
      </w:r>
      <w:bookmarkEnd w:id="39"/>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Our results indicate that the major factor contributing to burial networks is ritual for the pre-European network, and wealth for the post-European network. We interpret these results as illustrating different social and economic mechanisms influencing relations between burials for the two periods. Before European arrival, ritual behaviors were important factors that structured the interconnections of prestige goods in the burial contexts. This might imply that ritual could be a status indicator at the time before many foreign goods were introduced to Indigenous societies. After the European presence was established, status indicators shifted from ritual to wealth differences. Moreover, geographical proximity, implying some kinship association, has no effect on sharing similar prestige items between burials for both phases. This may suggest that the use of prestige items is more individual-oriented instead of kinship-based. Demographic information, such as age and sex, do not have any effects on network formation for both networks. But we also note that no effects could be due to the unavailability of age (30 out of 78 burials) and sex (52 out of 78 burials) values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w:t>
      </w:r>
      <w:r>
        <w:t xml:space="preserve"> </w:t>
      </w:r>
      <w:r>
        <w:t xml:space="preserve">(eg. Coward, 2013, p. 252)</w:t>
      </w:r>
      <w:r>
        <w:t xml:space="preserve">. 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ethnographic records support our interpretation of burial goods as prestige goods or status items in the local Indigenous culture</w:t>
      </w:r>
      <w:r>
        <w:t xml:space="preserve"> </w:t>
      </w:r>
      <w:r>
        <w:t xml:space="preserve">(Borao Mateo, 2009; Li and Wu, 2006)</w:t>
      </w:r>
      <w:r>
        <w:t xml:space="preserve">, so the interrelations represented by the flow of these goods observed in the burial data likely reflect social contexts of the living people at Kiwulan.</w:t>
      </w:r>
    </w:p>
    <w:p>
      <w:pPr>
        <w:pStyle w:val="Heading1"/>
      </w:pPr>
      <w:bookmarkStart w:id="40" w:name="conclusion"/>
      <w:r>
        <w:t xml:space="preserve">Conclusion</w:t>
      </w:r>
      <w:bookmarkEnd w:id="40"/>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reduce the effects of small sample size or missing data commonly present in archaeological data by incorporating prior information and MCMC estimations. Another valuable feature of Bayesian network modeling is the ability to set prior values to evaluate competing anthropological models,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We examined social changes in a European pericolonial context in northeastern Taiwan. We tested the hypotheses of changes in 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from ritual practice to wealth levels,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can better understand indirect European impacts in understudied pericolonial contexts of East Asia</w:t>
      </w:r>
      <w:r>
        <w:t xml:space="preserve"> </w:t>
      </w:r>
      <w:r>
        <w:t xml:space="preserve">(e.g. Acabado, 2017; Trabert, 2017)</w:t>
      </w:r>
      <w:r>
        <w:t xml:space="preserve">.</w:t>
      </w:r>
    </w:p>
    <w:p>
      <w:pPr>
        <w:pStyle w:val="Heading1"/>
      </w:pPr>
      <w:bookmarkStart w:id="41" w:name="acknowledgments"/>
      <w:r>
        <w:t xml:space="preserve">Acknowledgments</w:t>
      </w:r>
      <w:bookmarkEnd w:id="41"/>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2" w:name="pagebreak"/>
      <w:r>
        <w:t xml:space="preserve">0.0.0.0.1	pagebreak</w:t>
      </w:r>
      <w:bookmarkEnd w:id="42"/>
    </w:p>
    <w:p>
      <w:pPr>
        <w:pStyle w:val="Heading1"/>
      </w:pPr>
      <w:bookmarkStart w:id="43" w:name="references"/>
      <w:r>
        <w:t xml:space="preserve">References</w:t>
      </w:r>
      <w:bookmarkEnd w:id="43"/>
    </w:p>
    <w:bookmarkStart w:id="117" w:name="refs"/>
    <w:bookmarkStart w:id="44"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4"/>
    <w:bookmarkStart w:id="45"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randes2013"/>
    <w:p>
      <w:pPr>
        <w:pStyle w:val="Bibliography"/>
      </w:pPr>
      <w:r>
        <w:t xml:space="preserve">Brandes, U., Robins, G., McCranie, A., Wasserman, S., 2013. What is network science? Network science 1, 1–15.</w:t>
      </w:r>
    </w:p>
    <w:bookmarkEnd w:id="49"/>
    <w:bookmarkStart w:id="50" w:name="ref-Brughmans2013"/>
    <w:p>
      <w:pPr>
        <w:pStyle w:val="Bibliography"/>
      </w:pPr>
      <w:r>
        <w:t xml:space="preserve">Brughmans, T., 2013. Thinking through networks: A review of formal network methods in archaeology. Journal of Archaeological Method and Theory 20, 623–662.</w:t>
      </w:r>
    </w:p>
    <w:bookmarkEnd w:id="50"/>
    <w:bookmarkStart w:id="51" w:name="ref-Brughmans2014"/>
    <w:p>
      <w:pPr>
        <w:pStyle w:val="Bibliography"/>
      </w:pPr>
      <w:r>
        <w:t xml:space="preserve">Brughmans, T., Keay, S., Earl, G., 2014. Introducing exponential random graph models for visibility networks. Journal of Archaeological Science 49, 442–454.</w:t>
      </w:r>
    </w:p>
    <w:bookmarkEnd w:id="51"/>
    <w:bookmarkStart w:id="52" w:name="ref-Brughmans2018"/>
    <w:p>
      <w:pPr>
        <w:pStyle w:val="Bibliography"/>
      </w:pPr>
      <w:r>
        <w:t xml:space="preserve">Brughmans, T., Peeples, M.A., 2018. Network science. The Encyclopedia of Archaeological Sciences 1–4.</w:t>
      </w:r>
    </w:p>
    <w:bookmarkEnd w:id="52"/>
    <w:bookmarkStart w:id="53"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3"/>
    <w:bookmarkStart w:id="54" w:name="ref-Byrd1995"/>
    <w:p>
      <w:pPr>
        <w:pStyle w:val="Bibliography"/>
      </w:pPr>
      <w:r>
        <w:t xml:space="preserve">Byrd, B.F., Monahan, C.M., 1995. Death, mortuary ritual, and Natufian social structure. Journal of Anthropological Archaeology 14, 251–287.</w:t>
      </w:r>
    </w:p>
    <w:bookmarkEnd w:id="54"/>
    <w:bookmarkStart w:id="55" w:name="ref-Caimo2014"/>
    <w:p>
      <w:pPr>
        <w:pStyle w:val="Bibliography"/>
      </w:pPr>
      <w:r>
        <w:t xml:space="preserve">Caimo, A., Friel, N., 2014. Bergm: Bayesian exponential random graphs in R. Journal of Statistical Software 61, 1–25.</w:t>
      </w:r>
    </w:p>
    <w:bookmarkEnd w:id="55"/>
    <w:bookmarkStart w:id="56" w:name="ref-Caimo2013"/>
    <w:p>
      <w:pPr>
        <w:pStyle w:val="Bibliography"/>
      </w:pPr>
      <w:r>
        <w:t xml:space="preserve">Caimo, A., Friel, N., 2013. Bayesian model selection for exponential random graph models. Social Networks 35, 11–24.</w:t>
      </w:r>
    </w:p>
    <w:bookmarkEnd w:id="56"/>
    <w:bookmarkStart w:id="57" w:name="ref-Caimo2011"/>
    <w:p>
      <w:pPr>
        <w:pStyle w:val="Bibliography"/>
      </w:pPr>
      <w:r>
        <w:t xml:space="preserve">Caimo, A., Friel, N., 2011. Bayesian inference for exponential random graph models. Social Networks 33, 41–55.</w:t>
      </w:r>
    </w:p>
    <w:bookmarkEnd w:id="57"/>
    <w:bookmarkStart w:id="58" w:name="ref-Caimo2017bayesian"/>
    <w:p>
      <w:pPr>
        <w:pStyle w:val="Bibliography"/>
      </w:pPr>
      <w:r>
        <w:t xml:space="preserve">Caimo, A., Gollini, I., 2017. Bayesian computational algorithms for social network analysis. QSAR/QSPR.</w:t>
      </w:r>
    </w:p>
    <w:bookmarkEnd w:id="58"/>
    <w:bookmarkStart w:id="59" w:name="ref-Caimo2015"/>
    <w:p>
      <w:pPr>
        <w:pStyle w:val="Bibliography"/>
      </w:pPr>
      <w:r>
        <w:t xml:space="preserve">Caimo, A., Lomi, A., 2015. Knowledge sharing in organizations: A Bayesian analysis of the role of reciprocity and formal structure. Journal of Management 41, 665–691.</w:t>
      </w:r>
    </w:p>
    <w:bookmarkEnd w:id="59"/>
    <w:bookmarkStart w:id="60" w:name="ref-Caimo2017"/>
    <w:p>
      <w:pPr>
        <w:pStyle w:val="Bibliography"/>
      </w:pPr>
      <w:r>
        <w:t xml:space="preserve">Caimo, A., Pallotti, F., Lomi, A., 2017. Bayesian exponential random graph modelling of interhospital patient referral networks. Statistics in medicine 36, 2902–2920.</w:t>
      </w:r>
    </w:p>
    <w:bookmarkEnd w:id="60"/>
    <w:bookmarkStart w:id="61" w:name="ref-Carter2015"/>
    <w:p>
      <w:pPr>
        <w:pStyle w:val="Bibliography"/>
      </w:pPr>
      <w:r>
        <w:t xml:space="preserve">Carter, A.K., 2015. Beads, exchange networks and emerging complexity: A case study from Cambodia and Thailand (500 bce-ce 500). Cambridge Archaeological Journal 25, 733.</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19"/>
    <w:p>
      <w:pPr>
        <w:pStyle w:val="Bibliography"/>
      </w:pPr>
      <w:r>
        <w:t xml:space="preserve">Chen, Y., Gel, Y.R., Lyubchich, V., Nezafati, K., 2019. Snowboot: Bootstrap methods for network inference. arXiv preprint arXiv:1902.09029.</w:t>
      </w:r>
    </w:p>
    <w:bookmarkEnd w:id="63"/>
    <w:bookmarkStart w:id="64" w:name="ref-Chen2007"/>
    <w:p>
      <w:pPr>
        <w:pStyle w:val="Bibliography"/>
      </w:pPr>
      <w:r>
        <w:t xml:space="preserve">Chen, Y.-p., 2007. Qi wu lan yi zhi qiang jiu fa jue bao gao [Report on the archaeological excavations at Ki-Wu-Lan site]. Lanyang museum, Yilan, Taiwan.</w:t>
      </w:r>
    </w:p>
    <w:bookmarkEnd w:id="64"/>
    <w:bookmarkStart w:id="65" w:name="ref-Cheng2008"/>
    <w:p>
      <w:pPr>
        <w:pStyle w:val="Bibliography"/>
      </w:pPr>
      <w:r>
        <w:t xml:space="preserve">Cheng, C.-f., 2008. Qi wu lan yi zhi yu she nei yi zhi chu tu bo li zhu de xiang guan yan jiu [Studies of glass beads excavated from Kivulan and Shenei site, Taiwan] (Master’s thesis).</w:t>
      </w:r>
    </w:p>
    <w:bookmarkEnd w:id="65"/>
    <w:bookmarkStart w:id="66"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6"/>
    <w:bookmarkStart w:id="67"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7"/>
    <w:bookmarkStart w:id="68" w:name="ref-Crabtree2015"/>
    <w:p>
      <w:pPr>
        <w:pStyle w:val="Bibliography"/>
      </w:pPr>
      <w:r>
        <w:t xml:space="preserve">Crabtree, S.A., 2015. Inferring ancestral Pueblo social networks from simulation in the central Mesa Verde. Journal of Archaeological Method and Theory 22, 144–181.</w:t>
      </w:r>
    </w:p>
    <w:bookmarkEnd w:id="68"/>
    <w:bookmarkStart w:id="69"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9"/>
    <w:bookmarkStart w:id="70" w:name="ref-Dolfini2019"/>
    <w:p>
      <w:pPr>
        <w:pStyle w:val="Bibliography"/>
      </w:pPr>
      <w:r>
        <w:t xml:space="preserve">Dolfini, A., 2019. From the Neolithic to the bronze age in Central Italy: Settlement, burial, and social change at the dawn of metal production. Journal of Archaeological Research 1–54.</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hafouri2020"/>
    <w:p>
      <w:pPr>
        <w:pStyle w:val="Bibliography"/>
      </w:pPr>
      <w:r>
        <w:t xml:space="preserve">Ghafouri, S., Khasteh, S.H., 2020. A survey on exponential random graph models: An application perspective. PeerJ Computer Science 6, e269.</w:t>
      </w:r>
    </w:p>
    <w:bookmarkEnd w:id="75"/>
    <w:bookmarkStart w:id="76"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6"/>
    <w:bookmarkStart w:id="77"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7"/>
    <w:bookmarkStart w:id="78" w:name="ref-Harris2013"/>
    <w:p>
      <w:pPr>
        <w:pStyle w:val="Bibliography"/>
      </w:pPr>
      <w:r>
        <w:t xml:space="preserve">Harris, J.K., 2013. An introduction to exponential random graph modeling. Sage Publications.</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in2013"/>
    <w:p>
      <w:pPr>
        <w:pStyle w:val="Bibliography"/>
      </w:pPr>
      <w:r>
        <w:t xml:space="preserve">Jin, I.H., Yuan, Y., Liang, F., 2013. Bayesian analysis for exponential random graph models using the adaptive exchange sampler. Statistics and its interface 6, 559.</w:t>
      </w:r>
    </w:p>
    <w:bookmarkEnd w:id="83"/>
    <w:bookmarkStart w:id="84" w:name="ref-Jorgensen1991"/>
    <w:p>
      <w:pPr>
        <w:pStyle w:val="Bibliography"/>
      </w:pPr>
      <w:r>
        <w:t xml:space="preserve">Jorgensen, L., 1991. Castel Trosina and Nocera Umbr, a chronological and social analysis of family burial practices in Lombard Italy (6^ th-8^ thCent. AD). Acta Archaeologica 62.</w:t>
      </w:r>
    </w:p>
    <w:bookmarkEnd w:id="84"/>
    <w:bookmarkStart w:id="85" w:name="ref-Koskinen2010"/>
    <w:p>
      <w:pPr>
        <w:pStyle w:val="Bibliography"/>
      </w:pPr>
      <w:r>
        <w:t xml:space="preserve">Koskinen, J.H., Robins, G.L., Pattison, P.E., 2010. Analysing exponential random graph (p-star) models with missing data using Bayesian data augmentation. Statistical Methodology 7, 366–384.</w:t>
      </w:r>
    </w:p>
    <w:bookmarkEnd w:id="85"/>
    <w:bookmarkStart w:id="86" w:name="ref-Lehmann2020"/>
    <w:p>
      <w:pPr>
        <w:pStyle w:val="Bibliography"/>
      </w:pPr>
      <w:r>
        <w:t xml:space="preserve">Lehmann, B.C., Henson, R.N., Geerligs, L., White, S.R., others, 2020. Characterising group-level brain connectivity: A framework using Bayesian exponential random graph models. bioRxiv 665398.</w:t>
      </w:r>
    </w:p>
    <w:bookmarkEnd w:id="86"/>
    <w:bookmarkStart w:id="87" w:name="ref-LiandWu2006"/>
    <w:p>
      <w:pPr>
        <w:pStyle w:val="Bibliography"/>
      </w:pPr>
      <w:r>
        <w:t xml:space="preserve">Li, Y.-z., Wu, M.-z., 2006. Qing zai xi ban ya ren zai tai wan, 1626-1642 [the Spanish in Taiwan]. Taiwan Historica, Nantou.</w:t>
      </w:r>
    </w:p>
    <w:bookmarkEnd w:id="87"/>
    <w:bookmarkStart w:id="88" w:name="ref-Liu2006"/>
    <w:p>
      <w:pPr>
        <w:pStyle w:val="Bibliography"/>
      </w:pPr>
      <w:r>
        <w:t xml:space="preserve">Liu, L., Chen, X., 2006. Sociopolitical change from Neolithic to Bronze Age China 149–176.</w:t>
      </w:r>
    </w:p>
    <w:bookmarkEnd w:id="88"/>
    <w:bookmarkStart w:id="89"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9"/>
    <w:bookmarkStart w:id="9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ibliography"/>
      </w:pPr>
      <w:r>
        <w:t xml:space="preserve">Marwick, B., Boettiger, C., Mullen, L., 2018. Packaging data analytical work reproducibly using R (and friends). The American Statistician 72, 80–88.</w:t>
      </w:r>
    </w:p>
    <w:bookmarkEnd w:id="92"/>
    <w:bookmarkStart w:id="93" w:name="ref-Mills2017"/>
    <w:p>
      <w:pPr>
        <w:pStyle w:val="Bibliography"/>
      </w:pPr>
      <w:r>
        <w:t xml:space="preserve">Mills, B.J., 2017. Social network analysis in archaeology. Annual review of anthropology 46, 379–397.</w:t>
      </w:r>
    </w:p>
    <w:bookmarkEnd w:id="93"/>
    <w:bookmarkStart w:id="94"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4"/>
    <w:bookmarkStart w:id="95" w:name="ref-Morris2008"/>
    <w:p>
      <w:pPr>
        <w:pStyle w:val="Bibliography"/>
      </w:pPr>
      <w:r>
        <w:t xml:space="preserve">Morris, M., Handcock, M.S., Hunter, D.R., 2008. Specification of exponential-family random graph models: Terms and computational aspects. Journal of statistical software 24, 1548.</w:t>
      </w:r>
    </w:p>
    <w:bookmarkEnd w:id="95"/>
    <w:bookmarkStart w:id="96" w:name="ref-Nemmers2019"/>
    <w:p>
      <w:pPr>
        <w:pStyle w:val="Bibliography"/>
      </w:pPr>
      <w:r>
        <w:t xml:space="preserve">Nemmers, T., Narayan, A., Banerjee, S., 2019. Bayesian modeling and uncertainty quantification for descriptive social networks. Statistics and its interface 12, 181.</w:t>
      </w:r>
    </w:p>
    <w:bookmarkEnd w:id="96"/>
    <w:bookmarkStart w:id="97" w:name="ref-Ostborn2015"/>
    <w:p>
      <w:pPr>
        <w:pStyle w:val="Bibliography"/>
      </w:pPr>
      <w:r>
        <w:t xml:space="preserve">Östborn, P., Gerding, H., 2015. The diffusion of fired bricks in Hellenistic Europe: A similarity network analysis. Journal of Archaeological Method and Theory 22, 306–344.</w:t>
      </w:r>
    </w:p>
    <w:bookmarkEnd w:id="97"/>
    <w:bookmarkStart w:id="98" w:name="ref-Pearson1982"/>
    <w:p>
      <w:pPr>
        <w:pStyle w:val="Bibliography"/>
      </w:pPr>
      <w:r>
        <w:t xml:space="preserve">Pearson, P., 1982. Mortuary practices, society and ideology: An ethnoarchaeological study, in: Hodder, I. (Ed.), Symbolic and Structural Archaeology. Cambridge.</w:t>
      </w:r>
    </w:p>
    <w:bookmarkEnd w:id="98"/>
    <w:bookmarkStart w:id="99" w:name="ref-Peeples2019"/>
    <w:p>
      <w:pPr>
        <w:pStyle w:val="Bibliography"/>
      </w:pPr>
      <w:r>
        <w:t xml:space="preserve">Peeples, M.A., 2019. Finding a place for networks in archaeology. Journal of Archaeological Research 27, 451–499.</w:t>
      </w:r>
    </w:p>
    <w:bookmarkEnd w:id="99"/>
    <w:bookmarkStart w:id="100" w:name="ref-Rlanguage2019"/>
    <w:p>
      <w:pPr>
        <w:pStyle w:val="Bibliography"/>
      </w:pPr>
      <w:r>
        <w:t xml:space="preserve">R Core Team, 2019. R: A language and environment for statistical computing. R Foundation for Statistical Computing, Vienna, Austria.</w:t>
      </w:r>
    </w:p>
    <w:bookmarkEnd w:id="100"/>
    <w:bookmarkStart w:id="102"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1">
        <w:r>
          <w:rPr>
            <w:rStyle w:val="Hyperlink"/>
          </w:rPr>
          <w:t xml:space="preserve">https://doi.org/https://doi.org/10.1016/j.socnet.2020.11.005</w:t>
        </w:r>
      </w:hyperlink>
    </w:p>
    <w:bookmarkEnd w:id="102"/>
    <w:bookmarkStart w:id="103" w:name="ref-Salvini2010"/>
    <w:p>
      <w:pPr>
        <w:pStyle w:val="Bibliography"/>
      </w:pPr>
      <w:r>
        <w:t xml:space="preserve">Salvini, A., 2010. Symbolic interactionism and social network analysis: An uncertain encounter. Symbolic Interaction 33, 364–388.</w:t>
      </w:r>
    </w:p>
    <w:bookmarkEnd w:id="103"/>
    <w:bookmarkStart w:id="104" w:name="ref-Saxe1970"/>
    <w:p>
      <w:pPr>
        <w:pStyle w:val="Bibliography"/>
      </w:pPr>
      <w:r>
        <w:t xml:space="preserve">Saxe, A., 1970. Social dimensions of mortuary practices (PhD thesis). University of Michigan.</w:t>
      </w:r>
    </w:p>
    <w:bookmarkEnd w:id="104"/>
    <w:bookmarkStart w:id="105" w:name="ref-Schweinberger2011"/>
    <w:p>
      <w:pPr>
        <w:pStyle w:val="Bibliography"/>
      </w:pPr>
      <w:r>
        <w:t xml:space="preserve">Schweinberger, M., 2011. Instability, sensitivity, and degeneracy of discrete exponential families. Journal of the American Statistical Association 106, 1361–1370.</w:t>
      </w:r>
    </w:p>
    <w:bookmarkEnd w:id="105"/>
    <w:bookmarkStart w:id="106" w:name="ref-Seikel2011"/>
    <w:p>
      <w:pPr>
        <w:pStyle w:val="Bibliography"/>
      </w:pPr>
      <w:r>
        <w:t xml:space="preserve">Seikel, K., 2011. Mortuary contexts and social structure at Nan Madol, Pohnpei. The Journal of Island and Coastal Archaeology 6, 442–460.</w:t>
      </w:r>
    </w:p>
    <w:bookmarkEnd w:id="106"/>
    <w:bookmarkStart w:id="107" w:name="ref-Siegel1999"/>
    <w:p>
      <w:pPr>
        <w:pStyle w:val="Bibliography"/>
      </w:pPr>
      <w:r>
        <w:t xml:space="preserve">Siegel, P.E., 1999. Contested places and places of contest: The evolution of social power and ceremonial space in prehistoric Puerto Rico. Latin American Antiquity 209–238.</w:t>
      </w:r>
    </w:p>
    <w:bookmarkEnd w:id="107"/>
    <w:bookmarkStart w:id="108" w:name="ref-Silliman2005"/>
    <w:p>
      <w:pPr>
        <w:pStyle w:val="Bibliography"/>
      </w:pPr>
      <w:r>
        <w:t xml:space="preserve">Silliman, S.W., 2005. Culture contact or colonialism? Challenges in the archaeology of Native North America. American Antiquity 55–74.</w:t>
      </w:r>
    </w:p>
    <w:bookmarkEnd w:id="108"/>
    <w:bookmarkStart w:id="109" w:name="ref-Snijders2011"/>
    <w:p>
      <w:pPr>
        <w:pStyle w:val="Bibliography"/>
      </w:pPr>
      <w:r>
        <w:t xml:space="preserve">Snijders, T.A., 2011. Statistical models for social networks. Annual Review of Sociology 37.</w:t>
      </w:r>
    </w:p>
    <w:bookmarkEnd w:id="109"/>
    <w:bookmarkStart w:id="110" w:name="ref-Snijders1999"/>
    <w:p>
      <w:pPr>
        <w:pStyle w:val="Bibliography"/>
      </w:pPr>
      <w:r>
        <w:t xml:space="preserve">Snijders, T.A., Borgatti, S.P., 1999. Non-parametric standard errors and tests for network statistics. Connections 22, 161–170.</w:t>
      </w:r>
    </w:p>
    <w:bookmarkEnd w:id="110"/>
    <w:bookmarkStart w:id="111" w:name="ref-Snijders2006"/>
    <w:p>
      <w:pPr>
        <w:pStyle w:val="Bibliography"/>
      </w:pPr>
      <w:r>
        <w:t xml:space="preserve">Snijders, T.A., Pattison, P.E., Robins, G.L., Handcock, M.S., 2006. New specifications for exponential random graph models. Sociological methodology 36, 99–153.</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Ueda2016"/>
    <w:p>
      <w:pPr>
        <w:pStyle w:val="Bibliography"/>
      </w:pPr>
      <w:r>
        <w:t xml:space="preserve">Ueda, K., Wibisono, S.C., Harkantiningsih, N., Lim, C.S., 2016. Paths to power in the early stage of colonialism: An archaeological study of the sultanate of Banten, Java, Indonesia, the seventeenth to early nineteenth century. Asian Perspectives 89–119.</w:t>
      </w:r>
    </w:p>
    <w:bookmarkEnd w:id="113"/>
    <w:bookmarkStart w:id="114" w:name="ref-Voss2005"/>
    <w:p>
      <w:pPr>
        <w:pStyle w:val="Bibliography"/>
      </w:pPr>
      <w:r>
        <w:t xml:space="preserve">Voss, B.L., 2005. From Casta to Californio: Social identity and the archaeology of culture contact. American Anthropologist 107, 461–474.</w:t>
      </w:r>
    </w:p>
    <w:bookmarkEnd w:id="114"/>
    <w:bookmarkStart w:id="115" w:name="ref-Wang2011"/>
    <w:p>
      <w:pPr>
        <w:pStyle w:val="Bibliography"/>
      </w:pPr>
      <w:r>
        <w:t xml:space="preserve">Wang, L.-Y., 2011. Yilan Kiwulan yizhi chutu zhuangshipin zhi xiangguan yanjiu [A research of ornaments excavated at Kiwulan site, I-lan] (Master’s thesis).</w:t>
      </w:r>
    </w:p>
    <w:bookmarkEnd w:id="115"/>
    <w:bookmarkStart w:id="116"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6"/>
    <w:bookmarkEnd w:id="117"/>
    <w:p>
      <w:pPr>
        <w:pStyle w:val="Heading5"/>
      </w:pPr>
      <w:bookmarkStart w:id="118" w:name="pagebreak-1"/>
      <w:r>
        <w:t xml:space="preserve">0.0.0.0.2	pagebreak</w:t>
      </w:r>
      <w:bookmarkEnd w:id="118"/>
    </w:p>
    <w:p>
      <w:pPr>
        <w:pStyle w:val="Heading3"/>
      </w:pPr>
      <w:bookmarkStart w:id="119" w:name="colophon"/>
      <w:r>
        <w:t xml:space="preserve">0.0.1	Colophon</w:t>
      </w:r>
      <w:bookmarkEnd w:id="119"/>
    </w:p>
    <w:p>
      <w:pPr>
        <w:pStyle w:val="FirstParagraph"/>
      </w:pPr>
      <w:r>
        <w:t xml:space="preserve">This report was generated on 2021-02-18 23:07:44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2021-02-18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cli           2.3.0   2021-01-31 [1]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1.31    2021-01-27 [1]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magick      * 2.6.0   2021-01-13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/private/var/folders/gd/flx6648926xgtkrpp55bl7200000gn/T/Rtmp9poGhH/renv-system-library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[3556b6f] 2021-02-19: add a table to SI</w:t>
      </w:r>
    </w:p>
    <w:p>
      <w:pPr>
        <w:pStyle w:val="FirstParagraph"/>
      </w:pPr>
      <w:r>
        <w:t xml:space="preserve">Word count: 2263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90" Target="https://doi.org/10.1007/s10816-015-9272-9" TargetMode="External" /><Relationship Type="http://schemas.openxmlformats.org/officeDocument/2006/relationships/hyperlink" Id="rId101" Target="https://doi.org/https://doi.org/10.1016/j.socnet.2020.11.005" TargetMode="External" /><Relationship Type="http://schemas.openxmlformats.org/officeDocument/2006/relationships/hyperlink" Id="rId33"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s10816-015-9272-9" TargetMode="External" /><Relationship Type="http://schemas.openxmlformats.org/officeDocument/2006/relationships/hyperlink" Id="rId101" Target="https://doi.org/https://doi.org/10.1016/j.socnet.2020.11.005" TargetMode="External" /><Relationship Type="http://schemas.openxmlformats.org/officeDocument/2006/relationships/hyperlink" Id="rId33"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2021-02-19T07:07:53Z</dcterms:created>
  <dcterms:modified xsi:type="dcterms:W3CDTF">2021-02-19T07:07:53Z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to infer interactions and relationships between entities. Statistical approaches to network analysis, such as exponential random graph models (ERGMs), provide a way to test hypotheses on dynamic processes of network formation. However, the computational difficulty and sensitivity to uncertainties limits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in the process that led to the formation of the burial network, from ties based on ritual objects to wealth objects, and a more centralized structure with increased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February,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