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2.png" ContentType="image/png"/>
  <Override PartName="/word/media/rId25.png" ContentType="image/png"/>
  <Override PartName="/word/media/rId28.png" ContentType="image/png"/>
  <Override PartName="/word/media/rId36.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10</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Burials analysis by archaeologists is an approach to understand past social structure through the study of the physical traces of mortuary practices. The material cultures and biological records of burial behaviors can represent the social ranking or identity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theories, the recent development of social network analysis provides many new tools to visualize and analyze relationships for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That is,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similarity,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reastern-taiwan"/>
      <w:r>
        <w:t xml:space="preserve">A Case Study from Northereastern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1</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w:t>
      </w:r>
      <w:r>
        <w:t xml:space="preserve"> </w:t>
      </w:r>
      <w:r>
        <w:t xml:space="preserve">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the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does the observed burial data after the start of European presence resemble the network of our model? (2) did European colonial activities in 17th century Taiwan result in an increased social inequality in an Indigenous society in ways that can be detected by burials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the reactions of Kiwulan residents in the context of indirect impacts of European colonization.</w:t>
      </w:r>
    </w:p>
    <w:p>
      <w:pPr>
        <w:pStyle w:val="CaptionedFigure"/>
      </w:pPr>
      <w:r>
        <w:drawing>
          <wp:inline>
            <wp:extent cx="5943600" cy="2639942"/>
            <wp:effectExtent b="0" l="0" r="0" t="0"/>
            <wp:docPr descr="Figure 1: 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other places with the European forts in northern Taiwan mentioned in the text (map modified from Wang and Marwick, 2020). Map data from naturalearthdata.com.</w:t>
      </w:r>
    </w:p>
    <w:p>
      <w:pPr>
        <w:pStyle w:val="Heading1"/>
      </w:pPr>
      <w:bookmarkStart w:id="23" w:name="X9f442a34850d9249fdd5db7947391d321101960"/>
      <w:r>
        <w:t xml:space="preserve">Exponential random graph models in a Baysesian framework</w:t>
      </w:r>
      <w:bookmarkEnd w:id="23"/>
    </w:p>
    <w:p>
      <w:pPr>
        <w:pStyle w:val="FirstParagraph"/>
      </w:pPr>
      <w:r>
        <w:t xml:space="preserve">Bayesian approach to Exponential Random Graph Models (ERGMs) is an effective way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network analysis used by archaeologist is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The use of ERGM in archaeology is first introduced by</w:t>
      </w:r>
      <w:r>
        <w:t xml:space="preserve"> </w:t>
      </w:r>
      <w:r>
        <w:t xml:space="preserve">Brughmans et al. (2014)</w:t>
      </w:r>
      <w:r>
        <w:t xml:space="preserve">, who studied the Iron age settlement pattern based on 159 Iron Age sites in Southern Spain by modeling inter-settlement visibility networks and visual control.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their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incorporates prior information about the network configurations into the model and offers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4" w:name="materials"/>
      <w:r>
        <w:t xml:space="preserve">Materials</w:t>
      </w:r>
      <w:bookmarkEnd w:id="24"/>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2</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6" w:name="methods"/>
      <w:r>
        <w:t xml:space="preserve">Methods</w:t>
      </w:r>
      <w:bookmarkEnd w:id="26"/>
    </w:p>
    <w:p>
      <w:pPr>
        <w:pStyle w:val="Heading2"/>
      </w:pPr>
      <w:bookmarkStart w:id="27" w:name="hypothesis-and-construction-of-networks"/>
      <w:r>
        <w:t xml:space="preserve">Hypothesis and construction of networks</w:t>
      </w:r>
      <w:bookmarkEnd w:id="27"/>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 3), upper-middle (= 3), lower-middle (= 2), and low (= 1); carnelian beads are in levels of high (&gt; 6), upper-middle (= 4-6), lower-middle (= 3), and low (= 1-2); glass beads are in levels of high (&gt; 6), upper-middle (= 3-6), lower-middle (= 2), and low (=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 29, about 10 percent), above average (= 12-28), and below average (&lt; 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9" w:name="Xd605f7269e86ccd6b2b8b39b2c599ff50eb1757"/>
      <w:r>
        <w:t xml:space="preserve">Model specification in a Bayesian framework</w:t>
      </w:r>
      <w:bookmarkEnd w:id="29"/>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1: The parameters of exponential random graph models for a undirected network to corresponding with archaeological evidence.</w:t>
      </w:r>
    </w:p>
    <w:tbl>
      <w:tblPr>
        <w:tblStyle w:val="Table"/>
        <w:tblW w:type="pct" w:w="5000.0"/>
        <w:tblLook w:firstRow="1"/>
        <w:tblCaption w:val="Table 1: The parameters of exponential random graph models for a undirected network to corresponding with archaeological evidence."/>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Property</w:t>
            </w:r>
          </w:p>
        </w:tc>
        <w:tc>
          <w:tcPr>
            <w:tcBorders>
              <w:bottom w:val="single"/>
            </w:tcBorders>
            <w:vAlign w:val="bottom"/>
          </w:tcPr>
          <w:p>
            <w:pPr>
              <w:pStyle w:val="Compact"/>
              <w:jc w:val="left"/>
            </w:pPr>
            <w:r>
              <w:t xml:space="preserve">Configurations (effect/parameter)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30" w:name="X1d9039aecbbcb44c2dfa3a9268a6c9535658f66"/>
      <w:r>
        <w:t xml:space="preserve">Reproducibility and open source materials</w:t>
      </w:r>
      <w:bookmarkEnd w:id="30"/>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1">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the pre-European network simulations, the nodal covariates, ritual-homophily, have significant effects on the formation of relations between burials. The positive effect demostrates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TableCaption"/>
      </w:pPr>
      <w:r>
        <w:t xml:space="preserve">Table 2: Estimated posterior means, standard deviation, medians, and 95% credible intervals for the pre-Euroepan model</w:t>
      </w:r>
    </w:p>
    <w:tbl>
      <w:tblPr>
        <w:tblStyle w:val="Table"/>
        <w:tblW w:type="pct" w:w="0.0"/>
        <w:tblLook w:firstRow="1"/>
        <w:tblCaption w:val="Table 2: Estimated posterior means, standard deviation, medians, and 95% credible intervals for the pre-Euroepan model"/>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phase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97.5%</w:t>
            </w:r>
          </w:p>
        </w:tc>
      </w:tr>
      <w:tr>
        <w:tc>
          <w:p>
            <w:pPr>
              <w:pStyle w:val="Compact"/>
              <w:jc w:val="left"/>
            </w:pPr>
            <w:r>
              <w:t xml:space="preserve">edges</w:t>
            </w:r>
          </w:p>
        </w:tc>
        <w:tc>
          <w:p>
            <w:pPr>
              <w:pStyle w:val="Compact"/>
              <w:jc w:val="left"/>
            </w:pPr>
            <w:r>
              <w:t xml:space="preserve">post</w:t>
            </w:r>
          </w:p>
        </w:tc>
        <w:tc>
          <w:p>
            <w:pPr>
              <w:pStyle w:val="Compact"/>
              <w:jc w:val="right"/>
            </w:pPr>
            <w:r>
              <w:t xml:space="preserve">-13.91</w:t>
            </w:r>
          </w:p>
        </w:tc>
        <w:tc>
          <w:p>
            <w:pPr>
              <w:pStyle w:val="Compact"/>
              <w:jc w:val="right"/>
            </w:pPr>
            <w:r>
              <w:t xml:space="preserve">-13.91</w:t>
            </w:r>
          </w:p>
        </w:tc>
        <w:tc>
          <w:p>
            <w:pPr>
              <w:pStyle w:val="Compact"/>
              <w:jc w:val="right"/>
            </w:pPr>
            <w:r>
              <w:t xml:space="preserve">-14.35</w:t>
            </w:r>
          </w:p>
        </w:tc>
        <w:tc>
          <w:p>
            <w:pPr>
              <w:pStyle w:val="Compact"/>
              <w:jc w:val="right"/>
            </w:pPr>
            <w:r>
              <w:t xml:space="preserve">-14.26</w:t>
            </w:r>
          </w:p>
        </w:tc>
      </w:tr>
      <w:tr>
        <w:tc>
          <w:p>
            <w:pPr>
              <w:pStyle w:val="Compact"/>
              <w:jc w:val="left"/>
            </w:pPr>
            <w:r>
              <w:t xml:space="preserve">edges</w:t>
            </w:r>
          </w:p>
        </w:tc>
        <w:tc>
          <w:p>
            <w:pPr>
              <w:pStyle w:val="Compact"/>
              <w:jc w:val="left"/>
            </w:pPr>
            <w:r>
              <w:t xml:space="preserve">pre</w:t>
            </w:r>
          </w:p>
        </w:tc>
        <w:tc>
          <w:p>
            <w:pPr>
              <w:pStyle w:val="Compact"/>
              <w:jc w:val="right"/>
            </w:pPr>
            <w:r>
              <w:t xml:space="preserve">-24.23</w:t>
            </w:r>
          </w:p>
        </w:tc>
        <w:tc>
          <w:p>
            <w:pPr>
              <w:pStyle w:val="Compact"/>
              <w:jc w:val="right"/>
            </w:pPr>
            <w:r>
              <w:t xml:space="preserve">-24.35</w:t>
            </w:r>
          </w:p>
        </w:tc>
        <w:tc>
          <w:p>
            <w:pPr>
              <w:pStyle w:val="Compact"/>
              <w:jc w:val="right"/>
            </w:pPr>
            <w:r>
              <w:t xml:space="preserve">-25.55</w:t>
            </w:r>
          </w:p>
        </w:tc>
        <w:tc>
          <w:p>
            <w:pPr>
              <w:pStyle w:val="Compact"/>
              <w:jc w:val="right"/>
            </w:pPr>
            <w:r>
              <w:t xml:space="preserve">-25.36</w:t>
            </w:r>
          </w:p>
        </w:tc>
      </w:tr>
      <w:tr>
        <w:tc>
          <w:p>
            <w:pPr>
              <w:pStyle w:val="Compact"/>
              <w:jc w:val="left"/>
            </w:pPr>
            <w:r>
              <w:t xml:space="preserve">nodematch.age</w:t>
            </w:r>
          </w:p>
        </w:tc>
        <w:tc>
          <w:p>
            <w:pPr>
              <w:pStyle w:val="Compact"/>
              <w:jc w:val="left"/>
            </w:pPr>
            <w:r>
              <w:t xml:space="preserve">post</w:t>
            </w:r>
          </w:p>
        </w:tc>
        <w:tc>
          <w:p>
            <w:pPr>
              <w:pStyle w:val="Compact"/>
              <w:jc w:val="right"/>
            </w:pPr>
            <w:r>
              <w:t xml:space="preserve">0.07</w:t>
            </w:r>
          </w:p>
        </w:tc>
        <w:tc>
          <w:p>
            <w:pPr>
              <w:pStyle w:val="Compact"/>
              <w:jc w:val="right"/>
            </w:pPr>
            <w:r>
              <w:t xml:space="preserve">0.09</w:t>
            </w:r>
          </w:p>
        </w:tc>
        <w:tc>
          <w:p>
            <w:pPr>
              <w:pStyle w:val="Compact"/>
              <w:jc w:val="right"/>
            </w:pPr>
            <w:r>
              <w:t xml:space="preserve">-0.37</w:t>
            </w:r>
          </w:p>
        </w:tc>
        <w:tc>
          <w:p>
            <w:pPr>
              <w:pStyle w:val="Compact"/>
              <w:jc w:val="right"/>
            </w:pPr>
            <w:r>
              <w:t xml:space="preserve">-0.25</w:t>
            </w:r>
          </w:p>
        </w:tc>
      </w:tr>
      <w:tr>
        <w:tc>
          <w:p>
            <w:pPr>
              <w:pStyle w:val="Compact"/>
              <w:jc w:val="left"/>
            </w:pPr>
            <w:r>
              <w:t xml:space="preserve">nodematch.age</w:t>
            </w:r>
          </w:p>
        </w:tc>
        <w:tc>
          <w:p>
            <w:pPr>
              <w:pStyle w:val="Compact"/>
              <w:jc w:val="left"/>
            </w:pPr>
            <w:r>
              <w:t xml:space="preserve">pre</w:t>
            </w:r>
          </w:p>
        </w:tc>
        <w:tc>
          <w:p>
            <w:pPr>
              <w:pStyle w:val="Compact"/>
              <w:jc w:val="right"/>
            </w:pPr>
            <w:r>
              <w:t xml:space="preserve">0.24</w:t>
            </w:r>
          </w:p>
        </w:tc>
        <w:tc>
          <w:p>
            <w:pPr>
              <w:pStyle w:val="Compact"/>
              <w:jc w:val="right"/>
            </w:pPr>
            <w:r>
              <w:t xml:space="preserve">0.25</w:t>
            </w:r>
          </w:p>
        </w:tc>
        <w:tc>
          <w:p>
            <w:pPr>
              <w:pStyle w:val="Compact"/>
              <w:jc w:val="right"/>
            </w:pPr>
            <w:r>
              <w:t xml:space="preserve">-0.36</w:t>
            </w:r>
          </w:p>
        </w:tc>
        <w:tc>
          <w:p>
            <w:pPr>
              <w:pStyle w:val="Compact"/>
              <w:jc w:val="right"/>
            </w:pPr>
            <w:r>
              <w:t xml:space="preserve">-0.19</w:t>
            </w:r>
          </w:p>
        </w:tc>
      </w:tr>
      <w:tr>
        <w:tc>
          <w:p>
            <w:pPr>
              <w:pStyle w:val="Compact"/>
              <w:jc w:val="left"/>
            </w:pPr>
            <w:r>
              <w:t xml:space="preserve">nodematch.sex</w:t>
            </w:r>
          </w:p>
        </w:tc>
        <w:tc>
          <w:p>
            <w:pPr>
              <w:pStyle w:val="Compact"/>
              <w:jc w:val="left"/>
            </w:pPr>
            <w:r>
              <w:t xml:space="preserve">post</w:t>
            </w:r>
          </w:p>
        </w:tc>
        <w:tc>
          <w:p>
            <w:pPr>
              <w:pStyle w:val="Compact"/>
              <w:jc w:val="right"/>
            </w:pPr>
            <w:r>
              <w:t xml:space="preserve">-0.17</w:t>
            </w:r>
          </w:p>
        </w:tc>
        <w:tc>
          <w:p>
            <w:pPr>
              <w:pStyle w:val="Compact"/>
              <w:jc w:val="right"/>
            </w:pPr>
            <w:r>
              <w:t xml:space="preserve">-0.19</w:t>
            </w:r>
          </w:p>
        </w:tc>
        <w:tc>
          <w:p>
            <w:pPr>
              <w:pStyle w:val="Compact"/>
              <w:jc w:val="right"/>
            </w:pPr>
            <w:r>
              <w:t xml:space="preserve">-0.51</w:t>
            </w:r>
          </w:p>
        </w:tc>
        <w:tc>
          <w:p>
            <w:pPr>
              <w:pStyle w:val="Compact"/>
              <w:jc w:val="right"/>
            </w:pPr>
            <w:r>
              <w:t xml:space="preserve">-0.44</w:t>
            </w:r>
          </w:p>
        </w:tc>
      </w:tr>
      <w:tr>
        <w:tc>
          <w:p>
            <w:pPr>
              <w:pStyle w:val="Compact"/>
              <w:jc w:val="left"/>
            </w:pPr>
            <w:r>
              <w:t xml:space="preserve">nodematch.sex</w:t>
            </w:r>
          </w:p>
        </w:tc>
        <w:tc>
          <w:p>
            <w:pPr>
              <w:pStyle w:val="Compact"/>
              <w:jc w:val="left"/>
            </w:pPr>
            <w:r>
              <w:t xml:space="preserve">pre</w:t>
            </w:r>
          </w:p>
        </w:tc>
        <w:tc>
          <w:p>
            <w:pPr>
              <w:pStyle w:val="Compact"/>
              <w:jc w:val="right"/>
            </w:pPr>
            <w:r>
              <w:t xml:space="preserve">0.27</w:t>
            </w:r>
          </w:p>
        </w:tc>
        <w:tc>
          <w:p>
            <w:pPr>
              <w:pStyle w:val="Compact"/>
              <w:jc w:val="right"/>
            </w:pPr>
            <w:r>
              <w:t xml:space="preserve">0.26</w:t>
            </w:r>
          </w:p>
        </w:tc>
        <w:tc>
          <w:p>
            <w:pPr>
              <w:pStyle w:val="Compact"/>
              <w:jc w:val="right"/>
            </w:pPr>
            <w:r>
              <w:t xml:space="preserve">-0.32</w:t>
            </w:r>
          </w:p>
        </w:tc>
        <w:tc>
          <w:p>
            <w:pPr>
              <w:pStyle w:val="Compact"/>
              <w:jc w:val="right"/>
            </w:pPr>
            <w:r>
              <w:t xml:space="preserve">-0.16</w:t>
            </w:r>
          </w:p>
        </w:tc>
      </w:tr>
      <w:tr>
        <w:tc>
          <w:p>
            <w:pPr>
              <w:pStyle w:val="Compact"/>
              <w:jc w:val="left"/>
            </w:pPr>
            <w:r>
              <w:t xml:space="preserve">nodematch.ritual</w:t>
            </w:r>
          </w:p>
        </w:tc>
        <w:tc>
          <w:p>
            <w:pPr>
              <w:pStyle w:val="Compact"/>
              <w:jc w:val="left"/>
            </w:pPr>
            <w:r>
              <w:t xml:space="preserve">post</w:t>
            </w:r>
          </w:p>
        </w:tc>
        <w:tc>
          <w:p>
            <w:pPr>
              <w:pStyle w:val="Compact"/>
              <w:jc w:val="right"/>
            </w:pPr>
            <w:r>
              <w:t xml:space="preserve">-0.11</w:t>
            </w:r>
          </w:p>
        </w:tc>
        <w:tc>
          <w:p>
            <w:pPr>
              <w:pStyle w:val="Compact"/>
              <w:jc w:val="right"/>
            </w:pPr>
            <w:r>
              <w:t xml:space="preserve">-0.11</w:t>
            </w:r>
          </w:p>
        </w:tc>
        <w:tc>
          <w:p>
            <w:pPr>
              <w:pStyle w:val="Compact"/>
              <w:jc w:val="right"/>
            </w:pPr>
            <w:r>
              <w:t xml:space="preserve">-0.43</w:t>
            </w:r>
          </w:p>
        </w:tc>
        <w:tc>
          <w:p>
            <w:pPr>
              <w:pStyle w:val="Compact"/>
              <w:jc w:val="right"/>
            </w:pPr>
            <w:r>
              <w:t xml:space="preserve">-0.37</w:t>
            </w:r>
          </w:p>
        </w:tc>
      </w:tr>
      <w:tr>
        <w:tc>
          <w:p>
            <w:pPr>
              <w:pStyle w:val="Compact"/>
              <w:jc w:val="left"/>
            </w:pPr>
            <w:r>
              <w:t xml:space="preserve">nodematch.ritual</w:t>
            </w:r>
          </w:p>
        </w:tc>
        <w:tc>
          <w:p>
            <w:pPr>
              <w:pStyle w:val="Compact"/>
              <w:jc w:val="left"/>
            </w:pPr>
            <w:r>
              <w:t xml:space="preserve">pre</w:t>
            </w:r>
          </w:p>
        </w:tc>
        <w:tc>
          <w:p>
            <w:pPr>
              <w:pStyle w:val="Compact"/>
              <w:jc w:val="right"/>
            </w:pPr>
            <w:r>
              <w:t xml:space="preserve">1.97</w:t>
            </w:r>
          </w:p>
        </w:tc>
        <w:tc>
          <w:p>
            <w:pPr>
              <w:pStyle w:val="Compact"/>
              <w:jc w:val="right"/>
            </w:pPr>
            <w:r>
              <w:t xml:space="preserve">2.08</w:t>
            </w:r>
          </w:p>
        </w:tc>
        <w:tc>
          <w:p>
            <w:pPr>
              <w:pStyle w:val="Compact"/>
              <w:jc w:val="right"/>
            </w:pPr>
            <w:r>
              <w:t xml:space="preserve">0.83</w:t>
            </w:r>
          </w:p>
        </w:tc>
        <w:tc>
          <w:p>
            <w:pPr>
              <w:pStyle w:val="Compact"/>
              <w:jc w:val="right"/>
            </w:pPr>
            <w:r>
              <w:t xml:space="preserve">1.07</w:t>
            </w:r>
          </w:p>
        </w:tc>
      </w:tr>
      <w:tr>
        <w:tc>
          <w:p>
            <w:pPr>
              <w:pStyle w:val="Compact"/>
              <w:jc w:val="left"/>
            </w:pPr>
            <w:r>
              <w:t xml:space="preserve">nodematch.value</w:t>
            </w:r>
          </w:p>
        </w:tc>
        <w:tc>
          <w:p>
            <w:pPr>
              <w:pStyle w:val="Compact"/>
              <w:jc w:val="left"/>
            </w:pPr>
            <w:r>
              <w:t xml:space="preserve">post</w:t>
            </w:r>
          </w:p>
        </w:tc>
        <w:tc>
          <w:p>
            <w:pPr>
              <w:pStyle w:val="Compact"/>
              <w:jc w:val="right"/>
            </w:pPr>
            <w:r>
              <w:t xml:space="preserve">0.52</w:t>
            </w:r>
          </w:p>
        </w:tc>
        <w:tc>
          <w:p>
            <w:pPr>
              <w:pStyle w:val="Compact"/>
              <w:jc w:val="right"/>
            </w:pPr>
            <w:r>
              <w:t xml:space="preserve">0.52</w:t>
            </w:r>
          </w:p>
        </w:tc>
        <w:tc>
          <w:p>
            <w:pPr>
              <w:pStyle w:val="Compact"/>
              <w:jc w:val="right"/>
            </w:pPr>
            <w:r>
              <w:t xml:space="preserve">0.15</w:t>
            </w:r>
          </w:p>
        </w:tc>
        <w:tc>
          <w:p>
            <w:pPr>
              <w:pStyle w:val="Compact"/>
              <w:jc w:val="right"/>
            </w:pPr>
            <w:r>
              <w:t xml:space="preserve">0.21</w:t>
            </w:r>
          </w:p>
        </w:tc>
      </w:tr>
      <w:tr>
        <w:tc>
          <w:p>
            <w:pPr>
              <w:pStyle w:val="Compact"/>
              <w:jc w:val="left"/>
            </w:pPr>
            <w:r>
              <w:t xml:space="preserve">nodematch.value</w:t>
            </w:r>
          </w:p>
        </w:tc>
        <w:tc>
          <w:p>
            <w:pPr>
              <w:pStyle w:val="Compact"/>
              <w:jc w:val="left"/>
            </w:pPr>
            <w:r>
              <w:t xml:space="preserve">pre</w:t>
            </w:r>
          </w:p>
        </w:tc>
        <w:tc>
          <w:p>
            <w:pPr>
              <w:pStyle w:val="Compact"/>
              <w:jc w:val="right"/>
            </w:pPr>
            <w:r>
              <w:t xml:space="preserve">0.10</w:t>
            </w:r>
          </w:p>
        </w:tc>
        <w:tc>
          <w:p>
            <w:pPr>
              <w:pStyle w:val="Compact"/>
              <w:jc w:val="right"/>
            </w:pPr>
            <w:r>
              <w:t xml:space="preserve">0.09</w:t>
            </w:r>
          </w:p>
        </w:tc>
        <w:tc>
          <w:p>
            <w:pPr>
              <w:pStyle w:val="Compact"/>
              <w:jc w:val="right"/>
            </w:pPr>
            <w:r>
              <w:t xml:space="preserve">-0.37</w:t>
            </w:r>
          </w:p>
        </w:tc>
        <w:tc>
          <w:p>
            <w:pPr>
              <w:pStyle w:val="Compact"/>
              <w:jc w:val="right"/>
            </w:pPr>
            <w:r>
              <w:t xml:space="preserve">-0.28</w:t>
            </w:r>
          </w:p>
        </w:tc>
      </w:tr>
      <w:tr>
        <w:tc>
          <w:p>
            <w:pPr>
              <w:pStyle w:val="Compact"/>
              <w:jc w:val="left"/>
            </w:pPr>
            <w:r>
              <w:t xml:space="preserve">gwesp</w:t>
            </w:r>
          </w:p>
        </w:tc>
        <w:tc>
          <w:p>
            <w:pPr>
              <w:pStyle w:val="Compact"/>
              <w:jc w:val="left"/>
            </w:pPr>
            <w:r>
              <w:t xml:space="preserve">post</w:t>
            </w:r>
          </w:p>
        </w:tc>
        <w:tc>
          <w:p>
            <w:pPr>
              <w:pStyle w:val="Compact"/>
              <w:jc w:val="right"/>
            </w:pPr>
            <w:r>
              <w:t xml:space="preserve">3.48</w:t>
            </w:r>
          </w:p>
        </w:tc>
        <w:tc>
          <w:p>
            <w:pPr>
              <w:pStyle w:val="Compact"/>
              <w:jc w:val="right"/>
            </w:pPr>
            <w:r>
              <w:t xml:space="preserve">3.48</w:t>
            </w:r>
          </w:p>
        </w:tc>
        <w:tc>
          <w:p>
            <w:pPr>
              <w:pStyle w:val="Compact"/>
              <w:jc w:val="right"/>
            </w:pPr>
            <w:r>
              <w:t xml:space="preserve">3.31</w:t>
            </w:r>
          </w:p>
        </w:tc>
        <w:tc>
          <w:p>
            <w:pPr>
              <w:pStyle w:val="Compact"/>
              <w:jc w:val="right"/>
            </w:pPr>
            <w:r>
              <w:t xml:space="preserve">3.36</w:t>
            </w:r>
          </w:p>
        </w:tc>
      </w:tr>
      <w:tr>
        <w:tc>
          <w:p>
            <w:pPr>
              <w:pStyle w:val="Compact"/>
              <w:jc w:val="left"/>
            </w:pPr>
            <w:r>
              <w:t xml:space="preserve">gwesp</w:t>
            </w:r>
          </w:p>
        </w:tc>
        <w:tc>
          <w:p>
            <w:pPr>
              <w:pStyle w:val="Compact"/>
              <w:jc w:val="left"/>
            </w:pPr>
            <w:r>
              <w:t xml:space="preserve">pre</w:t>
            </w:r>
          </w:p>
        </w:tc>
        <w:tc>
          <w:p>
            <w:pPr>
              <w:pStyle w:val="Compact"/>
              <w:jc w:val="right"/>
            </w:pPr>
            <w:r>
              <w:t xml:space="preserve">13.47</w:t>
            </w:r>
          </w:p>
        </w:tc>
        <w:tc>
          <w:p>
            <w:pPr>
              <w:pStyle w:val="Compact"/>
              <w:jc w:val="right"/>
            </w:pPr>
            <w:r>
              <w:t xml:space="preserve">13.47</w:t>
            </w:r>
          </w:p>
        </w:tc>
        <w:tc>
          <w:p>
            <w:pPr>
              <w:pStyle w:val="Compact"/>
              <w:jc w:val="right"/>
            </w:pPr>
            <w:r>
              <w:t xml:space="preserve">12.51</w:t>
            </w:r>
          </w:p>
        </w:tc>
        <w:tc>
          <w:p>
            <w:pPr>
              <w:pStyle w:val="Compact"/>
              <w:jc w:val="right"/>
            </w:pPr>
            <w:r>
              <w:t xml:space="preserve">12.69</w:t>
            </w:r>
          </w:p>
        </w:tc>
      </w:tr>
      <w:tr>
        <w:tc>
          <w:p>
            <w:pPr>
              <w:pStyle w:val="Compact"/>
              <w:jc w:val="left"/>
            </w:pPr>
            <w:r>
              <w:t xml:space="preserve">gwdeg</w:t>
            </w:r>
          </w:p>
        </w:tc>
        <w:tc>
          <w:p>
            <w:pPr>
              <w:pStyle w:val="Compact"/>
              <w:jc w:val="left"/>
            </w:pPr>
            <w:r>
              <w:t xml:space="preserve">post</w:t>
            </w:r>
          </w:p>
        </w:tc>
        <w:tc>
          <w:p>
            <w:pPr>
              <w:pStyle w:val="Compact"/>
              <w:jc w:val="right"/>
            </w:pPr>
            <w:r>
              <w:t xml:space="preserve">4.50</w:t>
            </w:r>
          </w:p>
        </w:tc>
        <w:tc>
          <w:p>
            <w:pPr>
              <w:pStyle w:val="Compact"/>
              <w:jc w:val="right"/>
            </w:pPr>
            <w:r>
              <w:t xml:space="preserve">4.49</w:t>
            </w:r>
          </w:p>
        </w:tc>
        <w:tc>
          <w:p>
            <w:pPr>
              <w:pStyle w:val="Compact"/>
              <w:jc w:val="right"/>
            </w:pPr>
            <w:r>
              <w:t xml:space="preserve">4.02</w:t>
            </w:r>
          </w:p>
        </w:tc>
        <w:tc>
          <w:p>
            <w:pPr>
              <w:pStyle w:val="Compact"/>
              <w:jc w:val="right"/>
            </w:pPr>
            <w:r>
              <w:t xml:space="preserve">4.13</w:t>
            </w:r>
          </w:p>
        </w:tc>
      </w:tr>
      <w:tr>
        <w:tc>
          <w:p>
            <w:pPr>
              <w:pStyle w:val="Compact"/>
              <w:jc w:val="left"/>
            </w:pPr>
            <w:r>
              <w:t xml:space="preserve">gwdeg</w:t>
            </w:r>
          </w:p>
        </w:tc>
        <w:tc>
          <w:p>
            <w:pPr>
              <w:pStyle w:val="Compact"/>
              <w:jc w:val="left"/>
            </w:pPr>
            <w:r>
              <w:t xml:space="preserve">pre</w:t>
            </w:r>
          </w:p>
        </w:tc>
        <w:tc>
          <w:p>
            <w:pPr>
              <w:pStyle w:val="Compact"/>
              <w:jc w:val="right"/>
            </w:pPr>
            <w:r>
              <w:t xml:space="preserve">-17.45</w:t>
            </w:r>
          </w:p>
        </w:tc>
        <w:tc>
          <w:p>
            <w:pPr>
              <w:pStyle w:val="Compact"/>
              <w:jc w:val="right"/>
            </w:pPr>
            <w:r>
              <w:t xml:space="preserve">-17.49</w:t>
            </w:r>
          </w:p>
        </w:tc>
        <w:tc>
          <w:p>
            <w:pPr>
              <w:pStyle w:val="Compact"/>
              <w:jc w:val="right"/>
            </w:pPr>
            <w:r>
              <w:t xml:space="preserve">-18.61</w:t>
            </w:r>
          </w:p>
        </w:tc>
        <w:tc>
          <w:p>
            <w:pPr>
              <w:pStyle w:val="Compact"/>
              <w:jc w:val="right"/>
            </w:pPr>
            <w:r>
              <w:t xml:space="preserve">-18.46</w:t>
            </w:r>
          </w:p>
        </w:tc>
      </w:tr>
      <w:tr>
        <w:tc>
          <w:p>
            <w:pPr>
              <w:pStyle w:val="Compact"/>
              <w:jc w:val="left"/>
            </w:pPr>
            <w:r>
              <w:t xml:space="preserve">dyadcov.distance</w:t>
            </w:r>
          </w:p>
        </w:tc>
        <w:tc>
          <w:p>
            <w:pPr>
              <w:pStyle w:val="Compact"/>
              <w:jc w:val="left"/>
            </w:pPr>
            <w:r>
              <w:t xml:space="preserve">post</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r>
      <w:tr>
        <w:tc>
          <w:p>
            <w:pPr>
              <w:pStyle w:val="Compact"/>
              <w:jc w:val="left"/>
            </w:pPr>
            <w:r>
              <w:t xml:space="preserve">dyadcov.distance</w:t>
            </w:r>
          </w:p>
        </w:tc>
        <w:tc>
          <w:p>
            <w:pPr>
              <w:pStyle w:val="Compact"/>
              <w:jc w:val="left"/>
            </w:pPr>
            <w:r>
              <w:t xml:space="preserve">pre</w:t>
            </w:r>
          </w:p>
        </w:tc>
        <w:tc>
          <w:p>
            <w:pPr>
              <w:pStyle w:val="Compact"/>
              <w:jc w:val="right"/>
            </w:pPr>
            <w:r>
              <w:t xml:space="preserve">0.03</w:t>
            </w:r>
          </w:p>
        </w:tc>
        <w:tc>
          <w:p>
            <w:pPr>
              <w:pStyle w:val="Compact"/>
              <w:jc w:val="right"/>
            </w:pPr>
            <w:r>
              <w:t xml:space="preserve">0.03</w:t>
            </w:r>
          </w:p>
        </w:tc>
        <w:tc>
          <w:p>
            <w:pPr>
              <w:pStyle w:val="Compact"/>
              <w:jc w:val="right"/>
            </w:pPr>
            <w:r>
              <w:t xml:space="preserve">-0.01</w:t>
            </w:r>
          </w:p>
        </w:tc>
        <w:tc>
          <w:p>
            <w:pPr>
              <w:pStyle w:val="Compact"/>
              <w:jc w:val="right"/>
            </w:pPr>
            <w:r>
              <w:t xml:space="preserve">0.00</w:t>
            </w:r>
          </w:p>
        </w:tc>
      </w:tr>
    </w:tbl>
    <w:p>
      <w:pPr>
        <w:pStyle w:val="CaptionedFigure"/>
      </w:pPr>
      <w:r>
        <w:drawing>
          <wp:inline>
            <wp:extent cx="5943600" cy="3714750"/>
            <wp:effectExtent b="0" l="0" r="0" t="0"/>
            <wp:docPr descr="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5</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5: The 95% bootstrap confidence intervals for the observed networks, indicated by 0 nodes removal, and networks with different number of node removal. The number of bootstrap samples is 1000."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The 95% bootstrap confidence intervals for the observed networks, indicated by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5</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6</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w:t>
      </w:r>
      <w:r>
        <w:t xml:space="preserve"> </w:t>
      </w:r>
      <w:r>
        <w:t xml:space="preserve">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 Distribution moments (mean, skewness, variance) calculated on the observed data and simulated distributions for pre- and post- 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variance) calculated on the observed data and simulated distributions for pre- and post- European models.</w:t>
      </w:r>
    </w:p>
    <w:p>
      <w:pPr>
        <w:pStyle w:val="Heading1"/>
      </w:pPr>
      <w:bookmarkStart w:id="37" w:name="discussion"/>
      <w:r>
        <w:t xml:space="preserve">Discussion</w:t>
      </w:r>
      <w:bookmarkEnd w:id="37"/>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8" w:name="conclusion"/>
      <w:r>
        <w:t xml:space="preserve">Conclusion</w:t>
      </w:r>
      <w:bookmarkEnd w:id="38"/>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0" w:name="refs"/>
    <w:bookmarkStart w:id="42"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2"/>
    <w:bookmarkStart w:id="43"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3"/>
    <w:bookmarkStart w:id="44" w:name="ref-Andrade2007"/>
    <w:p>
      <w:pPr>
        <w:pStyle w:val="Bibliography"/>
      </w:pPr>
      <w:r>
        <w:t xml:space="preserve">Andrade, T., 2007. How Taiwan became Chinese: Dutch, Spanish, and Han colonization in the seventeenth century. Columbia University Press, New York.</w:t>
      </w:r>
    </w:p>
    <w:bookmarkEnd w:id="44"/>
    <w:bookmarkStart w:id="45"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 mesoamerican civilization. Current anthropology 37, 1–14.</w:t>
      </w:r>
    </w:p>
    <w:bookmarkEnd w:id="47"/>
    <w:bookmarkStart w:id="48" w:name="ref-Borao2009"/>
    <w:p>
      <w:pPr>
        <w:pStyle w:val="Bibliography"/>
      </w:pPr>
      <w:r>
        <w:t xml:space="preserve">Borao Mateo, J.E., 2009. The spanish experience in Taiwan, 1626-1642 the baroque ending of a renaissance 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63"/>
    <w:bookmarkStart w:id="64" w:name="ref-Chen2019"/>
    <w:p>
      <w:pPr>
        <w:pStyle w:val="Bibliography"/>
      </w:pPr>
      <w:r>
        <w:t xml:space="preserve">Chen, Y., Gel, Y.R., Lyubchich, V., Nezafati, K., 2019. Snowboot: Bootstrap methods for network inference. arXiv preprint arXiv:1902.09029.</w:t>
      </w:r>
    </w:p>
    <w:bookmarkEnd w:id="64"/>
    <w:bookmarkStart w:id="65" w:name="ref-Chen2007"/>
    <w:p>
      <w:pPr>
        <w:pStyle w:val="Bibliography"/>
      </w:pPr>
      <w:r>
        <w:t xml:space="preserve">Chen, Y.-p., 2007. Qi wu lan yi zhi qiang jiu fa jue bao gao [report on the archaeological excavations at ki-wu-lan site]. Lanyang museum, Yilan, Taiwan.</w:t>
      </w:r>
    </w:p>
    <w:bookmarkEnd w:id="65"/>
    <w:bookmarkStart w:id="66" w:name="ref-Cheng2008"/>
    <w:p>
      <w:pPr>
        <w:pStyle w:val="Bibliography"/>
      </w:pPr>
      <w:r>
        <w:t xml:space="preserve">Cheng, C.-f., 2008. Qi wu lan yi zhi yu she nei yi zhi chu tu bo li zhu de xiang guan yan jiu [studies of glass beads excavated from kivulan and shenei site, Taiwan] (Master’s thesis).</w:t>
      </w:r>
    </w:p>
    <w:bookmarkEnd w:id="66"/>
    <w:bookmarkStart w:id="67"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Y.-z., Wu, M.-z., 2006. Qing zai xi ban ya ren zai tai wan, 1626-1642 [the spanish in Taiwan]. Taiwan Historica, Nantou.</w:t>
      </w:r>
    </w:p>
    <w:bookmarkEnd w:id="89"/>
    <w:bookmarkStart w:id="90"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0"/>
    <w:bookmarkStart w:id="91" w:name="ref-Marin2011"/>
    <w:p>
      <w:pPr>
        <w:pStyle w:val="Bibliography"/>
      </w:pPr>
      <w:r>
        <w:t xml:space="preserve">Marin, A., Wellman, B., 2011. Social network analysis: An introduction. The SAGE handbook of social network analysis 11.</w:t>
      </w:r>
    </w:p>
    <w:bookmarkEnd w:id="91"/>
    <w:bookmarkStart w:id="9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2">
        <w:r>
          <w:rPr>
            <w:rStyle w:val="Hyperlink"/>
          </w:rPr>
          <w:t xml:space="preserve">https://doi.org/10.1007/s10816-015-9272-9</w:t>
        </w:r>
      </w:hyperlink>
    </w:p>
    <w:bookmarkEnd w:id="93"/>
    <w:bookmarkStart w:id="94" w:name="ref-Marwick2018"/>
    <w:p>
      <w:pPr>
        <w:pStyle w:val="Bibliography"/>
      </w:pPr>
      <w:r>
        <w:t xml:space="preserve">Marwick, B., Boettiger, C., Mullen, L., 2018. Packaging data analytical work reproducibly using R (and friends). The American Statistician 72, 80–88.</w:t>
      </w:r>
    </w:p>
    <w:bookmarkEnd w:id="94"/>
    <w:bookmarkStart w:id="95" w:name="ref-Mills2017"/>
    <w:p>
      <w:pPr>
        <w:pStyle w:val="Bibliography"/>
      </w:pPr>
      <w:r>
        <w:t xml:space="preserve">Mills, B.J., 2017. Social network analysis in archaeology. Annual review of anthropology 46, 379–397.</w:t>
      </w:r>
    </w:p>
    <w:bookmarkEnd w:id="95"/>
    <w:bookmarkStart w:id="96"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6"/>
    <w:bookmarkStart w:id="97" w:name="ref-Morris2008"/>
    <w:p>
      <w:pPr>
        <w:pStyle w:val="Bibliography"/>
      </w:pPr>
      <w:r>
        <w:t xml:space="preserve">Morris, M., Handcock, M.S., Hunter, D.R., 2008. Specification of exponential-family random graph models: Terms and computational aspects. Journal of statistical software 24, 1548.</w:t>
      </w:r>
    </w:p>
    <w:bookmarkEnd w:id="97"/>
    <w:bookmarkStart w:id="98" w:name="ref-Nemmers2019"/>
    <w:p>
      <w:pPr>
        <w:pStyle w:val="Bibliography"/>
      </w:pPr>
      <w:r>
        <w:t xml:space="preserve">Nemmers, T., Narayan, A., Banerjee, S., 2019. Bayesian modeling and uncertainty quantification for descriptive social networks. Statistics and its interface 12, 181.</w:t>
      </w:r>
    </w:p>
    <w:bookmarkEnd w:id="98"/>
    <w:bookmarkStart w:id="99" w:name="ref-Pearson1982"/>
    <w:p>
      <w:pPr>
        <w:pStyle w:val="Bibliography"/>
      </w:pPr>
      <w:r>
        <w:t xml:space="preserve">Pearson, P., 1982. Mortuary practices, society and ideology: An ethnoarchaeological study, in: Hodder, I. (Ed.), Symbolic and Structural Archaeology. Cambridge.</w:t>
      </w:r>
    </w:p>
    <w:bookmarkEnd w:id="99"/>
    <w:bookmarkStart w:id="100" w:name="ref-Peeples2019"/>
    <w:p>
      <w:pPr>
        <w:pStyle w:val="Bibliography"/>
      </w:pPr>
      <w:r>
        <w:t xml:space="preserve">Peeples, M.A., 2019. Finding a place for networks in archaeology. Journal of Archaeological Research 27, 451–499.</w:t>
      </w:r>
    </w:p>
    <w:bookmarkEnd w:id="100"/>
    <w:bookmarkStart w:id="101" w:name="ref-Rlanguage2019"/>
    <w:p>
      <w:pPr>
        <w:pStyle w:val="Bibliography"/>
      </w:pPr>
      <w:r>
        <w:t xml:space="preserve">R Core Team, 2019. R: A language and environment for statistical computing. R Foundation for Statistical Computing, Vienna, Austria.</w:t>
      </w:r>
    </w:p>
    <w:bookmarkEnd w:id="101"/>
    <w:bookmarkStart w:id="103"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102">
        <w:r>
          <w:rPr>
            <w:rStyle w:val="Hyperlink"/>
          </w:rPr>
          <w:t xml:space="preserve">https://doi.org/https://doi.org/10.1016/j.socnet.2020.11.005</w:t>
        </w:r>
      </w:hyperlink>
    </w:p>
    <w:bookmarkEnd w:id="103"/>
    <w:bookmarkStart w:id="104" w:name="ref-Robins2007"/>
    <w:p>
      <w:pPr>
        <w:pStyle w:val="Bibliography"/>
      </w:pPr>
      <w:r>
        <w:t xml:space="preserve">Robins, G., Pattison, P., Kalish, Y., Lusher, D., 2007. An introduction to exponential random graph (p*) models for social networks. Social networks 29, 173–191.</w:t>
      </w:r>
    </w:p>
    <w:bookmarkEnd w:id="104"/>
    <w:bookmarkStart w:id="105" w:name="ref-Salvini2010"/>
    <w:p>
      <w:pPr>
        <w:pStyle w:val="Bibliography"/>
      </w:pPr>
      <w:r>
        <w:t xml:space="preserve">Salvini, A., 2010. Symbolic interactionism and social network analysis: An uncertain encounter. Symbolic Interaction 33, 364–388.</w:t>
      </w:r>
    </w:p>
    <w:bookmarkEnd w:id="105"/>
    <w:bookmarkStart w:id="106" w:name="ref-Saxe1970"/>
    <w:p>
      <w:pPr>
        <w:pStyle w:val="Bibliography"/>
      </w:pPr>
      <w:r>
        <w:t xml:space="preserve">Saxe, A., 1970. Social dimensions of mortuary practices (PhD thesis). University of Michigan.</w:t>
      </w:r>
    </w:p>
    <w:bookmarkEnd w:id="106"/>
    <w:bookmarkStart w:id="107" w:name="ref-Schweinberger2011"/>
    <w:p>
      <w:pPr>
        <w:pStyle w:val="Bibliography"/>
      </w:pPr>
      <w:r>
        <w:t xml:space="preserve">Schweinberger, M., 2011. Instability, sensitivity, and degeneracy of discrete exponential families. Journal of the American Statistical Association 106, 1361–1370.</w:t>
      </w:r>
    </w:p>
    <w:bookmarkEnd w:id="107"/>
    <w:bookmarkStart w:id="108" w:name="ref-Seikel2011"/>
    <w:p>
      <w:pPr>
        <w:pStyle w:val="Bibliography"/>
      </w:pPr>
      <w:r>
        <w:t xml:space="preserve">Seikel, K., 2011. Mortuary contexts and social structure at nan madol, pohnpei. The Journal of Island and Coastal Archaeology 6, 442–460.</w:t>
      </w:r>
    </w:p>
    <w:bookmarkEnd w:id="108"/>
    <w:bookmarkStart w:id="109" w:name="ref-Siegel1999"/>
    <w:p>
      <w:pPr>
        <w:pStyle w:val="Bibliography"/>
      </w:pPr>
      <w:r>
        <w:t xml:space="preserve">Siegel, P.E., 1999. Contested places and places of contest: The evolution of social power and ceremonial space in prehistoric puerto rico. Latin American Antiquity 209–238.</w:t>
      </w:r>
    </w:p>
    <w:bookmarkEnd w:id="109"/>
    <w:bookmarkStart w:id="110" w:name="ref-Snijders2011"/>
    <w:p>
      <w:pPr>
        <w:pStyle w:val="Bibliography"/>
      </w:pPr>
      <w:r>
        <w:t xml:space="preserve">Snijders, T.A., 2011. Statistical models for social networks. Annual Review of Sociology 37.</w:t>
      </w:r>
    </w:p>
    <w:bookmarkEnd w:id="110"/>
    <w:bookmarkStart w:id="111" w:name="ref-Snijders1999"/>
    <w:p>
      <w:pPr>
        <w:pStyle w:val="Bibliography"/>
      </w:pPr>
      <w:r>
        <w:t xml:space="preserve">Snijders, T.A., Borgatti, S.P., 1999. Non-parametric standard errors and tests for network statistics. Connections 22, 161–170.</w:t>
      </w:r>
    </w:p>
    <w:bookmarkEnd w:id="111"/>
    <w:bookmarkStart w:id="112" w:name="ref-Snijders2006"/>
    <w:p>
      <w:pPr>
        <w:pStyle w:val="Bibliography"/>
      </w:pPr>
      <w:r>
        <w:t xml:space="preserve">Snijders, T.A., Pattison, P.E., Robins, G.L., Handcock, M.S., 2006. New specifications for exponential random graph models. Sociological methodology 36, 99–153.</w:t>
      </w:r>
    </w:p>
    <w:bookmarkEnd w:id="112"/>
    <w:bookmarkStart w:id="113" w:name="ref-Sosna2013"/>
    <w:p>
      <w:pPr>
        <w:pStyle w:val="Bibliography"/>
      </w:pPr>
      <w:r>
        <w:t xml:space="preserve">Sosna, D., Galeta, P., Šmejda, L., Sladek, V., Bruzek, J., 2013. Burials and graphs: Relational approach to mortuary analysis. Social Science Computer Review 31, 56–70.</w:t>
      </w:r>
    </w:p>
    <w:bookmarkEnd w:id="113"/>
    <w:bookmarkStart w:id="114" w:name="ref-Thomas2009"/>
    <w:p>
      <w:pPr>
        <w:pStyle w:val="Bibliography"/>
      </w:pPr>
      <w:r>
        <w:t xml:space="preserve">Thomas, N., 2009. Entangled objects: Exchange, material culture, and colonialism in the pacific. Harvard University Press.</w:t>
      </w:r>
    </w:p>
    <w:bookmarkEnd w:id="114"/>
    <w:bookmarkStart w:id="115" w:name="ref-Trabert2017"/>
    <w:p>
      <w:pPr>
        <w:pStyle w:val="Bibliography"/>
      </w:pPr>
      <w:r>
        <w:t xml:space="preserve">Trabert, S., 2017. Considering the indirect effects of colonialism: Example from a great plains middle ground. Journal of Anthropological Archaeology 48, 17–27.</w:t>
      </w:r>
    </w:p>
    <w:bookmarkEnd w:id="115"/>
    <w:bookmarkStart w:id="116" w:name="ref-Wang2011"/>
    <w:p>
      <w:pPr>
        <w:pStyle w:val="Bibliography"/>
      </w:pPr>
      <w:r>
        <w:t xml:space="preserve">Wang, L.-Y., 2011. Yilan Kiwulan yizhi chutu zhuangshipin zhi xiangguan yanjiu [A research of ornaments excavated at Kiwulan site, I-lan] (Master’s thesis).</w:t>
      </w:r>
    </w:p>
    <w:bookmarkEnd w:id="116"/>
    <w:bookmarkStart w:id="117"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7"/>
    <w:bookmarkStart w:id="118"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8"/>
    <w:bookmarkStart w:id="119" w:name="ref-Wasserman1994"/>
    <w:p>
      <w:pPr>
        <w:pStyle w:val="Bibliography"/>
      </w:pPr>
      <w:r>
        <w:t xml:space="preserve">Wasserman, S., Faust, K., others, 1994. Social network analysis: Methods and applications. Cambridge university press.</w:t>
      </w:r>
    </w:p>
    <w:bookmarkEnd w:id="119"/>
    <w:bookmarkEnd w:id="120"/>
    <w:p>
      <w:pPr>
        <w:pStyle w:val="Heading5"/>
      </w:pPr>
      <w:bookmarkStart w:id="121" w:name="pagebreak-1"/>
      <w:r>
        <w:t xml:space="preserve">pagebreak</w:t>
      </w:r>
      <w:bookmarkEnd w:id="121"/>
    </w:p>
    <w:p>
      <w:pPr>
        <w:pStyle w:val="Heading3"/>
      </w:pPr>
      <w:bookmarkStart w:id="122" w:name="colophon"/>
      <w:r>
        <w:t xml:space="preserve">Colophon</w:t>
      </w:r>
      <w:bookmarkEnd w:id="122"/>
    </w:p>
    <w:p>
      <w:pPr>
        <w:pStyle w:val="FirstParagraph"/>
      </w:pPr>
      <w:r>
        <w:t xml:space="preserve">This report was generated on 2021-01-10 18:00:57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2021-01-10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2.1.0   2020-10-12 [1] CRAN (R 4.0.2)</w:t>
      </w:r>
      <w:r>
        <w:br/>
      </w:r>
      <w:r>
        <w:rPr>
          <w:rStyle w:val="VerbatimChar"/>
        </w:rPr>
        <w:t xml:space="preserve">#&gt;  colorspace    1.4-1   2019-03-18 [1] CRAN (R 4.0.2)</w:t>
      </w:r>
      <w:r>
        <w:br/>
      </w:r>
      <w:r>
        <w:rPr>
          <w:rStyle w:val="VerbatimChar"/>
        </w:rPr>
        <w:t xml:space="preserve">#&gt;  crayon        1.3.4   2017-09-16 [1] CRAN (R 4.0.0)</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1.7.1   2020-09-07 [1] CRAN (R 4.0.2)</w:t>
      </w:r>
      <w:r>
        <w:br/>
      </w:r>
      <w:r>
        <w:rPr>
          <w:rStyle w:val="VerbatimChar"/>
        </w:rPr>
        <w:t xml:space="preserve">#&gt;  knitr         1.29    2020-06-23 [1] CRAN (R 4.0.0)</w:t>
      </w:r>
      <w:r>
        <w:br/>
      </w:r>
      <w:r>
        <w:rPr>
          <w:rStyle w:val="VerbatimChar"/>
        </w:rPr>
        <w:t xml:space="preserve">#&gt;  lifecycle     0.2.0   2020-03-06 [1] CRAN (R 4.0.0)</w:t>
      </w:r>
      <w:r>
        <w:br/>
      </w:r>
      <w:r>
        <w:rPr>
          <w:rStyle w:val="VerbatimChar"/>
        </w:rPr>
        <w:t xml:space="preserve">#&gt;  lubridate     1.7.9   2020-06-08 [1] CRAN (R 4.0.0)</w:t>
      </w:r>
      <w:r>
        <w:br/>
      </w:r>
      <w:r>
        <w:rPr>
          <w:rStyle w:val="VerbatimChar"/>
        </w:rPr>
        <w:t xml:space="preserve">#&gt;  magick      * 2.4.0   2020-06-23 [1] CRAN (R 4.0.0)</w:t>
      </w:r>
      <w:r>
        <w:br/>
      </w:r>
      <w:r>
        <w:rPr>
          <w:rStyle w:val="VerbatimChar"/>
        </w:rPr>
        <w:t xml:space="preserve">#&gt;  magrittr      1.5     2014-11-22 [1] CRAN (R 4.0.0)</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0.4.8   2020-10-08 [1] CRAN (R 4.0.2)</w:t>
      </w:r>
      <w:r>
        <w:br/>
      </w:r>
      <w:r>
        <w:rPr>
          <w:rStyle w:val="VerbatimChar"/>
        </w:rPr>
        <w:t xml:space="preserve">#&gt;  rmarkdown     2.3     2020-06-18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1.6.3   2020-09-17 [1] CRAN (R 4.0.2)</w:t>
      </w:r>
      <w:r>
        <w:br/>
      </w:r>
      <w:r>
        <w:rPr>
          <w:rStyle w:val="VerbatimChar"/>
        </w:rPr>
        <w:t xml:space="preserve">#&gt;  vctrs         0.3.4   2020-08-29 [1] CRAN (R 4.0.2)</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[955e060] 2021-01-10: update bergm code and cache</w:t>
      </w:r>
    </w:p>
    <w:p>
      <w:pPr>
        <w:pStyle w:val="FirstParagraph"/>
      </w:pPr>
      <w:r>
        <w:t xml:space="preserve">Word count: 3270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2021-01-11T02:01:06Z</dcterms:created>
  <dcterms:modified xsi:type="dcterms:W3CDTF">2021-01-11T02:01:06Z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10 January, 2021</vt:lpwstr>
  </property>
  <property fmtid="{D5CDD505-2E9C-101B-9397-08002B2CF9AE}" pid="6" name="highlights">
    <vt:lpwstr>These are the highlights.</vt:lpwstr>
  </property>
  <property fmtid="{D5CDD505-2E9C-101B-9397-08002B2CF9AE}" pid="7" name="output">
    <vt:lpwstr/>
  </property>
</Properties>
</file>