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05</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p>
      <w:pPr>
        <w:pStyle w:val="Heading1"/>
      </w:pPr>
      <w:bookmarkStart w:id="20" w:name="introduction"/>
      <w:r>
        <w:t xml:space="preserve">Introduction</w:t>
      </w:r>
      <w:bookmarkEnd w:id="20"/>
    </w:p>
    <w:p>
      <w:pPr>
        <w:pStyle w:val="FirstParagraph"/>
      </w:pPr>
      <w:r>
        <w:t xml:space="preserve">Burials analysis by archaeologists is an approach to understand past social structure through the study of the physical traces of mortuary practices. The material cultures and biological records of burial behaviors can represent the social ranking or identity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For example, mortuary practices, including burial forms, grave goods, and ritual behaviors, that structure the material configuration of burials can represent social relations between members of a community, allowing the inference of social structures</w:t>
      </w:r>
      <w:r>
        <w:t xml:space="preserve"> </w:t>
      </w:r>
      <w:r>
        <w:t xml:space="preserve">(Byrd and Monahan, 1995; Seikel, 2011)</w:t>
      </w:r>
      <w:r>
        <w:t xml:space="preserve">. Based on network science and graph theories, the recent development of social network analysis provides many new tools to visualize and analyze relationships for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 based on our specification in terms of network theories</w:t>
      </w:r>
      <w:r>
        <w:t xml:space="preserve"> </w:t>
      </w:r>
      <w:r>
        <w:t xml:space="preserve">(Brandes et al., 2013; Collar et al., 2015)</w:t>
      </w:r>
      <w:r>
        <w:t xml:space="preserve">. That is, a network can be viewed as a patterned aggregation that includes individual elements (i.e. individual burials), pair-wise relationships (the dyads, for example burials with similar types and amounts of grave goods), and an overall structure showing global patterns represented in the data.</w:t>
      </w:r>
    </w:p>
    <w:p>
      <w:pPr>
        <w:pStyle w:val="BodyText"/>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similarity,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 This paper will use a novel Bayesian approach on exponential random graph model to investigate the formation of relationship between burials in northeastern Taiwan to explore the indirect impact of foreign contacts on social organization.</w:t>
      </w:r>
    </w:p>
    <w:p>
      <w:pPr>
        <w:pStyle w:val="Heading1"/>
      </w:pPr>
      <w:bookmarkStart w:id="21" w:name="a-case-study-from-northereastern-taiwan"/>
      <w:r>
        <w:t xml:space="preserve">A Case Study from Northereastern Taiwan</w:t>
      </w:r>
      <w:bookmarkEnd w:id="21"/>
    </w:p>
    <w:p>
      <w:pPr>
        <w:pStyle w:val="FirstParagraph"/>
      </w:pPr>
      <w:r>
        <w:t xml:space="preserve">Archaeological sites in northeastern Taiwan show evidence of imported prestige goods, such as ornaments and porcelains, in burials and some accumulation patterns in residential areas around the same time as European contact in the 17th century</w:t>
      </w:r>
      <w:r>
        <w:t xml:space="preserve"> </w:t>
      </w:r>
      <w:r>
        <w:t xml:space="preserve">(Chen, 2007; Wang and Marwick, 2020)</w:t>
      </w:r>
      <w:r>
        <w:t xml:space="preserve">. The use of imported goods is also mentioned in historical records from the Spanish, indicative of the pursuit of prestige or wealth in those Indigenous societies</w:t>
      </w:r>
      <w:r>
        <w:t xml:space="preserve"> </w:t>
      </w:r>
      <w:r>
        <w:t xml:space="preserve">(Borao Mateo,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prestige goods in burials, the degree of differentiation across burials over time remain unclear. The introduction of prestige goods to local Indigenous communities might occur earlier before a European presence became established, but was amplified during the European colonial period</w:t>
      </w:r>
      <w:r>
        <w:t xml:space="preserve"> </w:t>
      </w:r>
      <w:r>
        <w:t xml:space="preserve">(Borao Mateo, 2009; Li and Wu, 2006;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 and unequal access to trade networks</w:t>
      </w:r>
      <w:r>
        <w:t xml:space="preserve"> </w:t>
      </w:r>
      <w:r>
        <w:t xml:space="preserve">(Brumfiel, 1994; Clark and Blake, 1994)</w:t>
      </w:r>
      <w:r>
        <w:t xml:space="preserve">. The observed uneven distribution may be explained as a result of social change from less social inequality to more social inequality when Indigenous societies in Northeastern Taiwan were involved in the complex trade network stimulated by the Europeans.</w:t>
      </w:r>
    </w:p>
    <w:p>
      <w:pPr>
        <w:pStyle w:val="BodyText"/>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Keelung and Tamsui,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Mateo, 2009; Kang, 2016)</w:t>
      </w:r>
      <w:r>
        <w:t xml:space="preserve">. The Dutch would give local Indigenous leaders symbolic items or trade goods to assert their political authority and consolidate their relationship with Indigenous societies.</w:t>
      </w:r>
    </w:p>
    <w:p>
      <w:pPr>
        <w:pStyle w:val="BodyText"/>
      </w:pPr>
      <w:r>
        <w:t xml:space="preserve">In this study, we explore the changes in social inequality in a pericolonial context at Kiwulan,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the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does the observed burial data after the start of European presence resemble the network of our model? (2) did European colonial activities in 17th century Taiwan result in an increased social inequality in an Indigenous society in ways that can be detected by burials networks? (3)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the reactions of Kiwulan residents in the context of indirect impacts of European colonization.</w:t>
      </w:r>
    </w:p>
    <w:p>
      <w:pPr>
        <w:pStyle w:val="Heading1"/>
      </w:pPr>
      <w:bookmarkStart w:id="22" w:name="X9f442a34850d9249fdd5db7947391d321101960"/>
      <w:r>
        <w:t xml:space="preserve">Exponential random graph models in a Baysesian framework</w:t>
      </w:r>
      <w:bookmarkEnd w:id="22"/>
    </w:p>
    <w:p>
      <w:pPr>
        <w:pStyle w:val="FirstParagraph"/>
      </w:pPr>
      <w:r>
        <w:t xml:space="preserve">Bayesian approach to Exponential Random Graph Models (ERGMs) is an effective way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network analysis used by archaeologist is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BodyText"/>
      </w:pPr>
      <w:r>
        <w:t xml:space="preserve">The use of ERGM in archaeology is first introduced by</w:t>
      </w:r>
      <w:r>
        <w:t xml:space="preserve"> </w:t>
      </w:r>
      <w:r>
        <w:t xml:space="preserve">Brughmans et al. (2014)</w:t>
      </w:r>
      <w:r>
        <w:t xml:space="preserve">, who studied the Iron age settlement pattern based on 159 Iron Age sites in Southern Spain by modeling inter-settlement visibility networks and visual control.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reconstructed three different networks consisting of 15 sites (AD 100 to 400) in the Caribbean to explore their interaction mechanisms. These network models evaluated different hypotheses about the importance of three variables, proximity, inter-cultural items, and pottery types, on the presence of hub sites they observed. They found that the presence of hubs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ERGMs are efficient computational tools for social network analysis because they incorporates prior information about the network configurations into the model and offers uncertainty quantification by evaluating the posterior distributions of the parameters associated with network configurations</w:t>
      </w:r>
      <w:r>
        <w:t xml:space="preserve"> </w:t>
      </w:r>
      <w:r>
        <w:t xml:space="preserve">(Caimo and Lomi, 2015; Nemmers et al., 2019)</w:t>
      </w:r>
      <w:r>
        <w:t xml:space="preserve">. In Bayesian analysis, posterior distribution is an updated probability distribution after combining the prior derived from previous data or assumptions and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an MCMC algorithm, a Bayesian approach generates posterior probabilities that incorporates our sample data and prior information through summary statistics from estimates of the ERGM parameters.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p>
      <w:pPr>
        <w:pStyle w:val="Heading1"/>
      </w:pPr>
      <w:bookmarkStart w:id="23" w:name="materials"/>
      <w:r>
        <w:t xml:space="preserve">Materials</w:t>
      </w:r>
      <w:bookmarkEnd w:id="23"/>
    </w:p>
    <w:p>
      <w:pPr>
        <w:pStyle w:val="FirstParagraph"/>
      </w:pPr>
      <w:r>
        <w:t xml:space="preserve">We analyzed burial data collected from the published excavation reports, and the original fieldwork notes for the upper component of Kiwulan, an Iron Age settlement (1350-1850 AD). The settlement experienced European colonial impacts in the early 17th century and a large wave of Chinese immigrants in the 19th century</w:t>
      </w:r>
      <w:r>
        <w:t xml:space="preserve"> </w:t>
      </w:r>
      <w:r>
        <w:t xml:space="preserve">(Chen, 2007)</w:t>
      </w:r>
      <w:r>
        <w:t xml:space="preserve">. Excavations revealed abundant pottery sherds, imported ceramics and stonewares, wooden artifacts, stone tools, metal artifacts, imported glass beads and agates beads, and pipes</w:t>
      </w:r>
      <w:r>
        <w:t xml:space="preserve"> </w:t>
      </w:r>
      <w:r>
        <w:t xml:space="preserve">(Chen, 2007)</w:t>
      </w:r>
      <w:r>
        <w:t xml:space="preserve">. In addition to these artifacts, 90 burials, hundreds of middens, storage pits, and postholes with</w:t>
      </w:r>
      <w:r>
        <w:t xml:space="preserve"> </w:t>
      </w:r>
      <w:r>
        <w:rPr>
          <w:i/>
        </w:rPr>
        <w:t xml:space="preserve">in-situ</w:t>
      </w:r>
      <w:r>
        <w:t xml:space="preserve"> </w:t>
      </w:r>
      <w:r>
        <w:t xml:space="preserve">posts were also excavated. The burials are mostly located in the middle section of the excavation area, which is the largest open area at Kiwulan that provides continuous stratigraphic sections suitable for temporal comparison (Figure</w:t>
      </w:r>
      <w:r>
        <w:t xml:space="preserve"> </w:t>
      </w:r>
      <w:r>
        <w:t xml:space="preserve">1</w:t>
      </w:r>
      <w:r>
        <w:t xml:space="preserve">). Burials are oriented in an east-west direction on the north side of the residential area, indicated by post-holes and</w:t>
      </w:r>
      <w:r>
        <w:t xml:space="preserve"> </w:t>
      </w:r>
      <w:r>
        <w:rPr>
          <w:rStyle w:val="VerbatimChar"/>
        </w:rPr>
        <w:t xml:space="preserve">in-situ</w:t>
      </w:r>
      <w:r>
        <w:t xml:space="preserve"> </w:t>
      </w:r>
      <w:r>
        <w:t xml:space="preserve">wooden posts, indicating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burial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3178395"/>
            <wp:effectExtent b="0" l="0" r="0" t="0"/>
            <wp:docPr descr="Figure 1: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figures/burial-map-1.png" id="0" name="Picture"/>
                    <pic:cNvPicPr>
                      <a:picLocks noChangeArrowheads="1" noChangeAspect="1"/>
                    </pic:cNvPicPr>
                  </pic:nvPicPr>
                  <pic:blipFill>
                    <a:blip r:embed="rId24"/>
                    <a:stretch>
                      <a:fillRect/>
                    </a:stretch>
                  </pic:blipFill>
                  <pic:spPr bwMode="auto">
                    <a:xfrm>
                      <a:off x="0" y="0"/>
                      <a:ext cx="5943600" cy="3178395"/>
                    </a:xfrm>
                    <a:prstGeom prst="rect">
                      <a:avLst/>
                    </a:prstGeom>
                    <a:noFill/>
                    <a:ln w="9525">
                      <a:noFill/>
                      <a:headEnd/>
                      <a:tailEnd/>
                    </a:ln>
                  </pic:spPr>
                </pic:pic>
              </a:graphicData>
            </a:graphic>
          </wp:inline>
        </w:drawing>
      </w:r>
    </w:p>
    <w:p>
      <w:pPr>
        <w:pStyle w:val="ImageCaption"/>
      </w:pPr>
      <w:r>
        <w:t xml:space="preserve">Figure 1: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eight burials heavily disturbed by modern construction that are also excluded because we cannot determine their chronology. We reconstructed social relations between individuals by linking them according to similar prestige goods</w:t>
      </w:r>
      <w:r>
        <w:t xml:space="preserve"> </w:t>
      </w:r>
      <w:r>
        <w:t xml:space="preserve">(cf. Coward, 2013, p. 252)</w:t>
      </w:r>
      <w:r>
        <w:t xml:space="preserve">.Therefore, we built networks where burials represent actors (nodes in the network) that are linked when they have the same prestige goods in common. The prestige goods we identified include agate beads, gold-foil beads, imported Chinese porcelains,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also support these items as prestige goods</w:t>
      </w:r>
      <w:r>
        <w:t xml:space="preserve"> </w:t>
      </w:r>
      <w:r>
        <w:t xml:space="preserve">(Borao Mateo, 2009; Li and Wu, 2006)</w:t>
      </w:r>
      <w:r>
        <w:t xml:space="preserve">.</w:t>
      </w:r>
    </w:p>
    <w:p>
      <w:pPr>
        <w:pStyle w:val="Heading1"/>
      </w:pPr>
      <w:bookmarkStart w:id="25" w:name="methods"/>
      <w:r>
        <w:t xml:space="preserve">Methods</w:t>
      </w:r>
      <w:bookmarkEnd w:id="25"/>
    </w:p>
    <w:p>
      <w:pPr>
        <w:pStyle w:val="Heading2"/>
      </w:pPr>
      <w:bookmarkStart w:id="26" w:name="hypothesis-and-construction-of-networks"/>
      <w:r>
        <w:t xml:space="preserve">Hypothesis and construction of networks</w:t>
      </w:r>
      <w:bookmarkEnd w:id="26"/>
    </w:p>
    <w:p>
      <w:pPr>
        <w:pStyle w:val="FirstParagraph"/>
      </w:pPr>
      <w:r>
        <w:t xml:space="preserve">Our pericolonial impact hypothesis is that rare, high quality grave goods accumulated in only a few individuals’ burials after the European presence in the 17th century, because of increased social inequality at Kiwulan due to differential access to these goods. We can identify these high value trade goods from historical documents written by Europeans and the Han Chinese</w:t>
      </w:r>
      <w:r>
        <w:t xml:space="preserve"> </w:t>
      </w:r>
      <w:r>
        <w:t xml:space="preserve">(Borao Mateo, 2009; Li and Wu, 2006)</w:t>
      </w:r>
      <w:r>
        <w:t xml:space="preserve">. A related effect of the European presence in northeastern Taiwan may have been manipulation of the European colonial image by ambitious local Indigenous individuals for building their personal status and power. If social inequality gradually increased in Kiwulan as we hypothesize, then we expect to observe a network with higher degree (popularity), less transitivity (cohesion), and strong inequality based on age difference (achieved status). To test this prediction, we use ERGM in a Bayesian framework to examine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Trade beads are commonly found across burials with substantial differences in quantities, so we described each burial as having one of four levels, high, upper-middle, lower-middle, and low, according to their distributions across all burials. Gold-foil beads are in levels of high (&gt; 3), upper-middle (= 3), lower-middle (= 2), and low (= 1); carnelian beads are in levels of high (&gt; 6), upper-middle (= 4-6), lower-middle (= 3), and low (= 1-2); glass beads are in levels of high (&gt; 6), upper-middle (= 3-6), lower-middle (= 2), and low (= 1). That means if burial 1 and burial 2 both have high quantities of agate beads, then there will be a tie connecting them. For less frequent prestige goods, including imported porcelains, gold foils, and fish-shaped ornaments, we linked two burials when they possess each type of goods in common (i.e. presence or absence). Node attributes here include osteological data, such as age and sex, and cultural data, such as ritual pottery, and burial value index. Ritual pottery was identified as locally made ceramics placed above graves that suggests funeral feasting according to historical records. The burial value index is an important attribute for economical inequality that we assigned the burials into three levels, high (&gt;= 29, account for 10%), above average (= 12-28), and below average (&lt; 12),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w:t>
      </w:r>
    </w:p>
    <w:p>
      <w:pPr>
        <w:pStyle w:val="Heading2"/>
      </w:pPr>
      <w:bookmarkStart w:id="27" w:name="Xd605f7269e86ccd6b2b8b39b2c599ff50eb1757"/>
      <w:r>
        <w:t xml:space="preserve">Model specification in a Bayesian framework</w:t>
      </w:r>
      <w:bookmarkEnd w:id="27"/>
    </w:p>
    <w:p>
      <w:pPr>
        <w:pStyle w:val="TableCaption"/>
      </w:pPr>
      <w:r>
        <w:t xml:space="preserve">Table 1: The parameters of exponential random graph models for a undirected network to corresponding with archaeological evidence.</w:t>
      </w:r>
    </w:p>
    <w:tbl>
      <w:tblPr>
        <w:tblStyle w:val="Table"/>
        <w:tblW w:type="pct" w:w="5000.0"/>
        <w:tblLook w:firstRow="1"/>
        <w:tblCaption w:val="Table 1: The parameters of exponential random graph models for a undirected network to corresponding with archaeological evidence."/>
      </w:tblPr>
      <w:tblGrid>
        <w:gridCol w:w="933"/>
        <w:gridCol w:w="1905"/>
        <w:gridCol w:w="2988"/>
        <w:gridCol w:w="2092"/>
      </w:tblGrid>
      <w:tr>
        <w:trPr>
          <w:cnfStyle w:firstRow="1"/>
        </w:trPr>
        <w:tc>
          <w:tcPr>
            <w:tcBorders>
              <w:bottom w:val="single"/>
            </w:tcBorders>
            <w:vAlign w:val="bottom"/>
          </w:tcPr>
          <w:p>
            <w:pPr>
              <w:pStyle w:val="Compact"/>
              <w:jc w:val="left"/>
            </w:pPr>
            <w:r>
              <w:t xml:space="preserve">Property</w:t>
            </w:r>
          </w:p>
        </w:tc>
        <w:tc>
          <w:tcPr>
            <w:tcBorders>
              <w:bottom w:val="single"/>
            </w:tcBorders>
            <w:vAlign w:val="bottom"/>
          </w:tcPr>
          <w:p>
            <w:pPr>
              <w:pStyle w:val="Compact"/>
              <w:jc w:val="left"/>
            </w:pPr>
            <w:r>
              <w:t xml:space="preserve">Configurations (effect)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Numer of ties in the network</w:t>
            </w:r>
          </w:p>
        </w:tc>
        <w:tc>
          <w:p>
            <w:pPr>
              <w:pStyle w:val="Compact"/>
              <w:jc w:val="left"/>
            </w:pPr>
            <w:r>
              <w:t xml:space="preserve">two burial having relationship</w:t>
            </w:r>
          </w:p>
        </w:tc>
      </w:tr>
      <w:tr>
        <w:tc>
          <w:p>
            <w:pPr>
              <w:pStyle w:val="Compact"/>
              <w:jc w:val="left"/>
            </w:pPr>
            <w:r>
              <w:t xml:space="preserve">Cohesion or transitivity</w:t>
            </w:r>
          </w:p>
        </w:tc>
        <w:tc>
          <w:p>
            <w:pPr>
              <w:pStyle w:val="Compact"/>
              <w:jc w:val="left"/>
            </w:pPr>
            <w:r>
              <w:t xml:space="preserve">Geometrically weighted edgewise shared partner</w:t>
            </w:r>
          </w:p>
        </w:tc>
        <w:tc>
          <w:p>
            <w:pPr>
              <w:pStyle w:val="Compact"/>
              <w:jc w:val="left"/>
            </w:pPr>
            <w:r>
              <w:t xml:space="preserve">Tendency for nodes with shared partners to be tied</w:t>
            </w:r>
          </w:p>
        </w:tc>
        <w:tc>
          <w:p>
            <w:pPr>
              <w:pStyle w:val="Compact"/>
              <w:jc w:val="left"/>
            </w:pPr>
            <w:r>
              <w:t xml:space="preserve">burial to be connected with a third shared burial</w:t>
            </w:r>
          </w:p>
        </w:tc>
      </w:tr>
      <w:tr>
        <w:tc>
          <w:p>
            <w:pPr>
              <w:pStyle w:val="Compact"/>
              <w:jc w:val="left"/>
            </w:pPr>
            <w:r>
              <w:t xml:space="preserve">Multiple connectivity</w:t>
            </w:r>
          </w:p>
        </w:tc>
        <w:tc>
          <w:p>
            <w:pPr>
              <w:pStyle w:val="Compact"/>
              <w:jc w:val="left"/>
            </w:pPr>
            <w:r>
              <w:t xml:space="preserve">Geometrically weighted non-edgewise shared partner</w:t>
            </w:r>
          </w:p>
        </w:tc>
        <w:tc>
          <w:p>
            <w:pPr>
              <w:pStyle w:val="Compact"/>
              <w:jc w:val="left"/>
            </w:pPr>
            <w:r>
              <w:t xml:space="preserve">Tendency of nondirectly connected nodes to be connected through multiple others</w:t>
            </w:r>
          </w:p>
        </w:tc>
        <w:tc>
          <w:p>
            <w:pPr>
              <w:pStyle w:val="Compact"/>
              <w:jc w:val="left"/>
            </w:pPr>
            <w:r>
              <w:t xml:space="preserve">burial to be connected without a third shared burial</w:t>
            </w:r>
          </w:p>
        </w:tc>
      </w:tr>
      <w:tr>
        <w:tc>
          <w:p>
            <w:pPr>
              <w:pStyle w:val="Compact"/>
              <w:jc w:val="left"/>
            </w:pPr>
            <w:r>
              <w:t xml:space="preserve">Popularity</w:t>
            </w:r>
          </w:p>
        </w:tc>
        <w:tc>
          <w:p>
            <w:pPr>
              <w:pStyle w:val="Compact"/>
              <w:jc w:val="left"/>
            </w:pPr>
            <w:r>
              <w:t xml:space="preserve">geometrically weighted degree distribution</w:t>
            </w:r>
          </w:p>
        </w:tc>
        <w:tc>
          <w:p>
            <w:pPr>
              <w:pStyle w:val="Compact"/>
              <w:jc w:val="left"/>
            </w:pPr>
            <w:r>
              <w:t xml:space="preserve">Tendency towards centralization in distribution</w:t>
            </w:r>
          </w:p>
        </w:tc>
        <w:tc>
          <w:p>
            <w:pPr>
              <w:pStyle w:val="Compact"/>
              <w:jc w:val="left"/>
            </w:pPr>
            <w:r>
              <w:t xml:space="preserve">burial being connected with mutiple partners</w:t>
            </w:r>
          </w:p>
        </w:tc>
      </w:tr>
      <w:tr>
        <w:tc>
          <w:p>
            <w:pPr>
              <w:pStyle w:val="Compact"/>
              <w:jc w:val="left"/>
            </w:pPr>
            <w:r>
              <w:t xml:space="preserve">Node covariate (gender)</w:t>
            </w:r>
          </w:p>
        </w:tc>
        <w:tc>
          <w:p>
            <w:pPr>
              <w:pStyle w:val="Compact"/>
              <w:jc w:val="left"/>
            </w:pPr>
            <w:r>
              <w:t xml:space="preserve">Homophily</w:t>
            </w:r>
          </w:p>
        </w:tc>
        <w:tc>
          <w:p>
            <w:pPr>
              <w:pStyle w:val="Compact"/>
              <w:jc w:val="left"/>
            </w:pPr>
            <w:r>
              <w:t xml:space="preserve">Density of ties between nodes with same gender</w:t>
            </w:r>
          </w:p>
        </w:tc>
        <w:tc>
          <w:p>
            <w:pPr>
              <w:pStyle w:val="Compact"/>
              <w:jc w:val="left"/>
            </w:pPr>
            <w:r>
              <w:t xml:space="preserve">burial having the same gender to be connected</w:t>
            </w:r>
          </w:p>
        </w:tc>
      </w:tr>
      <w:tr>
        <w:tc>
          <w:p>
            <w:pPr>
              <w:pStyle w:val="Compact"/>
              <w:jc w:val="left"/>
            </w:pPr>
            <w:r>
              <w:t xml:space="preserve">Node covariate (age)</w:t>
            </w:r>
          </w:p>
        </w:tc>
        <w:tc>
          <w:p>
            <w:pPr>
              <w:pStyle w:val="Compact"/>
              <w:jc w:val="left"/>
            </w:pPr>
            <w:r>
              <w:t xml:space="preserve">Homophily</w:t>
            </w:r>
          </w:p>
        </w:tc>
        <w:tc>
          <w:p>
            <w:pPr>
              <w:pStyle w:val="Compact"/>
              <w:jc w:val="left"/>
            </w:pPr>
            <w:r>
              <w:t xml:space="preserve">Density of ties between nodes with same age</w:t>
            </w:r>
          </w:p>
        </w:tc>
        <w:tc>
          <w:p>
            <w:pPr>
              <w:pStyle w:val="Compact"/>
              <w:jc w:val="left"/>
            </w:pPr>
            <w:r>
              <w:t xml:space="preserve">burial having the same age to be connected</w:t>
            </w:r>
          </w:p>
        </w:tc>
      </w:tr>
      <w:tr>
        <w:tc>
          <w:p>
            <w:pPr>
              <w:pStyle w:val="Compact"/>
              <w:jc w:val="left"/>
            </w:pPr>
            <w:r>
              <w:t xml:space="preserve">Node covariate (wealth)</w:t>
            </w:r>
          </w:p>
        </w:tc>
        <w:tc>
          <w:p>
            <w:pPr>
              <w:pStyle w:val="Compact"/>
              <w:jc w:val="left"/>
            </w:pPr>
            <w:r>
              <w:t xml:space="preserve">Homophily</w:t>
            </w:r>
          </w:p>
        </w:tc>
        <w:tc>
          <w:p>
            <w:pPr>
              <w:pStyle w:val="Compact"/>
              <w:jc w:val="left"/>
            </w:pPr>
            <w:r>
              <w:t xml:space="preserve">Density of ties between nodes with same scale of wealth</w:t>
            </w:r>
          </w:p>
        </w:tc>
        <w:tc>
          <w:p>
            <w:pPr>
              <w:pStyle w:val="Compact"/>
              <w:jc w:val="left"/>
            </w:pPr>
            <w:r>
              <w:t xml:space="preserve">burial having the same scale of wealth to be connected</w:t>
            </w:r>
          </w:p>
        </w:tc>
      </w:tr>
      <w:tr>
        <w:tc>
          <w:p>
            <w:pPr>
              <w:pStyle w:val="Compact"/>
              <w:jc w:val="left"/>
            </w:pPr>
            <w:r>
              <w:t xml:space="preserve">Node covariate (ritual)</w:t>
            </w:r>
          </w:p>
        </w:tc>
        <w:tc>
          <w:p>
            <w:pPr>
              <w:pStyle w:val="Compact"/>
              <w:jc w:val="left"/>
            </w:pPr>
            <w:r>
              <w:t xml:space="preserve">Homophily</w:t>
            </w:r>
          </w:p>
        </w:tc>
        <w:tc>
          <w:p>
            <w:pPr>
              <w:pStyle w:val="Compact"/>
              <w:jc w:val="left"/>
            </w:pPr>
            <w:r>
              <w:t xml:space="preserve">Density of ties between nodes with same ritual treatment</w:t>
            </w:r>
          </w:p>
        </w:tc>
        <w:tc>
          <w:p>
            <w:pPr>
              <w:pStyle w:val="Compact"/>
              <w:jc w:val="left"/>
            </w:pPr>
            <w:r>
              <w:t xml:space="preserve">burial having the same ritual treatment to be connected</w:t>
            </w:r>
          </w:p>
        </w:tc>
      </w:tr>
    </w:tbl>
    <w:p>
      <w:pPr>
        <w:pStyle w:val="BodyText"/>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1</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based on burial attributes, such as age, sex, and our wealth index, we specified a vague prior that follows a normal distribution with mean at 0 and standard deviation at 3 (i.e. N(0, 3)) for both models. For physical distance between burials, we set a negative covariate effect (N(-1, 1)) to infer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4)), lower popularity (N(-1, 1)), and higher covariate effect based on ritual activity (N(1, 5)) for network before European contact to indicate less social inequality. On the contrary, we set the priors for the network after the European arrival to lower transitivity (N(1, 2)), and higher popularity (N(1, 2))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w:t>
      </w:r>
    </w:p>
    <w:p>
      <w:pPr>
        <w:pStyle w:val="BodyText"/>
      </w:pPr>
      <w:r>
        <w:t xml:space="preserve">As an informal way to diagnose model convergence, we first evaluated three diagnostic visual summaries of our MCMC output, including density plots, trace plots, and autocorrelation plots</w:t>
      </w:r>
      <w:r>
        <w:t xml:space="preserve"> </w:t>
      </w:r>
      <w:r>
        <w:t xml:space="preserve">(Hamra et al., 2013)</w:t>
      </w:r>
      <w:r>
        <w:t xml:space="preserve">, which we include in our Supplementary Online Materials. In general, we can see the informative prior contributed to a better convergence of the MCMC according to the diagnostic plots showing more stationary distributions and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and Friel, 2011; Caimo et al., 2017)</w:t>
      </w:r>
      <w:r>
        <w:t xml:space="preserve">. We set 10,000 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p>
      <w:pPr>
        <w:pStyle w:val="Heading1"/>
      </w:pPr>
      <w:bookmarkStart w:id="28" w:name="X1d9039aecbbcb44c2dfa3a9268a6c9535658f66"/>
      <w:r>
        <w:t xml:space="preserve">Reproducibility and open source materials</w:t>
      </w:r>
      <w:bookmarkEnd w:id="28"/>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29">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0" w:name="results"/>
      <w:r>
        <w:t xml:space="preserve">Results</w:t>
      </w:r>
      <w:bookmarkEnd w:id="30"/>
    </w:p>
    <w:p>
      <w:pPr>
        <w:pStyle w:val="FirstParagraph"/>
      </w:pPr>
      <w:r>
        <w:t xml:space="preserve">The networks constructed from observed burial data show that the network after the European presence has higher node degrees in general (Figure</w:t>
      </w:r>
      <w:r>
        <w:t xml:space="preserve"> </w:t>
      </w:r>
      <w:r>
        <w:t xml:space="preserve">2</w:t>
      </w:r>
      <w:r>
        <w:t xml:space="preserve">). We compared estimated statistics from the posterior distributions to examine their differences in structure of the simulated networks (Table XX). For the pre-European network simulations, two nodal covariates, age-homophily and ritual-homophily, have significant effects on the formation of relations between burials. The age homophily shows a negative effect that indicates burials of the same age tend to not share similar prestige goods, while the ritual-homophily demonstrates the positive effect that means burials with ritual pottery tend to form relations. Despite positive values for some covariates, such as sex-homophily and burial value-homophily, they do not show a significant tendency to form relations duo to value of zero in the confidence intervals. Similarly, the dyadic covariate, physical distance, shows positive effects but not significantly, indicating that physical proximity does not affect relations. For the endogenous network effects, transitivity (gwesp) present significant positive effect, while popularity (gwdegree) demonstrates negative effect. The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CaptionedFigure"/>
      </w:pPr>
      <w:r>
        <w:drawing>
          <wp:inline>
            <wp:extent cx="5943600" cy="2377440"/>
            <wp:effectExtent b="0" l="0" r="0" t="0"/>
            <wp:docPr descr="Figure 2: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figures/network-diagrams-1.png" id="0" name="Picture"/>
                    <pic:cNvPicPr>
                      <a:picLocks noChangeArrowheads="1" noChangeAspect="1"/>
                    </pic:cNvPicPr>
                  </pic:nvPicPr>
                  <pic:blipFill>
                    <a:blip r:embed="rId31"/>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2: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p>
      <w:pPr>
        <w:pStyle w:val="BodyText"/>
      </w:pPr>
      <w:r>
        <w:t xml:space="preserve">For the network after the arrival of Europeans the nodal covariates of age-homophily, sex-homophily, ritual-homophily, and the dyadic covariate of physical distance all show positive effects, while the burial value-homophily has a negative effect. However, there are no significant effects for these nodal and dyadic covariates. We also found that the burials in the same wealth level tend not to form relations. Similar to the pre-European network, the endogenous network variable, transitivity (gwesp) demonstrates a significant positive effect. In contrast to the pre-European network, the popularity (gwdegree) shows a significant positive effect.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This may suggest a reduced tendency toward clustering but high tendency toward centralization after the European presence. Both posterior estimates present symmetric distributions, with the posterior means located close to posterior medians (Table XX).</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set the resampling size to 1,000 networks to compute endogenous network statistics, including density, transitivity, and popularity for our two networks. The result shows a significant difference in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some degree of difference.</w:t>
      </w:r>
    </w:p>
    <w:p>
      <w:pPr>
        <w:pStyle w:val="BodyText"/>
      </w:pPr>
      <w:r>
        <w:t xml:space="preserve">Using the same vertex bootstrap procedure, we can also test the difference of network populations with a t-test on density, transitivity, and popularity. The results show that there are significant differences in all network statistics. Moreover, we explored the sample size effect by removing nodes at certain percents (5-40%) for both networks and compared their confidence intervals. The results demonstrate a consistent difference between the two networks that means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BodyText"/>
      </w:pPr>
      <w:r>
        <w:t xml:space="preserve">Bayesian goodness of fit (GOF) diagnostics plots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 observed network statistics do not follow a normal distribution, especially for the network after the arrival of the Europeans that presents a bimodal pattern. We compared the first three distribution moments of each observed distribution and their corresponding simulated distributions, represented by means. Figure</w:t>
      </w:r>
      <w:r>
        <w:t xml:space="preserve"> </w:t>
      </w:r>
      <w:r>
        <w:t xml:space="preserve">??</w:t>
      </w:r>
      <w:r>
        <w:t xml:space="preserve"> </w:t>
      </w:r>
      <w:r>
        <w:t xml:space="preserve">shows that modeled values from the pre-European network are closer to the observed values overall, compared to the values from the post-European network. For the variance of degree, the values from the modeled post-European distribution are closer to the observed distribution. In general, this demonstrates a better fit for the pre-European network. However, it should be noted that the differences between the statistics of two models are relatively small, which still allows direct comparison of two networks.</w:t>
      </w:r>
    </w:p>
    <w:p>
      <w:pPr>
        <w:pStyle w:val="Heading1"/>
      </w:pPr>
      <w:bookmarkStart w:id="32" w:name="discussion"/>
      <w:r>
        <w:t xml:space="preserve">Discussion</w:t>
      </w:r>
      <w:bookmarkEnd w:id="32"/>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either period.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Mateo,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p>
      <w:pPr>
        <w:pStyle w:val="Heading1"/>
      </w:pPr>
      <w:bookmarkStart w:id="33" w:name="conclusion"/>
      <w:r>
        <w:t xml:space="preserve">Conclusion</w:t>
      </w:r>
      <w:bookmarkEnd w:id="33"/>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Heading1"/>
      </w:pPr>
      <w:bookmarkStart w:id="34" w:name="acknowledgments"/>
      <w:r>
        <w:t xml:space="preserve">Acknowledgments</w:t>
      </w:r>
      <w:bookmarkEnd w:id="34"/>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p>
      <w:pPr>
        <w:pStyle w:val="Heading5"/>
      </w:pPr>
      <w:bookmarkStart w:id="35" w:name="pagebreak"/>
      <w:r>
        <w:t xml:space="preserve">pagebreak</w:t>
      </w:r>
      <w:bookmarkEnd w:id="35"/>
    </w:p>
    <w:p>
      <w:pPr>
        <w:pStyle w:val="Heading1"/>
      </w:pPr>
      <w:bookmarkStart w:id="36" w:name="references"/>
      <w:r>
        <w:t xml:space="preserve">References</w:t>
      </w:r>
      <w:bookmarkEnd w:id="36"/>
    </w:p>
    <w:bookmarkStart w:id="115" w:name="refs"/>
    <w:bookmarkStart w:id="37"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37"/>
    <w:bookmarkStart w:id="38"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38"/>
    <w:bookmarkStart w:id="39" w:name="ref-Andrade2007"/>
    <w:p>
      <w:pPr>
        <w:pStyle w:val="Bibliography"/>
      </w:pPr>
      <w:r>
        <w:t xml:space="preserve">Andrade, T., 2007. How Taiwan became Chinese: Dutch, Spanish, and Han colonization in the seventeenth century. Columbia University Press, New York.</w:t>
      </w:r>
    </w:p>
    <w:bookmarkEnd w:id="39"/>
    <w:bookmarkStart w:id="40"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0"/>
    <w:bookmarkStart w:id="41"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1"/>
    <w:bookmarkStart w:id="42" w:name="ref-Blanton1996"/>
    <w:p>
      <w:pPr>
        <w:pStyle w:val="Bibliography"/>
      </w:pPr>
      <w:r>
        <w:t xml:space="preserve">Blanton, R.E., Feinman, G.M., Kowalewski, S.A., Peregrine, P.N., 1996. A dual-processual theory for the evolution of mesoamerican civilization. Current anthropology 37, 1–14.</w:t>
      </w:r>
    </w:p>
    <w:bookmarkEnd w:id="42"/>
    <w:bookmarkStart w:id="43" w:name="ref-Borao2009"/>
    <w:p>
      <w:pPr>
        <w:pStyle w:val="Bibliography"/>
      </w:pPr>
      <w:r>
        <w:t xml:space="preserve">Borao Mateo, J.E., 2009. The spanish experience in Taiwan, 1626-1642 the baroque ending of a renaissance endeavor. Hong Kong University Press, Hong Kong.</w:t>
      </w:r>
    </w:p>
    <w:bookmarkEnd w:id="43"/>
    <w:bookmarkStart w:id="44" w:name="ref-Borgatti2009"/>
    <w:p>
      <w:pPr>
        <w:pStyle w:val="Bibliography"/>
      </w:pPr>
      <w:r>
        <w:t xml:space="preserve">Borgatti, S.P., Mehra, A., Brass, D.J., Labianca, G., 2009. Network analysis in the social sciences. science 323, 892–895.</w:t>
      </w:r>
    </w:p>
    <w:bookmarkEnd w:id="44"/>
    <w:bookmarkStart w:id="45" w:name="ref-Brandes2013"/>
    <w:p>
      <w:pPr>
        <w:pStyle w:val="Bibliography"/>
      </w:pPr>
      <w:r>
        <w:t xml:space="preserve">Brandes, U., Robins, G., McCranie, A., Wasserman, S., 2013. What is network science? Network science 1, 1–15.</w:t>
      </w:r>
    </w:p>
    <w:bookmarkEnd w:id="45"/>
    <w:bookmarkStart w:id="46" w:name="ref-Brughmans2013"/>
    <w:p>
      <w:pPr>
        <w:pStyle w:val="Bibliography"/>
      </w:pPr>
      <w:r>
        <w:t xml:space="preserve">Brughmans, T., 2013. Thinking through networks: A review of formal network methods in archaeology. Journal of Archaeological Method and Theory 20, 623–662.</w:t>
      </w:r>
    </w:p>
    <w:bookmarkEnd w:id="46"/>
    <w:bookmarkStart w:id="47" w:name="ref-Brughmans2014"/>
    <w:p>
      <w:pPr>
        <w:pStyle w:val="Bibliography"/>
      </w:pPr>
      <w:r>
        <w:t xml:space="preserve">Brughmans, T., Keay, S., Earl, G., 2014. Introducing exponential random graph models for visibility networks. Journal of Archaeological Science 49, 442–454.</w:t>
      </w:r>
    </w:p>
    <w:bookmarkEnd w:id="47"/>
    <w:bookmarkStart w:id="48" w:name="ref-Brughmans2018"/>
    <w:p>
      <w:pPr>
        <w:pStyle w:val="Bibliography"/>
      </w:pPr>
      <w:r>
        <w:t xml:space="preserve">Brughmans, T., Peeples, M.A., 2018. Network science. The Encyclopedia of Archaeological Sciences 1–4.</w:t>
      </w:r>
    </w:p>
    <w:bookmarkEnd w:id="48"/>
    <w:bookmarkStart w:id="49" w:name="ref-Brumfiel1994"/>
    <w:p>
      <w:pPr>
        <w:pStyle w:val="Bibliography"/>
      </w:pPr>
      <w:r>
        <w:t xml:space="preserve">Brumfiel, E.M., 1994. Factional competition and political development in the New World: An introduction, in: Brumfiel, E.M., Fox, J. (Eds.), Factional Competition and Political Development in the New World. Cambridge: Cambridge University Press, pp. 3–13.</w:t>
      </w:r>
    </w:p>
    <w:bookmarkEnd w:id="49"/>
    <w:bookmarkStart w:id="50" w:name="ref-Byrd1995"/>
    <w:p>
      <w:pPr>
        <w:pStyle w:val="Bibliography"/>
      </w:pPr>
      <w:r>
        <w:t xml:space="preserve">Byrd, B.F., Monahan, C.M., 1995. Death, mortuary ritual, and natufian social structure. Journal of Anthropological Archaeology 14, 251–287.</w:t>
      </w:r>
    </w:p>
    <w:bookmarkEnd w:id="50"/>
    <w:bookmarkStart w:id="51" w:name="ref-Caimo2014"/>
    <w:p>
      <w:pPr>
        <w:pStyle w:val="Bibliography"/>
      </w:pPr>
      <w:r>
        <w:t xml:space="preserve">Caimo, A., Friel, N., 2014. Bergm: Bayesian exponential random graphs in r. Journal of Statistical Software 61, 1–25.</w:t>
      </w:r>
    </w:p>
    <w:bookmarkEnd w:id="51"/>
    <w:bookmarkStart w:id="52" w:name="ref-Caimo2013"/>
    <w:p>
      <w:pPr>
        <w:pStyle w:val="Bibliography"/>
      </w:pPr>
      <w:r>
        <w:t xml:space="preserve">Caimo, A., Friel, N., 2013. Bayesian model selection for exponential random graph models. Social Networks 35, 11–24.</w:t>
      </w:r>
    </w:p>
    <w:bookmarkEnd w:id="52"/>
    <w:bookmarkStart w:id="53" w:name="ref-Caimo2011"/>
    <w:p>
      <w:pPr>
        <w:pStyle w:val="Bibliography"/>
      </w:pPr>
      <w:r>
        <w:t xml:space="preserve">Caimo, A., Friel, N., 2011. Bayesian inference for exponential random graph models. Social Networks 33, 41–55.</w:t>
      </w:r>
    </w:p>
    <w:bookmarkEnd w:id="53"/>
    <w:bookmarkStart w:id="54" w:name="ref-Caimo2017bayesian"/>
    <w:p>
      <w:pPr>
        <w:pStyle w:val="Bibliography"/>
      </w:pPr>
      <w:r>
        <w:t xml:space="preserve">Caimo, A., Gollini, I., 2017. Bayesian computational algorithms for social network analysis. QSAR/QSPR.</w:t>
      </w:r>
    </w:p>
    <w:bookmarkEnd w:id="54"/>
    <w:bookmarkStart w:id="55" w:name="ref-Caimo2015"/>
    <w:p>
      <w:pPr>
        <w:pStyle w:val="Bibliography"/>
      </w:pPr>
      <w:r>
        <w:t xml:space="preserve">Caimo, A., Lomi, A., 2015. Knowledge sharing in organizations: A bayesian analysis of the role of reciprocity and formal structure. Journal of Management 41, 665–691.</w:t>
      </w:r>
    </w:p>
    <w:bookmarkEnd w:id="55"/>
    <w:bookmarkStart w:id="56" w:name="ref-Caimo2017"/>
    <w:p>
      <w:pPr>
        <w:pStyle w:val="Bibliography"/>
      </w:pPr>
      <w:r>
        <w:t xml:space="preserve">Caimo, A., Pallotti, F., Lomi, A., 2017. Bayesian exponential random graph modelling of interhospital patient referral networks. Statistics in medicine 36, 2902–2920.</w:t>
      </w:r>
    </w:p>
    <w:bookmarkEnd w:id="56"/>
    <w:bookmarkStart w:id="57" w:name="ref-Chapman2003"/>
    <w:p>
      <w:pPr>
        <w:pStyle w:val="Bibliography"/>
      </w:pPr>
      <w:r>
        <w:t xml:space="preserve">Chapman, R., 2003. Death, society and archaeology: The social dimensions of mortuary practices. Mortality 8, 305–312.</w:t>
      </w:r>
    </w:p>
    <w:bookmarkEnd w:id="57"/>
    <w:bookmarkStart w:id="58" w:name="ref-Chen2005"/>
    <w:p>
      <w:pPr>
        <w:pStyle w:val="Bibliography"/>
      </w:pPr>
      <w:r>
        <w:t xml:space="preserve">Chen, T.-j., 2005. Keelung shan yu Danshui yang: Dongya haiyu yu Taiwan zaoqishi yanjiu, 1400-1700 [Mount Keelung and Danshui Sea: A study of East Asian Seas and the early history of Taiwan from 1400 to 1700]. Lian jing, Taipei.</w:t>
      </w:r>
    </w:p>
    <w:bookmarkEnd w:id="58"/>
    <w:bookmarkStart w:id="59" w:name="ref-Chen2019"/>
    <w:p>
      <w:pPr>
        <w:pStyle w:val="Bibliography"/>
      </w:pPr>
      <w:r>
        <w:t xml:space="preserve">Chen, Y., Gel, Y.R., Lyubchich, V., Nezafati, K., 2019. Snowboot: Bootstrap methods for network inference. arXiv preprint arXiv:1902.09029.</w:t>
      </w:r>
    </w:p>
    <w:bookmarkEnd w:id="59"/>
    <w:bookmarkStart w:id="60" w:name="ref-Chen2007"/>
    <w:p>
      <w:pPr>
        <w:pStyle w:val="Bibliography"/>
      </w:pPr>
      <w:r>
        <w:t xml:space="preserve">Chen, Y.-p., 2007. Qi wu lan yi zhi qiang jiu fa jue bao gao [report on the archaeological excavations at ki-wu-lan site]. Lanyang museum, Yilan, Taiwan.</w:t>
      </w:r>
    </w:p>
    <w:bookmarkEnd w:id="60"/>
    <w:bookmarkStart w:id="61" w:name="ref-Cheng2008"/>
    <w:p>
      <w:pPr>
        <w:pStyle w:val="Bibliography"/>
      </w:pPr>
      <w:r>
        <w:t xml:space="preserve">Cheng, C.-f., 2008. Qi wu lan yi zhi yu she nei yi zhi chu tu bo li zhu de xiang guan yan jiu [studies of glass beads excavated from kivulan and shenei site, Taiwan] (Master’s thesis).</w:t>
      </w:r>
    </w:p>
    <w:bookmarkEnd w:id="61"/>
    <w:bookmarkStart w:id="62" w:name="ref-Clark1994"/>
    <w:p>
      <w:pPr>
        <w:pStyle w:val="Bibliography"/>
      </w:pPr>
      <w:r>
        <w:t xml:space="preserve">Clark, J.E., Blake, M., 1994. The power of prestige: Competitive generosity and the emergence of rank societies in lowland Mesoamerica, in: Brumfiel, E.M., Fox, J. (Eds.), Factional Competition and Political Development in the New World. Cambridge: Cambridge University Press, pp. 17–33.</w:t>
      </w:r>
    </w:p>
    <w:bookmarkEnd w:id="62"/>
    <w:bookmarkStart w:id="63" w:name="ref-Collar2015"/>
    <w:p>
      <w:pPr>
        <w:pStyle w:val="Bibliography"/>
      </w:pPr>
      <w:r>
        <w:t xml:space="preserve">Collar, A., Coward, F., Brughmans, T., Mills, B.J., 2015. Networks in archaeology: Phenomena, abstraction, representation. Journal of Archaeological Method and Theory 22, 1–32.</w:t>
      </w:r>
    </w:p>
    <w:bookmarkEnd w:id="63"/>
    <w:bookmarkStart w:id="64"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4"/>
    <w:bookmarkStart w:id="65" w:name="ref-Crabtree2015"/>
    <w:p>
      <w:pPr>
        <w:pStyle w:val="Bibliography"/>
      </w:pPr>
      <w:r>
        <w:t xml:space="preserve">Crabtree, S.A., 2015. Inferring ancestral pueblo social networks from simulation in the central mesa verde. Journal of Archaeological Method and Theory 22, 144–181.</w:t>
      </w:r>
    </w:p>
    <w:bookmarkEnd w:id="65"/>
    <w:bookmarkStart w:id="66"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66"/>
    <w:bookmarkStart w:id="67"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67"/>
    <w:bookmarkStart w:id="68" w:name="ref-Feinman2000political"/>
    <w:p>
      <w:pPr>
        <w:pStyle w:val="Bibliography"/>
      </w:pPr>
      <w:r>
        <w:t xml:space="preserve">Feinman, G.M., Lightfoot, K.G., Upham, S., 2000. Political hierarchies and organizational strategies in the puebloan southwest. American Antiquity 449–470.</w:t>
      </w:r>
    </w:p>
    <w:bookmarkEnd w:id="68"/>
    <w:bookmarkStart w:id="69" w:name="ref-Freeman2004"/>
    <w:p>
      <w:pPr>
        <w:pStyle w:val="Bibliography"/>
      </w:pPr>
      <w:r>
        <w:t xml:space="preserve">Freeman, L., 2004. The development of social network analysis. A Study in the Sociology of Science.</w:t>
      </w:r>
    </w:p>
    <w:bookmarkEnd w:id="69"/>
    <w:bookmarkStart w:id="70" w:name="ref-Gamble2002"/>
    <w:p>
      <w:pPr>
        <w:pStyle w:val="Bibliography"/>
      </w:pPr>
      <w:r>
        <w:t xml:space="preserve">Gamble, L.H., Zepeda, I.C., 2002. Social differentiation and exchange among the kumeyaay indians during the historic period in california. Historical Archaeology 71–91.</w:t>
      </w:r>
    </w:p>
    <w:bookmarkEnd w:id="70"/>
    <w:bookmarkStart w:id="71"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1"/>
    <w:bookmarkStart w:id="72" w:name="ref-Hamra2013"/>
    <w:p>
      <w:pPr>
        <w:pStyle w:val="Bibliography"/>
      </w:pPr>
      <w:r>
        <w:t xml:space="preserve">Hamra, G., MacLehose, R., Richardson, D., 2013. Markov chain monte carlo: An introduction for epidemiologists. International journal of epidemiology 42, 627–634.</w:t>
      </w:r>
    </w:p>
    <w:bookmarkEnd w:id="72"/>
    <w:bookmarkStart w:id="73"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3"/>
    <w:bookmarkStart w:id="74" w:name="ref-Hodder1980"/>
    <w:p>
      <w:pPr>
        <w:pStyle w:val="Bibliography"/>
      </w:pPr>
      <w:r>
        <w:t xml:space="preserve">Hodder, I., 1980. Social structure and cemeteries: A critical appraisal, in: Rahtz, P., Dickinson, T., Watts, L. (Eds.), Anglo-Saxon Cemeteries. Oxford: British Archaeological Reports 82, pp. 6–29.</w:t>
      </w:r>
    </w:p>
    <w:bookmarkEnd w:id="74"/>
    <w:bookmarkStart w:id="75"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75"/>
    <w:bookmarkStart w:id="76" w:name="ref-Hsieh2009"/>
    <w:p>
      <w:pPr>
        <w:pStyle w:val="Bibliography"/>
      </w:pPr>
      <w:r>
        <w:t xml:space="preserve">Hsieh, E., 2009. Yi lan qi wu lan yi zhi chu tu wai lai tao ci qi zhi xiang guan yan jiu [the study of imported ceramics excavated at the ki-wu-lan site, i-lan] (Master’s thesis).</w:t>
      </w:r>
    </w:p>
    <w:bookmarkEnd w:id="76"/>
    <w:bookmarkStart w:id="77"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77"/>
    <w:bookmarkStart w:id="78"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78"/>
    <w:bookmarkStart w:id="79" w:name="ref-Jin2013"/>
    <w:p>
      <w:pPr>
        <w:pStyle w:val="Bibliography"/>
      </w:pPr>
      <w:r>
        <w:t xml:space="preserve">Jin, I.H., Yuan, Y., Liang, F., 2013. Bayesian analysis for exponential random graph models using the adaptive exchange sampler. Statistics and its interface 6, 559.</w:t>
      </w:r>
    </w:p>
    <w:bookmarkEnd w:id="79"/>
    <w:bookmarkStart w:id="80" w:name="ref-Kang2016"/>
    <w:p>
      <w:pPr>
        <w:pStyle w:val="Bibliography"/>
      </w:pPr>
      <w:r>
        <w:t xml:space="preserve">Kang, P., 2016. Zhimin xiangxiang yu difang liubian: Helan dongyindu gongsi yu Taiwan yuanzhumin [Colonial imagination and local variations: The Dutch East India Company and the Formosan Austronesians]. Lian-jing.</w:t>
      </w:r>
    </w:p>
    <w:bookmarkEnd w:id="80"/>
    <w:bookmarkStart w:id="81" w:name="ref-Klehm2017"/>
    <w:p>
      <w:pPr>
        <w:pStyle w:val="Bibliography"/>
      </w:pPr>
      <w:r>
        <w:t xml:space="preserve">Klehm, C.E., 2017. Local dynamics and the emergence of social inequality in iron age botswana. Current Anthropology 58, 604–633.</w:t>
      </w:r>
    </w:p>
    <w:bookmarkEnd w:id="81"/>
    <w:bookmarkStart w:id="82" w:name="ref-Koskinen2010"/>
    <w:p>
      <w:pPr>
        <w:pStyle w:val="Bibliography"/>
      </w:pPr>
      <w:r>
        <w:t xml:space="preserve">Koskinen, J.H., Robins, G.L., Pattison, P.E., 2010. Analysing exponential random graph (p-star) models with missing data using bayesian data augmentation. Statistical Methodology 7, 366–384.</w:t>
      </w:r>
    </w:p>
    <w:bookmarkEnd w:id="82"/>
    <w:bookmarkStart w:id="83" w:name="ref-Lehmann2020"/>
    <w:p>
      <w:pPr>
        <w:pStyle w:val="Bibliography"/>
      </w:pPr>
      <w:r>
        <w:t xml:space="preserve">Lehmann, B.C., Henson, R.N., Geerligs, L., White, S.R., others, 2020. Characterising group-level brain connectivity: A framework using bayesian exponential random graph models. bioRxiv 665398.</w:t>
      </w:r>
    </w:p>
    <w:bookmarkEnd w:id="83"/>
    <w:bookmarkStart w:id="84" w:name="ref-LiandWu2006"/>
    <w:p>
      <w:pPr>
        <w:pStyle w:val="Bibliography"/>
      </w:pPr>
      <w:r>
        <w:t xml:space="preserve">Li, Y.-z., Wu, M.-z., 2006. Qing zai xi ban ya ren zai tai wan, 1626-1642 [the spanish in Taiwan]. Taiwan Historica, Nantou.</w:t>
      </w:r>
    </w:p>
    <w:bookmarkEnd w:id="84"/>
    <w:bookmarkStart w:id="85"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85"/>
    <w:bookmarkStart w:id="86" w:name="ref-Marin2011"/>
    <w:p>
      <w:pPr>
        <w:pStyle w:val="Bibliography"/>
      </w:pPr>
      <w:r>
        <w:t xml:space="preserve">Marin, A., Wellman, B., 2011. Social network analysis: An introduction. The SAGE handbook of social network analysis 11.</w:t>
      </w:r>
    </w:p>
    <w:bookmarkEnd w:id="86"/>
    <w:bookmarkStart w:id="88"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7">
        <w:r>
          <w:rPr>
            <w:rStyle w:val="Hyperlink"/>
          </w:rPr>
          <w:t xml:space="preserve">https://doi.org/10.1007/s10816-015-9272-9</w:t>
        </w:r>
      </w:hyperlink>
    </w:p>
    <w:bookmarkEnd w:id="88"/>
    <w:bookmarkStart w:id="89" w:name="ref-Marwick2018"/>
    <w:p>
      <w:pPr>
        <w:pStyle w:val="Bibliography"/>
      </w:pPr>
      <w:r>
        <w:t xml:space="preserve">Marwick, B., Boettiger, C., Mullen, L., 2018. Packaging data analytical work reproducibly using R (and friends). The American Statistician 72, 80–88.</w:t>
      </w:r>
    </w:p>
    <w:bookmarkEnd w:id="89"/>
    <w:bookmarkStart w:id="90" w:name="ref-Mills2017"/>
    <w:p>
      <w:pPr>
        <w:pStyle w:val="Bibliography"/>
      </w:pPr>
      <w:r>
        <w:t xml:space="preserve">Mills, B.J., 2017. Social network analysis in archaeology. Annual review of anthropology 46, 379–397.</w:t>
      </w:r>
    </w:p>
    <w:bookmarkEnd w:id="90"/>
    <w:bookmarkStart w:id="91"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91"/>
    <w:bookmarkStart w:id="92" w:name="ref-Morris2008"/>
    <w:p>
      <w:pPr>
        <w:pStyle w:val="Bibliography"/>
      </w:pPr>
      <w:r>
        <w:t xml:space="preserve">Morris, M., Handcock, M.S., Hunter, D.R., 2008. Specification of exponential-family random graph models: Terms and computational aspects. Journal of statistical software 24, 1548.</w:t>
      </w:r>
    </w:p>
    <w:bookmarkEnd w:id="92"/>
    <w:bookmarkStart w:id="93" w:name="ref-Nemmers2019"/>
    <w:p>
      <w:pPr>
        <w:pStyle w:val="Bibliography"/>
      </w:pPr>
      <w:r>
        <w:t xml:space="preserve">Nemmers, T., Narayan, A., Banerjee, S., 2019. Bayesian modeling and uncertainty quantification for descriptive social networks. Statistics and its interface 12, 181.</w:t>
      </w:r>
    </w:p>
    <w:bookmarkEnd w:id="93"/>
    <w:bookmarkStart w:id="94" w:name="ref-Pearson1982"/>
    <w:p>
      <w:pPr>
        <w:pStyle w:val="Bibliography"/>
      </w:pPr>
      <w:r>
        <w:t xml:space="preserve">Pearson, P., 1982. Mortuary practices, society and ideology: An ethnoarchaeological study, in: Hodder, I. (Ed.), Symbolic and Structural Archaeology. Cambridge.</w:t>
      </w:r>
    </w:p>
    <w:bookmarkEnd w:id="94"/>
    <w:bookmarkStart w:id="95" w:name="ref-Peeples2019"/>
    <w:p>
      <w:pPr>
        <w:pStyle w:val="Bibliography"/>
      </w:pPr>
      <w:r>
        <w:t xml:space="preserve">Peeples, M.A., 2019. Finding a place for networks in archaeology. Journal of Archaeological Research 27, 451–499.</w:t>
      </w:r>
    </w:p>
    <w:bookmarkEnd w:id="95"/>
    <w:bookmarkStart w:id="96" w:name="ref-Rlanguage2019"/>
    <w:p>
      <w:pPr>
        <w:pStyle w:val="Bibliography"/>
      </w:pPr>
      <w:r>
        <w:t xml:space="preserve">R Core Team, 2019. R: A language and environment for statistical computing. R Foundation for Statistical Computing, Vienna, Austria.</w:t>
      </w:r>
    </w:p>
    <w:bookmarkEnd w:id="96"/>
    <w:bookmarkStart w:id="98" w:name="ref-Rroberts2021"/>
    <w:p>
      <w:pPr>
        <w:pStyle w:val="Bibliography"/>
      </w:pPr>
      <w:r>
        <w:t xml:space="preserve">Roberts, J.M., Yin, Y., Dorshorst, E., Peeples, M.A., Mills, B.J., 2021. Assessing the performance of the bootstrap in simulated assemblage networks. Social Networks 65, 98–109.</w:t>
      </w:r>
      <w:r>
        <w:t xml:space="preserve"> </w:t>
      </w:r>
      <w:hyperlink r:id="rId97">
        <w:r>
          <w:rPr>
            <w:rStyle w:val="Hyperlink"/>
          </w:rPr>
          <w:t xml:space="preserve">https://doi.org/https://doi.org/10.1016/j.socnet.2020.11.005</w:t>
        </w:r>
      </w:hyperlink>
    </w:p>
    <w:bookmarkEnd w:id="98"/>
    <w:bookmarkStart w:id="99" w:name="ref-Robins2007"/>
    <w:p>
      <w:pPr>
        <w:pStyle w:val="Bibliography"/>
      </w:pPr>
      <w:r>
        <w:t xml:space="preserve">Robins, G., Pattison, P., Kalish, Y., Lusher, D., 2007. An introduction to exponential random graph (p*) models for social networks. Social networks 29, 173–191.</w:t>
      </w:r>
    </w:p>
    <w:bookmarkEnd w:id="99"/>
    <w:bookmarkStart w:id="100" w:name="ref-Salvini2010"/>
    <w:p>
      <w:pPr>
        <w:pStyle w:val="Bibliography"/>
      </w:pPr>
      <w:r>
        <w:t xml:space="preserve">Salvini, A., 2010. Symbolic interactionism and social network analysis: An uncertain encounter. Symbolic Interaction 33, 364–388.</w:t>
      </w:r>
    </w:p>
    <w:bookmarkEnd w:id="100"/>
    <w:bookmarkStart w:id="101" w:name="ref-Saxe1970"/>
    <w:p>
      <w:pPr>
        <w:pStyle w:val="Bibliography"/>
      </w:pPr>
      <w:r>
        <w:t xml:space="preserve">Saxe, A., 1970. Social dimensions of mortuary practices (PhD thesis). University of Michigan.</w:t>
      </w:r>
    </w:p>
    <w:bookmarkEnd w:id="101"/>
    <w:bookmarkStart w:id="102" w:name="ref-Schweinberger2011"/>
    <w:p>
      <w:pPr>
        <w:pStyle w:val="Bibliography"/>
      </w:pPr>
      <w:r>
        <w:t xml:space="preserve">Schweinberger, M., 2011. Instability, sensitivity, and degeneracy of discrete exponential families. Journal of the American Statistical Association 106, 1361–1370.</w:t>
      </w:r>
    </w:p>
    <w:bookmarkEnd w:id="102"/>
    <w:bookmarkStart w:id="103" w:name="ref-Seikel2011"/>
    <w:p>
      <w:pPr>
        <w:pStyle w:val="Bibliography"/>
      </w:pPr>
      <w:r>
        <w:t xml:space="preserve">Seikel, K., 2011. Mortuary contexts and social structure at nan madol, pohnpei. The Journal of Island and Coastal Archaeology 6, 442–460.</w:t>
      </w:r>
    </w:p>
    <w:bookmarkEnd w:id="103"/>
    <w:bookmarkStart w:id="104" w:name="ref-Siegel1999"/>
    <w:p>
      <w:pPr>
        <w:pStyle w:val="Bibliography"/>
      </w:pPr>
      <w:r>
        <w:t xml:space="preserve">Siegel, P.E., 1999. Contested places and places of contest: The evolution of social power and ceremonial space in prehistoric puerto rico. Latin American Antiquity 209–238.</w:t>
      </w:r>
    </w:p>
    <w:bookmarkEnd w:id="104"/>
    <w:bookmarkStart w:id="105" w:name="ref-Snijders2011"/>
    <w:p>
      <w:pPr>
        <w:pStyle w:val="Bibliography"/>
      </w:pPr>
      <w:r>
        <w:t xml:space="preserve">Snijders, T.A., 2011. Statistical models for social networks. Annual Review of Sociology 37.</w:t>
      </w:r>
    </w:p>
    <w:bookmarkEnd w:id="105"/>
    <w:bookmarkStart w:id="106" w:name="ref-Snijders1999"/>
    <w:p>
      <w:pPr>
        <w:pStyle w:val="Bibliography"/>
      </w:pPr>
      <w:r>
        <w:t xml:space="preserve">Snijders, T.A., Borgatti, S.P., 1999. Non-parametric standard errors and tests for network statistics. Connections 22, 161–170.</w:t>
      </w:r>
    </w:p>
    <w:bookmarkEnd w:id="106"/>
    <w:bookmarkStart w:id="107" w:name="ref-Snijders2006"/>
    <w:p>
      <w:pPr>
        <w:pStyle w:val="Bibliography"/>
      </w:pPr>
      <w:r>
        <w:t xml:space="preserve">Snijders, T.A., Pattison, P.E., Robins, G.L., Handcock, M.S., 2006. New specifications for exponential random graph models. Sociological methodology 36, 99–153.</w:t>
      </w:r>
    </w:p>
    <w:bookmarkEnd w:id="107"/>
    <w:bookmarkStart w:id="108" w:name="ref-Sosna2013"/>
    <w:p>
      <w:pPr>
        <w:pStyle w:val="Bibliography"/>
      </w:pPr>
      <w:r>
        <w:t xml:space="preserve">Sosna, D., Galeta, P., Šmejda, L., Sladek, V., Bruzek, J., 2013. Burials and graphs: Relational approach to mortuary analysis. Social Science Computer Review 31, 56–70.</w:t>
      </w:r>
    </w:p>
    <w:bookmarkEnd w:id="108"/>
    <w:bookmarkStart w:id="109" w:name="ref-Thomas2009"/>
    <w:p>
      <w:pPr>
        <w:pStyle w:val="Bibliography"/>
      </w:pPr>
      <w:r>
        <w:t xml:space="preserve">Thomas, N., 2009. Entangled objects: Exchange, material culture, and colonialism in the pacific. Harvard University Press.</w:t>
      </w:r>
    </w:p>
    <w:bookmarkEnd w:id="109"/>
    <w:bookmarkStart w:id="110" w:name="ref-Trabert2017"/>
    <w:p>
      <w:pPr>
        <w:pStyle w:val="Bibliography"/>
      </w:pPr>
      <w:r>
        <w:t xml:space="preserve">Trabert, S., 2017. Considering the indirect effects of colonialism: Example from a great plains middle ground. Journal of Anthropological Archaeology 48, 17–27.</w:t>
      </w:r>
    </w:p>
    <w:bookmarkEnd w:id="110"/>
    <w:bookmarkStart w:id="111" w:name="ref-Wang2011"/>
    <w:p>
      <w:pPr>
        <w:pStyle w:val="Bibliography"/>
      </w:pPr>
      <w:r>
        <w:t xml:space="preserve">Wang, L.-Y., 2011. Yilan Kiwulan yizhi chutu zhuangshipin zhi xiangguan yanjiu [A research of ornaments excavated at Kiwulan site, I-lan] (Master’s thesis).</w:t>
      </w:r>
    </w:p>
    <w:bookmarkEnd w:id="111"/>
    <w:bookmarkStart w:id="112"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2"/>
    <w:bookmarkStart w:id="113" w:name="ref-Wang2007"/>
    <w:p>
      <w:pPr>
        <w:pStyle w:val="Bibliography"/>
      </w:pPr>
      <w:r>
        <w:t xml:space="preserve">Wang, S.-C., Liu, Y.-C., 2007. Shiqi shiji qianhou Taiwan boli zhushi yu yancao, yandou de shuru wangluo -yige xin de jiaohuan jieduan [The import networks of tobacco, tobacco pipes, and glass bead ornaments into Taiwan circa the seventeenth century: A new phase of exchange]. Taida Journal of Art History 22, 51–83.</w:t>
      </w:r>
    </w:p>
    <w:bookmarkEnd w:id="113"/>
    <w:bookmarkStart w:id="114" w:name="ref-Wasserman1994"/>
    <w:p>
      <w:pPr>
        <w:pStyle w:val="Bibliography"/>
      </w:pPr>
      <w:r>
        <w:t xml:space="preserve">Wasserman, S., Faust, K., others, 1994. Social network analysis: Methods and applications. Cambridge university press.</w:t>
      </w:r>
    </w:p>
    <w:bookmarkEnd w:id="114"/>
    <w:bookmarkEnd w:id="115"/>
    <w:p>
      <w:pPr>
        <w:pStyle w:val="Heading5"/>
      </w:pPr>
      <w:bookmarkStart w:id="116" w:name="pagebreak-1"/>
      <w:r>
        <w:t xml:space="preserve">pagebreak</w:t>
      </w:r>
      <w:bookmarkEnd w:id="116"/>
    </w:p>
    <w:p>
      <w:pPr>
        <w:pStyle w:val="Heading3"/>
      </w:pPr>
      <w:bookmarkStart w:id="117" w:name="colophon"/>
      <w:r>
        <w:t xml:space="preserve">Colophon</w:t>
      </w:r>
      <w:bookmarkEnd w:id="117"/>
    </w:p>
    <w:p>
      <w:pPr>
        <w:pStyle w:val="FirstParagraph"/>
      </w:pPr>
      <w:r>
        <w:t xml:space="preserve">This report was generated on 2021-01-05 23:04:02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2021-01-05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w:t>
      </w:r>
      <w:r>
        <w:br/>
      </w:r>
      <w:r>
        <w:rPr>
          <w:rStyle w:val="VerbatimChar"/>
        </w:rPr>
        <w:t xml:space="preserve">#&gt;  backports     1.2.0   2020-11-02 [1] CRAN (R 4.0.2)</w:t>
      </w:r>
      <w:r>
        <w:br/>
      </w:r>
      <w:r>
        <w:rPr>
          <w:rStyle w:val="VerbatimChar"/>
        </w:rPr>
        <w:t xml:space="preserve">#&gt;  bookdown      0.20    2020-06-23 [1] CRAN (R 4.0.0)</w:t>
      </w:r>
      <w:r>
        <w:br/>
      </w:r>
      <w:r>
        <w:rPr>
          <w:rStyle w:val="VerbatimChar"/>
        </w:rPr>
        <w:t xml:space="preserve">#&gt;  broom         0.7.0   2020-07-09 [1] CRAN (R 4.0.2)</w:t>
      </w:r>
      <w:r>
        <w:br/>
      </w:r>
      <w:r>
        <w:rPr>
          <w:rStyle w:val="VerbatimChar"/>
        </w:rPr>
        <w:t xml:space="preserve">#&gt;  callr         3.5.1   2020-10-13 [1] CRAN (R 4.0.2)</w:t>
      </w:r>
      <w:r>
        <w:br/>
      </w:r>
      <w:r>
        <w:rPr>
          <w:rStyle w:val="VerbatimChar"/>
        </w:rPr>
        <w:t xml:space="preserve">#&gt;  cellranger    1.1.0   2016-07-27 [1] CRAN (R 4.0.0)</w:t>
      </w:r>
      <w:r>
        <w:br/>
      </w:r>
      <w:r>
        <w:rPr>
          <w:rStyle w:val="VerbatimChar"/>
        </w:rPr>
        <w:t xml:space="preserve">#&gt;  class         7.3-17  2020-04-26 [1] CRAN (R 4.0.2)</w:t>
      </w:r>
      <w:r>
        <w:br/>
      </w:r>
      <w:r>
        <w:rPr>
          <w:rStyle w:val="VerbatimChar"/>
        </w:rPr>
        <w:t xml:space="preserve">#&gt;  classInt      0.4-3   2020-04-07 [1] CRAN (R 4.0.0)</w:t>
      </w:r>
      <w:r>
        <w:br/>
      </w:r>
      <w:r>
        <w:rPr>
          <w:rStyle w:val="VerbatimChar"/>
        </w:rPr>
        <w:t xml:space="preserve">#&gt;  cli           2.1.0   2020-10-12 [1] CRAN (R 4.0.2)</w:t>
      </w:r>
      <w:r>
        <w:br/>
      </w:r>
      <w:r>
        <w:rPr>
          <w:rStyle w:val="VerbatimChar"/>
        </w:rPr>
        <w:t xml:space="preserve">#&gt;  colorspace    1.4-1   2019-03-18 [1] CRAN (R 4.0.2)</w:t>
      </w:r>
      <w:r>
        <w:br/>
      </w:r>
      <w:r>
        <w:rPr>
          <w:rStyle w:val="VerbatimChar"/>
        </w:rPr>
        <w:t xml:space="preserve">#&gt;  cowplot       1.1.0   2020-09-08 [1] CRAN (R 4.0.2)</w:t>
      </w:r>
      <w:r>
        <w:br/>
      </w:r>
      <w:r>
        <w:rPr>
          <w:rStyle w:val="VerbatimChar"/>
        </w:rPr>
        <w:t xml:space="preserve">#&gt;  crayon        1.3.4   2017-09-16 [1] CRAN (R 4.0.0)</w:t>
      </w:r>
      <w:r>
        <w:br/>
      </w:r>
      <w:r>
        <w:rPr>
          <w:rStyle w:val="VerbatimChar"/>
        </w:rPr>
        <w:t xml:space="preserve">#&gt;  DBI           1.1.0   2019-12-15 [1] CRAN (R 4.0.0)</w:t>
      </w:r>
      <w:r>
        <w:br/>
      </w:r>
      <w:r>
        <w:rPr>
          <w:rStyle w:val="VerbatimChar"/>
        </w:rPr>
        <w:t xml:space="preserve">#&gt;  dbplyr        2.0.0   2020-11-03 [1] CRAN (R 4.0.2)</w:t>
      </w:r>
      <w:r>
        <w:br/>
      </w:r>
      <w:r>
        <w:rPr>
          <w:rStyle w:val="VerbatimChar"/>
        </w:rPr>
        <w:t xml:space="preserve">#&gt;  desc          1.2.0   2018-05-01 [1] CRAN (R 4.0.0)</w:t>
      </w:r>
      <w:r>
        <w:br/>
      </w:r>
      <w:r>
        <w:rPr>
          <w:rStyle w:val="VerbatimChar"/>
        </w:rPr>
        <w:t xml:space="preserve">#&gt;  devtools      2.3.2   2020-09-18 [1] CRAN (R 4.0.2)</w:t>
      </w:r>
      <w:r>
        <w:br/>
      </w:r>
      <w:r>
        <w:rPr>
          <w:rStyle w:val="VerbatimChar"/>
        </w:rPr>
        <w:t xml:space="preserve">#&gt;  digest        0.6.27  2020-10-24 [1] CRAN (R 4.0.2)</w:t>
      </w:r>
      <w:r>
        <w:br/>
      </w:r>
      <w:r>
        <w:rPr>
          <w:rStyle w:val="VerbatimChar"/>
        </w:rPr>
        <w:t xml:space="preserve">#&gt;  dplyr       * 1.0.2   2020-08-18 [1] CRAN (R 4.0.2)</w:t>
      </w:r>
      <w:r>
        <w:br/>
      </w:r>
      <w:r>
        <w:rPr>
          <w:rStyle w:val="VerbatimChar"/>
        </w:rPr>
        <w:t xml:space="preserve">#&gt;  e1071         1.7-3   2019-11-26 [1] CRAN (R 4.0.0)</w:t>
      </w:r>
      <w:r>
        <w:br/>
      </w:r>
      <w:r>
        <w:rPr>
          <w:rStyle w:val="VerbatimChar"/>
        </w:rPr>
        <w:t xml:space="preserve">#&gt;  ellipsis      0.3.1   2020-05-15 [1] CRAN (R 4.0.0)</w:t>
      </w:r>
      <w:r>
        <w:br/>
      </w:r>
      <w:r>
        <w:rPr>
          <w:rStyle w:val="VerbatimChar"/>
        </w:rPr>
        <w:t xml:space="preserve">#&gt;  evaluate      0.14    2019-05-28 [1] CRAN (R 4.0.0)</w:t>
      </w:r>
      <w:r>
        <w:br/>
      </w:r>
      <w:r>
        <w:rPr>
          <w:rStyle w:val="VerbatimChar"/>
        </w:rPr>
        <w:t xml:space="preserve">#&gt;  fansi         0.4.1   2020-01-08 [1] CRAN (R 4.0.0)</w:t>
      </w:r>
      <w:r>
        <w:br/>
      </w:r>
      <w:r>
        <w:rPr>
          <w:rStyle w:val="VerbatimChar"/>
        </w:rPr>
        <w:t xml:space="preserve">#&gt;  farver        2.0.3   2020-01-16 [1] CRAN (R 4.0.0)</w:t>
      </w:r>
      <w:r>
        <w:br/>
      </w:r>
      <w:r>
        <w:rPr>
          <w:rStyle w:val="VerbatimChar"/>
        </w:rPr>
        <w:t xml:space="preserve">#&gt;  forcats     * 0.5.0   2020-03-01 [1] CRAN (R 4.0.0)</w:t>
      </w:r>
      <w:r>
        <w:br/>
      </w:r>
      <w:r>
        <w:rPr>
          <w:rStyle w:val="VerbatimChar"/>
        </w:rPr>
        <w:t xml:space="preserve">#&gt;  fs            1.5.0   2020-07-31 [1] CRAN (R 4.0.2)</w:t>
      </w:r>
      <w:r>
        <w:br/>
      </w:r>
      <w:r>
        <w:rPr>
          <w:rStyle w:val="VerbatimChar"/>
        </w:rPr>
        <w:t xml:space="preserve">#&gt;  generics      0.0.2   2018-11-29 [1] CRAN (R 4.0.0)</w:t>
      </w:r>
      <w:r>
        <w:br/>
      </w:r>
      <w:r>
        <w:rPr>
          <w:rStyle w:val="VerbatimChar"/>
        </w:rPr>
        <w:t xml:space="preserve">#&gt;  ggplot2     * 3.3.2   2020-06-19 [1] CRAN (R 4.0.0)</w:t>
      </w:r>
      <w:r>
        <w:br/>
      </w:r>
      <w:r>
        <w:rPr>
          <w:rStyle w:val="VerbatimChar"/>
        </w:rPr>
        <w:t xml:space="preserve">#&gt;  glue          1.4.2   2020-08-27 [1] CRAN (R 4.0.2)</w:t>
      </w:r>
      <w:r>
        <w:br/>
      </w:r>
      <w:r>
        <w:rPr>
          <w:rStyle w:val="VerbatimChar"/>
        </w:rPr>
        <w:t xml:space="preserve">#&gt;  gtable        0.3.0   2019-03-25 [1] CRAN (R 4.0.0)</w:t>
      </w:r>
      <w:r>
        <w:br/>
      </w:r>
      <w:r>
        <w:rPr>
          <w:rStyle w:val="VerbatimChar"/>
        </w:rPr>
        <w:t xml:space="preserve">#&gt;  haven         2.3.1   2020-06-01 [1] CRAN (R 4.0.0)</w:t>
      </w:r>
      <w:r>
        <w:br/>
      </w:r>
      <w:r>
        <w:rPr>
          <w:rStyle w:val="VerbatimChar"/>
        </w:rPr>
        <w:t xml:space="preserve">#&gt;  here          1.0.1   2020-12-13 [1] CRAN (R 4.0.2)</w:t>
      </w:r>
      <w:r>
        <w:br/>
      </w:r>
      <w:r>
        <w:rPr>
          <w:rStyle w:val="VerbatimChar"/>
        </w:rPr>
        <w:t xml:space="preserve">#&gt;  highr         0.8     2019-03-20 [1] CRAN (R 4.0.0)</w:t>
      </w:r>
      <w:r>
        <w:br/>
      </w:r>
      <w:r>
        <w:rPr>
          <w:rStyle w:val="VerbatimChar"/>
        </w:rPr>
        <w:t xml:space="preserve">#&gt;  hms           0.5.3   2020-01-08 [1] CRAN (R 4.0.0)</w:t>
      </w:r>
      <w:r>
        <w:br/>
      </w:r>
      <w:r>
        <w:rPr>
          <w:rStyle w:val="VerbatimChar"/>
        </w:rPr>
        <w:t xml:space="preserve">#&gt;  htmltools     0.5.0   2020-06-16 [1] CRAN (R 4.0.0)</w:t>
      </w:r>
      <w:r>
        <w:br/>
      </w:r>
      <w:r>
        <w:rPr>
          <w:rStyle w:val="VerbatimChar"/>
        </w:rPr>
        <w:t xml:space="preserve">#&gt;  httr          1.4.2   2020-07-20 [1] CRAN (R 4.0.2)</w:t>
      </w:r>
      <w:r>
        <w:br/>
      </w:r>
      <w:r>
        <w:rPr>
          <w:rStyle w:val="VerbatimChar"/>
        </w:rPr>
        <w:t xml:space="preserve">#&gt;  jsonlite      1.7.1   2020-09-07 [1] CRAN (R 4.0.2)</w:t>
      </w:r>
      <w:r>
        <w:br/>
      </w:r>
      <w:r>
        <w:rPr>
          <w:rStyle w:val="VerbatimChar"/>
        </w:rPr>
        <w:t xml:space="preserve">#&gt;  KernSmooth    2.23-17 2020-04-26 [1] CRAN (R 4.0.2)</w:t>
      </w:r>
      <w:r>
        <w:br/>
      </w:r>
      <w:r>
        <w:rPr>
          <w:rStyle w:val="VerbatimChar"/>
        </w:rPr>
        <w:t xml:space="preserve">#&gt;  knitr         1.29    2020-06-23 [1] CRAN (R 4.0.0)</w:t>
      </w:r>
      <w:r>
        <w:br/>
      </w:r>
      <w:r>
        <w:rPr>
          <w:rStyle w:val="VerbatimChar"/>
        </w:rPr>
        <w:t xml:space="preserve">#&gt;  labeling      0.4.2   2020-10-20 [1] CRAN (R 4.0.2)</w:t>
      </w:r>
      <w:r>
        <w:br/>
      </w:r>
      <w:r>
        <w:rPr>
          <w:rStyle w:val="VerbatimChar"/>
        </w:rPr>
        <w:t xml:space="preserve">#&gt;  lifecycle     0.2.0   2020-03-06 [1] CRAN (R 4.0.0)</w:t>
      </w:r>
      <w:r>
        <w:br/>
      </w:r>
      <w:r>
        <w:rPr>
          <w:rStyle w:val="VerbatimChar"/>
        </w:rPr>
        <w:t xml:space="preserve">#&gt;  lubridate     1.7.9   2020-06-08 [1] CRAN (R 4.0.0)</w:t>
      </w:r>
      <w:r>
        <w:br/>
      </w:r>
      <w:r>
        <w:rPr>
          <w:rStyle w:val="VerbatimChar"/>
        </w:rPr>
        <w:t xml:space="preserve">#&gt;  magrittr      1.5     2014-11-22 [1] CRAN (R 4.0.0)</w:t>
      </w:r>
      <w:r>
        <w:br/>
      </w:r>
      <w:r>
        <w:rPr>
          <w:rStyle w:val="VerbatimChar"/>
        </w:rPr>
        <w:t xml:space="preserve">#&gt;  memoise       1.1.0   2017-04-21 [1] CRAN (R 4.0.0)</w:t>
      </w:r>
      <w:r>
        <w:br/>
      </w:r>
      <w:r>
        <w:rPr>
          <w:rStyle w:val="VerbatimChar"/>
        </w:rPr>
        <w:t xml:space="preserve">#&gt;  modelr        0.1.8   2020-05-19 [1] CRAN (R 4.0.0)</w:t>
      </w:r>
      <w:r>
        <w:br/>
      </w:r>
      <w:r>
        <w:rPr>
          <w:rStyle w:val="VerbatimChar"/>
        </w:rPr>
        <w:t xml:space="preserve">#&gt;  munsell       0.5.0   2018-06-12 [1] CRAN (R 4.0.0)</w:t>
      </w:r>
      <w:r>
        <w:br/>
      </w:r>
      <w:r>
        <w:rPr>
          <w:rStyle w:val="VerbatimChar"/>
        </w:rPr>
        <w:t xml:space="preserve">#&gt;  pillar        1.4.6   2020-07-10 [1] CRAN (R 4.0.2)</w:t>
      </w:r>
      <w:r>
        <w:br/>
      </w:r>
      <w:r>
        <w:rPr>
          <w:rStyle w:val="VerbatimChar"/>
        </w:rPr>
        <w:t xml:space="preserve">#&gt;  pkgbuild      1.1.0   2020-07-13 [1] CRAN (R 4.0.2)</w:t>
      </w:r>
      <w:r>
        <w:br/>
      </w:r>
      <w:r>
        <w:rPr>
          <w:rStyle w:val="VerbatimChar"/>
        </w:rPr>
        <w:t xml:space="preserve">#&gt;  pkgconfig     2.0.3   2019-09-22 [1] CRAN (R 4.0.0)</w:t>
      </w:r>
      <w:r>
        <w:br/>
      </w:r>
      <w:r>
        <w:rPr>
          <w:rStyle w:val="VerbatimChar"/>
        </w:rPr>
        <w:t xml:space="preserve">#&gt;  pkgload       1.1.0   2020-05-29 [1] CRAN (R 4.0.0)</w:t>
      </w:r>
      <w:r>
        <w:br/>
      </w:r>
      <w:r>
        <w:rPr>
          <w:rStyle w:val="VerbatimChar"/>
        </w:rPr>
        <w:t xml:space="preserve">#&gt;  prettyunits   1.1.1   2020-01-24 [1] CRAN (R 4.0.0)</w:t>
      </w:r>
      <w:r>
        <w:br/>
      </w:r>
      <w:r>
        <w:rPr>
          <w:rStyle w:val="VerbatimChar"/>
        </w:rPr>
        <w:t xml:space="preserve">#&gt;  processx      3.4.4   2020-09-03 [1] CRAN (R 4.0.2)</w:t>
      </w:r>
      <w:r>
        <w:br/>
      </w:r>
      <w:r>
        <w:rPr>
          <w:rStyle w:val="VerbatimChar"/>
        </w:rPr>
        <w:t xml:space="preserve">#&gt;  ps            1.4.0   2020-10-07 [1] CRAN (R 4.0.2)</w:t>
      </w:r>
      <w:r>
        <w:br/>
      </w:r>
      <w:r>
        <w:rPr>
          <w:rStyle w:val="VerbatimChar"/>
        </w:rPr>
        <w:t xml:space="preserve">#&gt;  purrr       * 0.3.4   2020-04-17 [1] CRAN (R 4.0.0)</w:t>
      </w:r>
      <w:r>
        <w:br/>
      </w:r>
      <w:r>
        <w:rPr>
          <w:rStyle w:val="VerbatimChar"/>
        </w:rPr>
        <w:t xml:space="preserve">#&gt;  R6            2.5.0   2020-10-28 [1] CRAN (R 4.0.2)</w:t>
      </w:r>
      <w:r>
        <w:br/>
      </w:r>
      <w:r>
        <w:rPr>
          <w:rStyle w:val="VerbatimChar"/>
        </w:rPr>
        <w:t xml:space="preserve">#&gt;  Rcpp          1.0.5   2020-07-06 [1] CRAN (R 4.0.0)</w:t>
      </w:r>
      <w:r>
        <w:br/>
      </w:r>
      <w:r>
        <w:rPr>
          <w:rStyle w:val="VerbatimChar"/>
        </w:rPr>
        <w:t xml:space="preserve">#&gt;  readr       * 1.4.0   2020-10-05 [1] CRAN (R 4.0.2)</w:t>
      </w:r>
      <w:r>
        <w:br/>
      </w:r>
      <w:r>
        <w:rPr>
          <w:rStyle w:val="VerbatimChar"/>
        </w:rPr>
        <w:t xml:space="preserve">#&gt;  readxl        1.3.1   2019-03-13 [1] CRAN (R 4.0.0)</w:t>
      </w:r>
      <w:r>
        <w:br/>
      </w:r>
      <w:r>
        <w:rPr>
          <w:rStyle w:val="VerbatimChar"/>
        </w:rPr>
        <w:t xml:space="preserve">#&gt;  remotes       2.2.0   2020-07-21 [1] CRAN (R 4.0.2)</w:t>
      </w:r>
      <w:r>
        <w:br/>
      </w:r>
      <w:r>
        <w:rPr>
          <w:rStyle w:val="VerbatimChar"/>
        </w:rPr>
        <w:t xml:space="preserve">#&gt;  reprex        0.3.0   2019-05-16 [1] CRAN (R 4.0.0)</w:t>
      </w:r>
      <w:r>
        <w:br/>
      </w:r>
      <w:r>
        <w:rPr>
          <w:rStyle w:val="VerbatimChar"/>
        </w:rPr>
        <w:t xml:space="preserve">#&gt;  rlang         0.4.8   2020-10-08 [1] CRAN (R 4.0.2)</w:t>
      </w:r>
      <w:r>
        <w:br/>
      </w:r>
      <w:r>
        <w:rPr>
          <w:rStyle w:val="VerbatimChar"/>
        </w:rPr>
        <w:t xml:space="preserve">#&gt;  rmarkdown     2.3     2020-06-18 [1] CRAN (R 4.0.0)</w:t>
      </w:r>
      <w:r>
        <w:br/>
      </w:r>
      <w:r>
        <w:rPr>
          <w:rStyle w:val="VerbatimChar"/>
        </w:rPr>
        <w:t xml:space="preserve">#&gt;  rprojroot     2.0.2   2020-11-15 [1] CRAN (R 4.0.2)</w:t>
      </w:r>
      <w:r>
        <w:br/>
      </w:r>
      <w:r>
        <w:rPr>
          <w:rStyle w:val="VerbatimChar"/>
        </w:rPr>
        <w:t xml:space="preserve">#&gt;  rstudioapi    0.13    2020-11-12 [1] CRAN (R 4.0.2)</w:t>
      </w:r>
      <w:r>
        <w:br/>
      </w:r>
      <w:r>
        <w:rPr>
          <w:rStyle w:val="VerbatimChar"/>
        </w:rPr>
        <w:t xml:space="preserve">#&gt;  rvest         0.3.6   2020-07-25 [1] CRAN (R 4.0.2)</w:t>
      </w:r>
      <w:r>
        <w:br/>
      </w:r>
      <w:r>
        <w:rPr>
          <w:rStyle w:val="VerbatimChar"/>
        </w:rPr>
        <w:t xml:space="preserve">#&gt;  scales        1.1.1   2020-05-11 [1] CRAN (R 4.0.0)</w:t>
      </w:r>
      <w:r>
        <w:br/>
      </w:r>
      <w:r>
        <w:rPr>
          <w:rStyle w:val="VerbatimChar"/>
        </w:rPr>
        <w:t xml:space="preserve">#&gt;  sessioninfo   1.1.1   2018-11-05 [1] CRAN (R 4.0.0)</w:t>
      </w:r>
      <w:r>
        <w:br/>
      </w:r>
      <w:r>
        <w:rPr>
          <w:rStyle w:val="VerbatimChar"/>
        </w:rPr>
        <w:t xml:space="preserve">#&gt;  sf            0.9-6   2020-09-13 [1] CRAN (R 4.0.2)</w:t>
      </w:r>
      <w:r>
        <w:br/>
      </w:r>
      <w:r>
        <w:rPr>
          <w:rStyle w:val="VerbatimChar"/>
        </w:rPr>
        <w:t xml:space="preserve">#&gt;  stringi       1.5.3   2020-09-09 [1] CRAN (R 4.0.2)</w:t>
      </w:r>
      <w:r>
        <w:br/>
      </w:r>
      <w:r>
        <w:rPr>
          <w:rStyle w:val="VerbatimChar"/>
        </w:rPr>
        <w:t xml:space="preserve">#&gt;  stringr     * 1.4.0   2019-02-10 [1] CRAN (R 4.0.0)</w:t>
      </w:r>
      <w:r>
        <w:br/>
      </w:r>
      <w:r>
        <w:rPr>
          <w:rStyle w:val="VerbatimChar"/>
        </w:rPr>
        <w:t xml:space="preserve">#&gt;  testthat      3.0.0   2020-10-31 [1] CRAN (R 4.0.2)</w:t>
      </w:r>
      <w:r>
        <w:br/>
      </w:r>
      <w:r>
        <w:rPr>
          <w:rStyle w:val="VerbatimChar"/>
        </w:rPr>
        <w:t xml:space="preserve">#&gt;  tibble      * 3.0.4   2020-10-12 [1] CRAN (R 4.0.2)</w:t>
      </w:r>
      <w:r>
        <w:br/>
      </w:r>
      <w:r>
        <w:rPr>
          <w:rStyle w:val="VerbatimChar"/>
        </w:rPr>
        <w:t xml:space="preserve">#&gt;  tidyr       * 1.1.2   2020-08-27 [1] CRAN (R 4.0.2)</w:t>
      </w:r>
      <w:r>
        <w:br/>
      </w:r>
      <w:r>
        <w:rPr>
          <w:rStyle w:val="VerbatimChar"/>
        </w:rPr>
        <w:t xml:space="preserve">#&gt;  tidyselect    1.1.0   2020-05-11 [1] CRAN (R 4.0.0)</w:t>
      </w:r>
      <w:r>
        <w:br/>
      </w:r>
      <w:r>
        <w:rPr>
          <w:rStyle w:val="VerbatimChar"/>
        </w:rPr>
        <w:t xml:space="preserve">#&gt;  tidyverse   * 1.3.0   2019-11-21 [1] CRAN (R 4.0.2)</w:t>
      </w:r>
      <w:r>
        <w:br/>
      </w:r>
      <w:r>
        <w:rPr>
          <w:rStyle w:val="VerbatimChar"/>
        </w:rPr>
        <w:t xml:space="preserve">#&gt;  units         0.6-7   2020-06-13 [1] CRAN (R 4.0.0)</w:t>
      </w:r>
      <w:r>
        <w:br/>
      </w:r>
      <w:r>
        <w:rPr>
          <w:rStyle w:val="VerbatimChar"/>
        </w:rPr>
        <w:t xml:space="preserve">#&gt;  usethis       1.6.3   2020-09-17 [1] CRAN (R 4.0.2)</w:t>
      </w:r>
      <w:r>
        <w:br/>
      </w:r>
      <w:r>
        <w:rPr>
          <w:rStyle w:val="VerbatimChar"/>
        </w:rPr>
        <w:t xml:space="preserve">#&gt;  vctrs         0.3.4   2020-08-29 [1] CRAN (R 4.0.2)</w:t>
      </w:r>
      <w:r>
        <w:br/>
      </w:r>
      <w:r>
        <w:rPr>
          <w:rStyle w:val="VerbatimChar"/>
        </w:rPr>
        <w:t xml:space="preserve">#&gt;  viridisLite   0.3.0   2018-02-01 [1] CRAN (R 4.0.0)</w:t>
      </w:r>
      <w:r>
        <w:br/>
      </w:r>
      <w:r>
        <w:rPr>
          <w:rStyle w:val="VerbatimChar"/>
        </w:rPr>
        <w:t xml:space="preserve">#&gt;  withr         2.3.0   2020-09-22 [1] CRAN (R 4.0.2)</w:t>
      </w:r>
      <w:r>
        <w:br/>
      </w:r>
      <w:r>
        <w:rPr>
          <w:rStyle w:val="VerbatimChar"/>
        </w:rPr>
        <w:t xml:space="preserve">#&gt;  xfun          0.16    2020-07-24 [1] CRAN (R 4.0.2)</w:t>
      </w:r>
      <w:r>
        <w:br/>
      </w:r>
      <w:r>
        <w:rPr>
          <w:rStyle w:val="VerbatimChar"/>
        </w:rPr>
        <w:t xml:space="preserve">#&gt;  xml2          1.3.2   2020-04-23 [1] CRAN (R 4.0.0)</w:t>
      </w:r>
      <w:r>
        <w:br/>
      </w:r>
      <w:r>
        <w:rPr>
          <w:rStyle w:val="VerbatimChar"/>
        </w:rPr>
        <w:t xml:space="preserve">#&gt;  yaml          2.2.1   2020-02-01 [1] CRAN (R 4.0.0)</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[d08067b] 2021-01-05: source 002-005 script files in rmd and cache the data</w:t>
      </w:r>
    </w:p>
    <w:p>
      <w:pPr>
        <w:pStyle w:val="FirstParagraph"/>
      </w:pPr>
      <w:r>
        <w:t xml:space="preserve">Word count: 3260</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1" Target="media/rId31.png" /><Relationship Type="http://schemas.openxmlformats.org/officeDocument/2006/relationships/hyperlink" Id="rId87" Target="https://doi.org/10.1007/s10816-015-9272-9" TargetMode="External" /><Relationship Type="http://schemas.openxmlformats.org/officeDocument/2006/relationships/hyperlink" Id="rId97" Target="https://doi.org/https://doi.org/10.1016/j.socnet.2020.11.005" TargetMode="External" /><Relationship Type="http://schemas.openxmlformats.org/officeDocument/2006/relationships/hyperlink" Id="rId29"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87" Target="https://doi.org/10.1007/s10816-015-9272-9" TargetMode="External" /><Relationship Type="http://schemas.openxmlformats.org/officeDocument/2006/relationships/hyperlink" Id="rId97" Target="https://doi.org/https://doi.org/10.1016/j.socnet.2020.11.005" TargetMode="External" /><Relationship Type="http://schemas.openxmlformats.org/officeDocument/2006/relationships/hyperlink" Id="rId29"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2021-01-06T07:04:14Z</dcterms:created>
  <dcterms:modified xsi:type="dcterms:W3CDTF">2021-01-06T07:04:14Z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05 January, 2021</vt:lpwstr>
  </property>
  <property fmtid="{D5CDD505-2E9C-101B-9397-08002B2CF9AE}" pid="6" name="highlights">
    <vt:lpwstr>These are the highlights.</vt:lpwstr>
  </property>
  <property fmtid="{D5CDD505-2E9C-101B-9397-08002B2CF9AE}" pid="7" name="output">
    <vt:lpwstr/>
  </property>
</Properties>
</file>