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06</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Keelung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Heading1"/>
      </w:pPr>
      <w:bookmarkStart w:id="22" w:name="X9f442a34850d9249fdd5db7947391d321101960"/>
      <w:r>
        <w:t xml:space="preserve">Exponential random graph models in a Baysesian framework</w:t>
      </w:r>
      <w:bookmarkEnd w:id="22"/>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3" w:name="materials"/>
      <w:r>
        <w:t xml:space="preserve">Materials</w:t>
      </w:r>
      <w:bookmarkEnd w:id="23"/>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5" w:name="methods"/>
      <w:r>
        <w:t xml:space="preserve">Methods</w:t>
      </w:r>
      <w:bookmarkEnd w:id="25"/>
    </w:p>
    <w:p>
      <w:pPr>
        <w:pStyle w:val="Heading2"/>
      </w:pPr>
      <w:bookmarkStart w:id="26" w:name="hypothesis-and-construction-of-networks"/>
      <w:r>
        <w:t xml:space="preserve">Hypothesis and construction of networks</w:t>
      </w:r>
      <w:bookmarkEnd w:id="26"/>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account for 10%),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2</w:t>
      </w:r>
      <w:r>
        <w:t xml:space="preserve">).</w:t>
      </w:r>
    </w:p>
    <w:p>
      <w:pPr>
        <w:pStyle w:val="CaptionedFigure"/>
      </w:pPr>
      <w:r>
        <w:drawing>
          <wp:inline>
            <wp:extent cx="5943600" cy="222885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7"/>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8" w:name="Xd605f7269e86ccd6b2b8b39b2c599ff50eb1757"/>
      <w:r>
        <w:t xml:space="preserve">Model specification in a Bayesian framework</w:t>
      </w:r>
      <w:bookmarkEnd w:id="28"/>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933"/>
        <w:gridCol w:w="1905"/>
        <w:gridCol w:w="2988"/>
        <w:gridCol w:w="2092"/>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Configurations (effect)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Numer of ties in the network</w:t>
            </w:r>
          </w:p>
        </w:tc>
        <w:tc>
          <w:p>
            <w:pPr>
              <w:pStyle w:val="Compact"/>
              <w:jc w:val="left"/>
            </w:pPr>
            <w:r>
              <w:t xml:space="preserve">two burial having relationship</w:t>
            </w:r>
          </w:p>
        </w:tc>
      </w:tr>
      <w:tr>
        <w:tc>
          <w:p>
            <w:pPr>
              <w:pStyle w:val="Compact"/>
              <w:jc w:val="left"/>
            </w:pPr>
            <w:r>
              <w:t xml:space="preserve">Cohesion or transitivity</w:t>
            </w:r>
          </w:p>
        </w:tc>
        <w:tc>
          <w:p>
            <w:pPr>
              <w:pStyle w:val="Compact"/>
              <w:jc w:val="left"/>
            </w:pPr>
            <w:r>
              <w:t xml:space="preserve">Geometrically weighted edgewise shared partner</w:t>
            </w:r>
          </w:p>
        </w:tc>
        <w:tc>
          <w:p>
            <w:pPr>
              <w:pStyle w:val="Compact"/>
              <w:jc w:val="left"/>
            </w:pPr>
            <w:r>
              <w:t xml:space="preserve">Tendency for nodes with shared partners to be tied</w:t>
            </w:r>
          </w:p>
        </w:tc>
        <w:tc>
          <w:p>
            <w:pPr>
              <w:pStyle w:val="Compact"/>
              <w:jc w:val="left"/>
            </w:pPr>
            <w:r>
              <w:t xml:space="preserve">burial to be connected with a third shared burial</w:t>
            </w:r>
          </w:p>
        </w:tc>
      </w:tr>
      <w:tr>
        <w:tc>
          <w:p>
            <w:pPr>
              <w:pStyle w:val="Compact"/>
              <w:jc w:val="left"/>
            </w:pPr>
            <w:r>
              <w:t xml:space="preserve">Multiple connectivity</w:t>
            </w:r>
          </w:p>
        </w:tc>
        <w:tc>
          <w:p>
            <w:pPr>
              <w:pStyle w:val="Compact"/>
              <w:jc w:val="left"/>
            </w:pPr>
            <w:r>
              <w:t xml:space="preserve">Geometrically weighted non-edgewise shared partner</w:t>
            </w:r>
          </w:p>
        </w:tc>
        <w:tc>
          <w:p>
            <w:pPr>
              <w:pStyle w:val="Compact"/>
              <w:jc w:val="left"/>
            </w:pPr>
            <w:r>
              <w:t xml:space="preserve">Tendency of nondirectly connected nodes to be connected through multiple others</w:t>
            </w:r>
          </w:p>
        </w:tc>
        <w:tc>
          <w:p>
            <w:pPr>
              <w:pStyle w:val="Compact"/>
              <w:jc w:val="left"/>
            </w:pPr>
            <w:r>
              <w:t xml:space="preserve">burial to be connected without a third shared burial</w:t>
            </w:r>
          </w:p>
        </w:tc>
      </w:tr>
      <w:tr>
        <w:tc>
          <w:p>
            <w:pPr>
              <w:pStyle w:val="Compact"/>
              <w:jc w:val="left"/>
            </w:pPr>
            <w:r>
              <w:t xml:space="preserve">Popularity</w:t>
            </w:r>
          </w:p>
        </w:tc>
        <w:tc>
          <w:p>
            <w:pPr>
              <w:pStyle w:val="Compact"/>
              <w:jc w:val="left"/>
            </w:pPr>
            <w:r>
              <w:t xml:space="preserve">geometrically weighted degree distribution</w:t>
            </w:r>
          </w:p>
        </w:tc>
        <w:tc>
          <w:p>
            <w:pPr>
              <w:pStyle w:val="Compact"/>
              <w:jc w:val="left"/>
            </w:pPr>
            <w:r>
              <w:t xml:space="preserve">Tendency towards centralization in distribution</w:t>
            </w:r>
          </w:p>
        </w:tc>
        <w:tc>
          <w:p>
            <w:pPr>
              <w:pStyle w:val="Compact"/>
              <w:jc w:val="left"/>
            </w:pPr>
            <w:r>
              <w:t xml:space="preserve">burial being connected with mutiple partners</w:t>
            </w:r>
          </w:p>
        </w:tc>
      </w:tr>
      <w:tr>
        <w:tc>
          <w:p>
            <w:pPr>
              <w:pStyle w:val="Compact"/>
              <w:jc w:val="left"/>
            </w:pPr>
            <w:r>
              <w:t xml:space="preserve">Node covariate (gender)</w:t>
            </w:r>
          </w:p>
        </w:tc>
        <w:tc>
          <w:p>
            <w:pPr>
              <w:pStyle w:val="Compact"/>
              <w:jc w:val="left"/>
            </w:pPr>
            <w:r>
              <w:t xml:space="preserve">Homophily</w:t>
            </w:r>
          </w:p>
        </w:tc>
        <w:tc>
          <w:p>
            <w:pPr>
              <w:pStyle w:val="Compact"/>
              <w:jc w:val="left"/>
            </w:pPr>
            <w:r>
              <w:t xml:space="preserve">Density of ties between nodes with same gender</w:t>
            </w:r>
          </w:p>
        </w:tc>
        <w:tc>
          <w:p>
            <w:pPr>
              <w:pStyle w:val="Compact"/>
              <w:jc w:val="left"/>
            </w:pPr>
            <w:r>
              <w:t xml:space="preserve">burial having the same gender to be connected</w:t>
            </w:r>
          </w:p>
        </w:tc>
      </w:tr>
      <w:tr>
        <w:tc>
          <w:p>
            <w:pPr>
              <w:pStyle w:val="Compact"/>
              <w:jc w:val="left"/>
            </w:pPr>
            <w:r>
              <w:t xml:space="preserve">Node covariate (age)</w:t>
            </w:r>
          </w:p>
        </w:tc>
        <w:tc>
          <w:p>
            <w:pPr>
              <w:pStyle w:val="Compact"/>
              <w:jc w:val="left"/>
            </w:pPr>
            <w:r>
              <w:t xml:space="preserve">Homophily</w:t>
            </w:r>
          </w:p>
        </w:tc>
        <w:tc>
          <w:p>
            <w:pPr>
              <w:pStyle w:val="Compact"/>
              <w:jc w:val="left"/>
            </w:pPr>
            <w:r>
              <w:t xml:space="preserve">Density of ties between nodes with same age</w:t>
            </w:r>
          </w:p>
        </w:tc>
        <w:tc>
          <w:p>
            <w:pPr>
              <w:pStyle w:val="Compact"/>
              <w:jc w:val="left"/>
            </w:pPr>
            <w:r>
              <w:t xml:space="preserve">burial having the same age to be connected</w:t>
            </w:r>
          </w:p>
        </w:tc>
      </w:tr>
      <w:tr>
        <w:tc>
          <w:p>
            <w:pPr>
              <w:pStyle w:val="Compact"/>
              <w:jc w:val="left"/>
            </w:pPr>
            <w:r>
              <w:t xml:space="preserve">Node covariate (wealth)</w:t>
            </w:r>
          </w:p>
        </w:tc>
        <w:tc>
          <w:p>
            <w:pPr>
              <w:pStyle w:val="Compact"/>
              <w:jc w:val="left"/>
            </w:pPr>
            <w:r>
              <w:t xml:space="preserve">Homophily</w:t>
            </w:r>
          </w:p>
        </w:tc>
        <w:tc>
          <w:p>
            <w:pPr>
              <w:pStyle w:val="Compact"/>
              <w:jc w:val="left"/>
            </w:pPr>
            <w:r>
              <w:t xml:space="preserve">Density of ties between nodes with same scale of wealth</w:t>
            </w:r>
          </w:p>
        </w:tc>
        <w:tc>
          <w:p>
            <w:pPr>
              <w:pStyle w:val="Compact"/>
              <w:jc w:val="left"/>
            </w:pPr>
            <w:r>
              <w:t xml:space="preserve">burial having the same scale of wealth to be connected</w:t>
            </w:r>
          </w:p>
        </w:tc>
      </w:tr>
      <w:tr>
        <w:tc>
          <w:p>
            <w:pPr>
              <w:pStyle w:val="Compact"/>
              <w:jc w:val="left"/>
            </w:pPr>
            <w:r>
              <w:t xml:space="preserve">Node covariate (ritual)</w:t>
            </w:r>
          </w:p>
        </w:tc>
        <w:tc>
          <w:p>
            <w:pPr>
              <w:pStyle w:val="Compact"/>
              <w:jc w:val="left"/>
            </w:pPr>
            <w:r>
              <w:t xml:space="preserve">Homophily</w:t>
            </w:r>
          </w:p>
        </w:tc>
        <w:tc>
          <w:p>
            <w:pPr>
              <w:pStyle w:val="Compact"/>
              <w:jc w:val="left"/>
            </w:pPr>
            <w:r>
              <w:t xml:space="preserve">Density of ties between nodes with same ritual treatment</w:t>
            </w:r>
          </w:p>
        </w:tc>
        <w:tc>
          <w:p>
            <w:pPr>
              <w:pStyle w:val="Compact"/>
              <w:jc w:val="left"/>
            </w:pPr>
            <w:r>
              <w:t xml:space="preserve">burial having the same ritual treatment to be connected</w:t>
            </w:r>
          </w:p>
        </w:tc>
      </w:tr>
    </w:tbl>
    <w:p>
      <w:pPr>
        <w:pStyle w:val="BodyText"/>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3 (i.e. N(0, 3)) for both models. For physical distance between burials, we set a negative covariate effect (N(-1, 1)) to infer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4)), lower popularity (N(-1, 1)), and higher covariate effect based on ritual activity (N(1, 5)) for network before European contact to indicate less social inequality. On the contrary, we set the priors for the network after the European arrival to lower transitivity (N(1, 2)), and higher popularity (N(1, 2))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10,000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29" w:name="X1d9039aecbbcb44c2dfa3a9268a6c9535658f66"/>
      <w:r>
        <w:t xml:space="preserve">Reproducibility and open source materials</w:t>
      </w:r>
      <w:bookmarkEnd w:id="29"/>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examine the estimates from the posterior distributions to compare their differences in structure of the simulated networks (Table XX; Figure</w:t>
      </w:r>
      <w:r>
        <w:t xml:space="preserve"> </w:t>
      </w:r>
      <w:r>
        <w:t xml:space="preserve">3</w:t>
      </w:r>
      <w:r>
        <w:t xml:space="preserve">). For the pre-European network simulations, two nodal covariates, age-homophily and ritual-homophily, have significant effects on the formation of relations between burials. The age homophily shows a negative effect that indicates burials of the same age tend to not share similar prestige goods, while the ritual-homophily demonstrates the positive effect that means burials with ritual pottery tend to form relations. Despite positive values for some covariates, such as sex-homophily and burial value-homophily, they do not show a significant tendency to form relations duo to value of zero in the confidence intervals. Similarly, the dyadic covariate, physical distance, shows positive effects but not significantly, indicating that physical proximity does not affect relations. For the endogenous network effects, transitivity (gwesp) present significant positive effect, while popularity (gwdegree) demonstrates negative effect. The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aptionedFigure"/>
      </w:pPr>
      <w:r>
        <w:drawing>
          <wp:inline>
            <wp:extent cx="5943600" cy="3714750"/>
            <wp:effectExtent b="0" l="0" r="0" t="0"/>
            <wp:docPr descr="Figure 3: Posterior density estimates for the parameters associated with edges, GWESP, GWDeg, and distance-dyadcov by phases. The pre-European group presents remarkedly larger values for the GWESP, but lower vlaues for the edges and GWDeg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Posterior density estimates for the parameters associated with edges, GWESP, GWDeg, and distance-dyadcov by phases. The pre-European group presents remarkedly larger values for the GWESP, but lower vlaues for the edges and GWDeg parameters comapred to the post-Eruoepan group. The distance parameters overlap between two groups.</w:t>
      </w:r>
    </w:p>
    <w:p>
      <w:pPr>
        <w:pStyle w:val="BodyText"/>
      </w:pPr>
      <w:r>
        <w:t xml:space="preserve">For the network after the arrival of Europeans the nodal covariates of age-homophily, sex-homophily, ritual-homophily, and the dyadic covariate of physical distance all show positive effects, while the burial value-homophily has a negative effect. However, there are no significant effects for these nodal and dyadic covariates. We also found that the burials in the same wealth level tend not to form relations. Similar to the pre-European network, the endogenous network variable, transitivity (gwesp) demonstrates a significant positive effect. In contrast to the pre-European network, the popularity (gwdegree) shows a significant positive effect.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 This may suggest a reduced tendency toward clustering but high tendency toward centralization after the European presence. Both posterior estimates present symmetric distributions, with the posterior means located close to posterior medians (Table XX).</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set the resampling size to 1,000 networks to compute endogenous network statistics, including density, transitivity, and popularity for our two networks. The result shows a significant difference in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some degree of difference.</w:t>
      </w:r>
    </w:p>
    <w:p>
      <w:pPr>
        <w:pStyle w:val="BodyText"/>
      </w:pPr>
      <w:r>
        <w:t xml:space="preserve">Using the same vertex bootstrap procedure, we can also test the difference of network populations with a t-test on density, transitivity, and popularity. The results show that there are significant differences in all network statistics. Moreover, we explored the sample size effect by removing nodes at certain percents (5-40%) for both networks and compared their confidence intervals. The results demonstrate a consistent difference between the two networks that means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BodyText"/>
      </w:pPr>
      <w:r>
        <w:t xml:space="preserve">Bayesian goodness of fit (GOF) diagnostics plots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observed network statistics do not follow a normal distribution, especially for the network after the arrival of the Europeans that presents a bimodal pattern. We compared the first three distribution moments of each observed distribution and their corresponding simulated distributions, represented by means. Figure</w:t>
      </w:r>
      <w:r>
        <w:t xml:space="preserve"> </w:t>
      </w:r>
      <w:r>
        <w:t xml:space="preserve">4</w:t>
      </w:r>
      <w:r>
        <w:t xml:space="preserve"> </w:t>
      </w:r>
      <w:r>
        <w:t xml:space="preserve">shows that modeled values from the pre-European network are closer to the observed values overall, compared to the values from the post-European network. For the variance of degree, the values from the modeled post-European distribution are closer to the observed distribution.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4: Comparison of statistics calculated on the observed and simulated GOF distributions for models between phase group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Comparison of statistics calculated on the observed and simulated GOF distributions for models between phase groups</w:t>
      </w:r>
    </w:p>
    <w:p>
      <w:pPr>
        <w:pStyle w:val="Heading1"/>
      </w:pPr>
      <w:bookmarkStart w:id="34" w:name="discussion"/>
      <w:r>
        <w:t xml:space="preserve">Discussion</w:t>
      </w:r>
      <w:bookmarkEnd w:id="34"/>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either period.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5" w:name="conclusion"/>
      <w:r>
        <w:t xml:space="preserve">Conclusion</w:t>
      </w:r>
      <w:bookmarkEnd w:id="35"/>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6" w:name="acknowledgments"/>
      <w:r>
        <w:t xml:space="preserve">Acknowledgments</w:t>
      </w:r>
      <w:bookmarkEnd w:id="36"/>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37" w:name="pagebreak"/>
      <w:r>
        <w:t xml:space="preserve">pagebreak</w:t>
      </w:r>
      <w:bookmarkEnd w:id="37"/>
    </w:p>
    <w:p>
      <w:pPr>
        <w:pStyle w:val="Heading1"/>
      </w:pPr>
      <w:bookmarkStart w:id="38" w:name="references"/>
      <w:r>
        <w:t xml:space="preserve">References</w:t>
      </w:r>
      <w:bookmarkEnd w:id="38"/>
    </w:p>
    <w:bookmarkStart w:id="117" w:name="refs"/>
    <w:bookmarkStart w:id="39"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39"/>
    <w:bookmarkStart w:id="40"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0"/>
    <w:bookmarkStart w:id="41" w:name="ref-Andrade2007"/>
    <w:p>
      <w:pPr>
        <w:pStyle w:val="Bibliography"/>
      </w:pPr>
      <w:r>
        <w:t xml:space="preserve">Andrade, T., 2007. How Taiwan became Chinese: Dutch, Spanish, and Han colonization in the seventeenth century. Columbia University Press, New York.</w:t>
      </w:r>
    </w:p>
    <w:bookmarkEnd w:id="41"/>
    <w:bookmarkStart w:id="42"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2"/>
    <w:bookmarkStart w:id="43"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3"/>
    <w:bookmarkStart w:id="44" w:name="ref-Blanton1996"/>
    <w:p>
      <w:pPr>
        <w:pStyle w:val="Bibliography"/>
      </w:pPr>
      <w:r>
        <w:t xml:space="preserve">Blanton, R.E., Feinman, G.M., Kowalewski, S.A., Peregrine, P.N., 1996. A dual-processual theory for the evolution of mesoamerican civilization. Current anthropology 37, 1–14.</w:t>
      </w:r>
    </w:p>
    <w:bookmarkEnd w:id="44"/>
    <w:bookmarkStart w:id="45" w:name="ref-Borao2009"/>
    <w:p>
      <w:pPr>
        <w:pStyle w:val="Bibliography"/>
      </w:pPr>
      <w:r>
        <w:t xml:space="preserve">Borao Mateo, J.E., 2009. The spanish experience in Taiwan, 1626-1642 the baroque ending of a renaissance endeavor. Hong Kong University Press, Hong Kong.</w:t>
      </w:r>
    </w:p>
    <w:bookmarkEnd w:id="45"/>
    <w:bookmarkStart w:id="46" w:name="ref-Borgatti2009"/>
    <w:p>
      <w:pPr>
        <w:pStyle w:val="Bibliography"/>
      </w:pPr>
      <w:r>
        <w:t xml:space="preserve">Borgatti, S.P., Mehra, A., Brass, D.J., Labianca, G., 2009. Network analysis in the social sciences. science 323, 892–895.</w:t>
      </w:r>
    </w:p>
    <w:bookmarkEnd w:id="46"/>
    <w:bookmarkStart w:id="47" w:name="ref-Brandes2013"/>
    <w:p>
      <w:pPr>
        <w:pStyle w:val="Bibliography"/>
      </w:pPr>
      <w:r>
        <w:t xml:space="preserve">Brandes, U., Robins, G., McCranie, A., Wasserman, S., 2013. What is network science? Network science 1, 1–15.</w:t>
      </w:r>
    </w:p>
    <w:bookmarkEnd w:id="47"/>
    <w:bookmarkStart w:id="48" w:name="ref-Brughmans2013"/>
    <w:p>
      <w:pPr>
        <w:pStyle w:val="Bibliography"/>
      </w:pPr>
      <w:r>
        <w:t xml:space="preserve">Brughmans, T., 2013. Thinking through networks: A review of formal network methods in archaeology. Journal of Archaeological Method and Theory 20, 623–662.</w:t>
      </w:r>
    </w:p>
    <w:bookmarkEnd w:id="48"/>
    <w:bookmarkStart w:id="49" w:name="ref-Brughmans2014"/>
    <w:p>
      <w:pPr>
        <w:pStyle w:val="Bibliography"/>
      </w:pPr>
      <w:r>
        <w:t xml:space="preserve">Brughmans, T., Keay, S., Earl, G., 2014. Introducing exponential random graph models for visibility networks. Journal of Archaeological Science 49, 442–454.</w:t>
      </w:r>
    </w:p>
    <w:bookmarkEnd w:id="49"/>
    <w:bookmarkStart w:id="50" w:name="ref-Brughmans2018"/>
    <w:p>
      <w:pPr>
        <w:pStyle w:val="Bibliography"/>
      </w:pPr>
      <w:r>
        <w:t xml:space="preserve">Brughmans, T., Peeples, M.A., 2018. Network science. The Encyclopedia of Archaeological Sciences 1–4.</w:t>
      </w:r>
    </w:p>
    <w:bookmarkEnd w:id="50"/>
    <w:bookmarkStart w:id="51"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1"/>
    <w:bookmarkStart w:id="52" w:name="ref-Byrd1995"/>
    <w:p>
      <w:pPr>
        <w:pStyle w:val="Bibliography"/>
      </w:pPr>
      <w:r>
        <w:t xml:space="preserve">Byrd, B.F., Monahan, C.M., 1995. Death, mortuary ritual, and natufian social structure. Journal of Anthropological Archaeology 14, 251–287.</w:t>
      </w:r>
    </w:p>
    <w:bookmarkEnd w:id="52"/>
    <w:bookmarkStart w:id="53" w:name="ref-Caimo2014"/>
    <w:p>
      <w:pPr>
        <w:pStyle w:val="Bibliography"/>
      </w:pPr>
      <w:r>
        <w:t xml:space="preserve">Caimo, A., Friel, N., 2014. Bergm: Bayesian exponential random graphs in r. Journal of Statistical Software 61, 1–25.</w:t>
      </w:r>
    </w:p>
    <w:bookmarkEnd w:id="53"/>
    <w:bookmarkStart w:id="54" w:name="ref-Caimo2013"/>
    <w:p>
      <w:pPr>
        <w:pStyle w:val="Bibliography"/>
      </w:pPr>
      <w:r>
        <w:t xml:space="preserve">Caimo, A., Friel, N., 2013. Bayesian model selection for exponential random graph models. Social Networks 35, 11–24.</w:t>
      </w:r>
    </w:p>
    <w:bookmarkEnd w:id="54"/>
    <w:bookmarkStart w:id="55" w:name="ref-Caimo2011"/>
    <w:p>
      <w:pPr>
        <w:pStyle w:val="Bibliography"/>
      </w:pPr>
      <w:r>
        <w:t xml:space="preserve">Caimo, A., Friel, N., 2011. Bayesian inference for exponential random graph models. Social Networks 33, 41–55.</w:t>
      </w:r>
    </w:p>
    <w:bookmarkEnd w:id="55"/>
    <w:bookmarkStart w:id="56" w:name="ref-Caimo2017bayesian"/>
    <w:p>
      <w:pPr>
        <w:pStyle w:val="Bibliography"/>
      </w:pPr>
      <w:r>
        <w:t xml:space="preserve">Caimo, A., Gollini, I., 2017. Bayesian computational algorithms for social network analysis. QSAR/QSPR.</w:t>
      </w:r>
    </w:p>
    <w:bookmarkEnd w:id="56"/>
    <w:bookmarkStart w:id="57" w:name="ref-Caimo2015"/>
    <w:p>
      <w:pPr>
        <w:pStyle w:val="Bibliography"/>
      </w:pPr>
      <w:r>
        <w:t xml:space="preserve">Caimo, A., Lomi, A., 2015. Knowledge sharing in organizations: A bayesian analysis of the role of reciprocity and formal structure. Journal of Management 41, 665–691.</w:t>
      </w:r>
    </w:p>
    <w:bookmarkEnd w:id="57"/>
    <w:bookmarkStart w:id="58" w:name="ref-Caimo2017"/>
    <w:p>
      <w:pPr>
        <w:pStyle w:val="Bibliography"/>
      </w:pPr>
      <w:r>
        <w:t xml:space="preserve">Caimo, A., Pallotti, F., Lomi, A., 2017. Bayesian exponential random graph modelling of interhospital patient referral networks. Statistics in medicine 36, 2902–2920.</w:t>
      </w:r>
    </w:p>
    <w:bookmarkEnd w:id="58"/>
    <w:bookmarkStart w:id="59" w:name="ref-Chapman2003"/>
    <w:p>
      <w:pPr>
        <w:pStyle w:val="Bibliography"/>
      </w:pPr>
      <w:r>
        <w:t xml:space="preserve">Chapman, R., 2003. Death, society and archaeology: The social dimensions of mortuary practices. Mortality 8, 305–312.</w:t>
      </w:r>
    </w:p>
    <w:bookmarkEnd w:id="59"/>
    <w:bookmarkStart w:id="60"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0"/>
    <w:bookmarkStart w:id="61" w:name="ref-Chen2019"/>
    <w:p>
      <w:pPr>
        <w:pStyle w:val="Bibliography"/>
      </w:pPr>
      <w:r>
        <w:t xml:space="preserve">Chen, Y., Gel, Y.R., Lyubchich, V., Nezafati, K., 2019. Snowboot: Bootstrap methods for network inference. arXiv preprint arXiv:1902.09029.</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4"/>
    <w:bookmarkStart w:id="65" w:name="ref-Collar2015"/>
    <w:p>
      <w:pPr>
        <w:pStyle w:val="Bibliography"/>
      </w:pPr>
      <w:r>
        <w:t xml:space="preserve">Collar, A., Coward, F., Brughmans, T., Mills, B.J., 2015. Networks in archaeology: Phenomena, abstraction, representation. Journal of Archaeological Method and Theory 22, 1–32.</w:t>
      </w:r>
    </w:p>
    <w:bookmarkEnd w:id="65"/>
    <w:bookmarkStart w:id="66"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6"/>
    <w:bookmarkStart w:id="67" w:name="ref-Crabtree2015"/>
    <w:p>
      <w:pPr>
        <w:pStyle w:val="Bibliography"/>
      </w:pPr>
      <w:r>
        <w:t xml:space="preserve">Crabtree, S.A., 2015. Inferring ancestral pueblo social networks from simulation in the central mesa verde. Journal of Archaeological Method and Theory 22, 144–181.</w:t>
      </w:r>
    </w:p>
    <w:bookmarkEnd w:id="67"/>
    <w:bookmarkStart w:id="6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8"/>
    <w:bookmarkStart w:id="6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9"/>
    <w:bookmarkStart w:id="70" w:name="ref-Feinman2000political"/>
    <w:p>
      <w:pPr>
        <w:pStyle w:val="Bibliography"/>
      </w:pPr>
      <w:r>
        <w:t xml:space="preserve">Feinman, G.M., Lightfoot, K.G., Upham, S., 2000. Political hierarchies and organizational strategies in the puebloan southwest. American Antiquity 449–470.</w:t>
      </w:r>
    </w:p>
    <w:bookmarkEnd w:id="70"/>
    <w:bookmarkStart w:id="71" w:name="ref-Freeman2004"/>
    <w:p>
      <w:pPr>
        <w:pStyle w:val="Bibliography"/>
      </w:pPr>
      <w:r>
        <w:t xml:space="preserve">Freeman, L., 2004. The development of social network analysis. A Study in the Sociology of Science.</w:t>
      </w:r>
    </w:p>
    <w:bookmarkEnd w:id="71"/>
    <w:bookmarkStart w:id="72" w:name="ref-Gamble2002"/>
    <w:p>
      <w:pPr>
        <w:pStyle w:val="Bibliography"/>
      </w:pPr>
      <w:r>
        <w:t xml:space="preserve">Gamble, L.H., Zepeda, I.C., 2002. Social differentiation and exchange among the kumeyaay indians during the historic period in california. Historical Archaeology 71–91.</w:t>
      </w:r>
    </w:p>
    <w:bookmarkEnd w:id="72"/>
    <w:bookmarkStart w:id="73"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3"/>
    <w:bookmarkStart w:id="74" w:name="ref-Hamra2013"/>
    <w:p>
      <w:pPr>
        <w:pStyle w:val="Bibliography"/>
      </w:pPr>
      <w:r>
        <w:t xml:space="preserve">Hamra, G., MacLehose, R., Richardson, D., 2013. Markov chain monte carlo: An introduction for epidemiologists. International journal of epidemiology 42, 627–634.</w:t>
      </w:r>
    </w:p>
    <w:bookmarkEnd w:id="74"/>
    <w:bookmarkStart w:id="75"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5"/>
    <w:bookmarkStart w:id="76" w:name="ref-Hodder1980"/>
    <w:p>
      <w:pPr>
        <w:pStyle w:val="Bibliography"/>
      </w:pPr>
      <w:r>
        <w:t xml:space="preserve">Hodder, I., 1980. Social structure and cemeteries: A critical appraisal, in: Rahtz, P., Dickinson, T., Watts, L. (Eds.), Anglo-Saxon Cemeteries. Oxford: British Archaeological Reports 82, pp. 6–29.</w:t>
      </w:r>
    </w:p>
    <w:bookmarkEnd w:id="76"/>
    <w:bookmarkStart w:id="77"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7"/>
    <w:bookmarkStart w:id="78" w:name="ref-Hsieh2009"/>
    <w:p>
      <w:pPr>
        <w:pStyle w:val="Bibliography"/>
      </w:pPr>
      <w:r>
        <w:t xml:space="preserve">Hsieh, E., 2009. Yi lan qi wu lan yi zhi chu tu wai lai tao ci qi zhi xiang guan yan jiu [the study of imported ceramics excavated at the ki-wu-lan site, i-lan] (Master’s thesis).</w:t>
      </w:r>
    </w:p>
    <w:bookmarkEnd w:id="78"/>
    <w:bookmarkStart w:id="79"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9"/>
    <w:bookmarkStart w:id="80"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0"/>
    <w:bookmarkStart w:id="81" w:name="ref-Jin2013"/>
    <w:p>
      <w:pPr>
        <w:pStyle w:val="Bibliography"/>
      </w:pPr>
      <w:r>
        <w:t xml:space="preserve">Jin, I.H., Yuan, Y., Liang, F., 2013. Bayesian analysis for exponential random graph models using the adaptive exchange sampler. Statistics and its interface 6, 559.</w:t>
      </w:r>
    </w:p>
    <w:bookmarkEnd w:id="81"/>
    <w:bookmarkStart w:id="82"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2"/>
    <w:bookmarkStart w:id="83" w:name="ref-Klehm2017"/>
    <w:p>
      <w:pPr>
        <w:pStyle w:val="Bibliography"/>
      </w:pPr>
      <w:r>
        <w:t xml:space="preserve">Klehm, C.E., 2017. Local dynamics and the emergence of social inequality in iron age botswana. Current Anthropology 58, 604–633.</w:t>
      </w:r>
    </w:p>
    <w:bookmarkEnd w:id="83"/>
    <w:bookmarkStart w:id="84" w:name="ref-Koskinen2010"/>
    <w:p>
      <w:pPr>
        <w:pStyle w:val="Bibliography"/>
      </w:pPr>
      <w:r>
        <w:t xml:space="preserve">Koskinen, J.H., Robins, G.L., Pattison, P.E., 2010. Analysing exponential random graph (p-star) models with missing data using bayesian data augmentation. Statistical Methodology 7, 366–384.</w:t>
      </w:r>
    </w:p>
    <w:bookmarkEnd w:id="84"/>
    <w:bookmarkStart w:id="85" w:name="ref-Lehmann2020"/>
    <w:p>
      <w:pPr>
        <w:pStyle w:val="Bibliography"/>
      </w:pPr>
      <w:r>
        <w:t xml:space="preserve">Lehmann, B.C., Henson, R.N., Geerligs, L., White, S.R., others, 2020. Characterising group-level brain connectivity: A framework using bayesian exponential random graph models. bioRxiv 665398.</w:t>
      </w:r>
    </w:p>
    <w:bookmarkEnd w:id="85"/>
    <w:bookmarkStart w:id="86" w:name="ref-LiandWu2006"/>
    <w:p>
      <w:pPr>
        <w:pStyle w:val="Bibliography"/>
      </w:pPr>
      <w:r>
        <w:t xml:space="preserve">Li, Y.-z., Wu, M.-z., 2006. Qing zai xi ban ya ren zai tai wan, 1626-1642 [the spanish in Taiwan]. Taiwan Historica, Nantou.</w:t>
      </w:r>
    </w:p>
    <w:bookmarkEnd w:id="86"/>
    <w:bookmarkStart w:id="87"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7"/>
    <w:bookmarkStart w:id="88" w:name="ref-Marin2011"/>
    <w:p>
      <w:pPr>
        <w:pStyle w:val="Bibliography"/>
      </w:pPr>
      <w:r>
        <w:t xml:space="preserve">Marin, A., Wellman, B., 2011. Social network analysis: An introduction. The SAGE handbook of social network analysis 11.</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ibliography"/>
      </w:pPr>
      <w:r>
        <w:t xml:space="preserve">Marwick, B., Boettiger, C., Mullen, L., 2018. Packaging data analytical work reproducibly using R (and friends). The American Statistician 72, 80–88.</w:t>
      </w:r>
    </w:p>
    <w:bookmarkEnd w:id="91"/>
    <w:bookmarkStart w:id="92" w:name="ref-Mills2017"/>
    <w:p>
      <w:pPr>
        <w:pStyle w:val="Bibliography"/>
      </w:pPr>
      <w:r>
        <w:t xml:space="preserve">Mills, B.J., 2017. Social network analysis in archaeology. Annual review of anthropology 46, 379–397.</w:t>
      </w:r>
    </w:p>
    <w:bookmarkEnd w:id="92"/>
    <w:bookmarkStart w:id="93"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3"/>
    <w:bookmarkStart w:id="94" w:name="ref-Morris2008"/>
    <w:p>
      <w:pPr>
        <w:pStyle w:val="Bibliography"/>
      </w:pPr>
      <w:r>
        <w:t xml:space="preserve">Morris, M., Handcock, M.S., Hunter, D.R., 2008. Specification of exponential-family random graph models: Terms and computational aspects. Journal of statistical software 24, 1548.</w:t>
      </w:r>
    </w:p>
    <w:bookmarkEnd w:id="94"/>
    <w:bookmarkStart w:id="95" w:name="ref-Nemmers2019"/>
    <w:p>
      <w:pPr>
        <w:pStyle w:val="Bibliography"/>
      </w:pPr>
      <w:r>
        <w:t xml:space="preserve">Nemmers, T., Narayan, A., Banerjee, S., 2019. Bayesian modeling and uncertainty quantification for descriptive social networks. Statistics and its interface 12, 181.</w:t>
      </w:r>
    </w:p>
    <w:bookmarkEnd w:id="95"/>
    <w:bookmarkStart w:id="96" w:name="ref-Pearson1982"/>
    <w:p>
      <w:pPr>
        <w:pStyle w:val="Bibliography"/>
      </w:pPr>
      <w:r>
        <w:t xml:space="preserve">Pearson, P., 1982. Mortuary practices, society and ideology: An ethnoarchaeological study, in: Hodder, I. (Ed.), Symbolic and Structural Archaeology. Cambridge.</w:t>
      </w:r>
    </w:p>
    <w:bookmarkEnd w:id="96"/>
    <w:bookmarkStart w:id="97" w:name="ref-Peeples2019"/>
    <w:p>
      <w:pPr>
        <w:pStyle w:val="Bibliography"/>
      </w:pPr>
      <w:r>
        <w:t xml:space="preserve">Peeples, M.A., 2019. Finding a place for networks in archaeology. Journal of Archaeological Research 27, 451–499.</w:t>
      </w:r>
    </w:p>
    <w:bookmarkEnd w:id="97"/>
    <w:bookmarkStart w:id="98" w:name="ref-Rlanguage2019"/>
    <w:p>
      <w:pPr>
        <w:pStyle w:val="Bibliography"/>
      </w:pPr>
      <w:r>
        <w:t xml:space="preserve">R Core Team, 2019. R: A language and environment for statistical computing. R Foundation for Statistical Computing, Vienna, Austria.</w:t>
      </w:r>
    </w:p>
    <w:bookmarkEnd w:id="98"/>
    <w:bookmarkStart w:id="100"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99">
        <w:r>
          <w:rPr>
            <w:rStyle w:val="Hyperlink"/>
          </w:rPr>
          <w:t xml:space="preserve">https://doi.org/https://doi.org/10.1016/j.socnet.2020.11.005</w:t>
        </w:r>
      </w:hyperlink>
    </w:p>
    <w:bookmarkEnd w:id="100"/>
    <w:bookmarkStart w:id="101" w:name="ref-Robins2007"/>
    <w:p>
      <w:pPr>
        <w:pStyle w:val="Bibliography"/>
      </w:pPr>
      <w:r>
        <w:t xml:space="preserve">Robins, G., Pattison, P., Kalish, Y., Lusher, D., 2007. An introduction to exponential random graph (p*) models for social networks. Social networks 29, 173–191.</w:t>
      </w:r>
    </w:p>
    <w:bookmarkEnd w:id="101"/>
    <w:bookmarkStart w:id="102" w:name="ref-Salvini2010"/>
    <w:p>
      <w:pPr>
        <w:pStyle w:val="Bibliography"/>
      </w:pPr>
      <w:r>
        <w:t xml:space="preserve">Salvini, A., 2010. Symbolic interactionism and social network analysis: An uncertain encounter. Symbolic Interaction 33, 364–388.</w:t>
      </w:r>
    </w:p>
    <w:bookmarkEnd w:id="102"/>
    <w:bookmarkStart w:id="103" w:name="ref-Saxe1970"/>
    <w:p>
      <w:pPr>
        <w:pStyle w:val="Bibliography"/>
      </w:pPr>
      <w:r>
        <w:t xml:space="preserve">Saxe, A., 1970. Social dimensions of mortuary practices (PhD thesis). University of Michigan.</w:t>
      </w:r>
    </w:p>
    <w:bookmarkEnd w:id="103"/>
    <w:bookmarkStart w:id="104" w:name="ref-Schweinberger2011"/>
    <w:p>
      <w:pPr>
        <w:pStyle w:val="Bibliography"/>
      </w:pPr>
      <w:r>
        <w:t xml:space="preserve">Schweinberger, M., 2011. Instability, sensitivity, and degeneracy of discrete exponential families. Journal of the American Statistical Association 106, 1361–1370.</w:t>
      </w:r>
    </w:p>
    <w:bookmarkEnd w:id="104"/>
    <w:bookmarkStart w:id="105" w:name="ref-Seikel2011"/>
    <w:p>
      <w:pPr>
        <w:pStyle w:val="Bibliography"/>
      </w:pPr>
      <w:r>
        <w:t xml:space="preserve">Seikel, K., 2011. Mortuary contexts and social structure at nan madol, pohnpei. The Journal of Island and Coastal Archaeology 6, 442–460.</w:t>
      </w:r>
    </w:p>
    <w:bookmarkEnd w:id="105"/>
    <w:bookmarkStart w:id="106" w:name="ref-Siegel1999"/>
    <w:p>
      <w:pPr>
        <w:pStyle w:val="Bibliography"/>
      </w:pPr>
      <w:r>
        <w:t xml:space="preserve">Siegel, P.E., 1999. Contested places and places of contest: The evolution of social power and ceremonial space in prehistoric puerto rico. Latin American Antiquity 209–238.</w:t>
      </w:r>
    </w:p>
    <w:bookmarkEnd w:id="106"/>
    <w:bookmarkStart w:id="107" w:name="ref-Snijders2011"/>
    <w:p>
      <w:pPr>
        <w:pStyle w:val="Bibliography"/>
      </w:pPr>
      <w:r>
        <w:t xml:space="preserve">Snijders, T.A., 2011. Statistical models for social networks. Annual Review of Sociology 37.</w:t>
      </w:r>
    </w:p>
    <w:bookmarkEnd w:id="107"/>
    <w:bookmarkStart w:id="108" w:name="ref-Snijders1999"/>
    <w:p>
      <w:pPr>
        <w:pStyle w:val="Bibliography"/>
      </w:pPr>
      <w:r>
        <w:t xml:space="preserve">Snijders, T.A., Borgatti, S.P., 1999. Non-parametric standard errors and tests for network statistics. Connections 22, 161–170.</w:t>
      </w:r>
    </w:p>
    <w:bookmarkEnd w:id="108"/>
    <w:bookmarkStart w:id="109" w:name="ref-Snijders2006"/>
    <w:p>
      <w:pPr>
        <w:pStyle w:val="Bibliography"/>
      </w:pPr>
      <w:r>
        <w:t xml:space="preserve">Snijders, T.A., Pattison, P.E., Robins, G.L., Handcock, M.S., 2006. New specifications for exponential random graph models. Sociological methodology 36, 99–153.</w:t>
      </w:r>
    </w:p>
    <w:bookmarkEnd w:id="109"/>
    <w:bookmarkStart w:id="110" w:name="ref-Sosna2013"/>
    <w:p>
      <w:pPr>
        <w:pStyle w:val="Bibliography"/>
      </w:pPr>
      <w:r>
        <w:t xml:space="preserve">Sosna, D., Galeta, P., Šmejda, L., Sladek, V., Bruzek, J., 2013. Burials and graphs: Relational approach to mortuary analysis. Social Science Computer Review 31, 56–70.</w:t>
      </w:r>
    </w:p>
    <w:bookmarkEnd w:id="110"/>
    <w:bookmarkStart w:id="111" w:name="ref-Thomas2009"/>
    <w:p>
      <w:pPr>
        <w:pStyle w:val="Bibliography"/>
      </w:pPr>
      <w:r>
        <w:t xml:space="preserve">Thomas, N., 2009. Entangled objects: Exchange, material culture, and colonialism in the pacific. Harvard University Press.</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Wang2011"/>
    <w:p>
      <w:pPr>
        <w:pStyle w:val="Bibliography"/>
      </w:pPr>
      <w:r>
        <w:t xml:space="preserve">Wang, L.-Y., 2011. Yilan Kiwulan yizhi chutu zhuangshipin zhi xiangguan yanjiu [A research of ornaments excavated at Kiwulan site, I-lan] (Master’s thesis).</w:t>
      </w:r>
    </w:p>
    <w:bookmarkEnd w:id="113"/>
    <w:bookmarkStart w:id="114"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4"/>
    <w:bookmarkStart w:id="115"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5"/>
    <w:bookmarkStart w:id="116" w:name="ref-Wasserman1994"/>
    <w:p>
      <w:pPr>
        <w:pStyle w:val="Bibliography"/>
      </w:pPr>
      <w:r>
        <w:t xml:space="preserve">Wasserman, S., Faust, K., others, 1994. Social network analysis: Methods and applications. Cambridge university press.</w:t>
      </w:r>
    </w:p>
    <w:bookmarkEnd w:id="116"/>
    <w:bookmarkEnd w:id="117"/>
    <w:p>
      <w:pPr>
        <w:pStyle w:val="Heading5"/>
      </w:pPr>
      <w:bookmarkStart w:id="118" w:name="pagebreak-1"/>
      <w:r>
        <w:t xml:space="preserve">pagebreak</w:t>
      </w:r>
      <w:bookmarkEnd w:id="118"/>
    </w:p>
    <w:p>
      <w:pPr>
        <w:pStyle w:val="Heading3"/>
      </w:pPr>
      <w:bookmarkStart w:id="119" w:name="colophon"/>
      <w:r>
        <w:t xml:space="preserve">Colophon</w:t>
      </w:r>
      <w:bookmarkEnd w:id="119"/>
    </w:p>
    <w:p>
      <w:pPr>
        <w:pStyle w:val="FirstParagraph"/>
      </w:pPr>
      <w:r>
        <w:t xml:space="preserve">This report was generated on 2021-01-06 23:51:56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[18f7534] 2021-01-07: edit posterior density plot</w:t>
      </w:r>
    </w:p>
    <w:p>
      <w:pPr>
        <w:pStyle w:val="FirstParagraph"/>
      </w:pPr>
      <w:r>
        <w:t xml:space="preserve">Word count: 3260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89" Target="https://doi.org/10.1007/s10816-015-9272-9" TargetMode="External" /><Relationship Type="http://schemas.openxmlformats.org/officeDocument/2006/relationships/hyperlink" Id="rId99" Target="https://doi.org/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7/s10816-015-9272-9" TargetMode="External" /><Relationship Type="http://schemas.openxmlformats.org/officeDocument/2006/relationships/hyperlink" Id="rId99" Target="https://doi.org/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2021-01-07T07:52:06Z</dcterms:created>
  <dcterms:modified xsi:type="dcterms:W3CDTF">2021-01-07T07:52:06Z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January, 2021</vt:lpwstr>
  </property>
  <property fmtid="{D5CDD505-2E9C-101B-9397-08002B2CF9AE}" pid="6" name="highlights">
    <vt:lpwstr>These are the highlights.</vt:lpwstr>
  </property>
  <property fmtid="{D5CDD505-2E9C-101B-9397-08002B2CF9AE}" pid="7" name="output">
    <vt:lpwstr/>
  </property>
</Properties>
</file>