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2.png" ContentType="image/png"/>
  <Override PartName="/word/media/rId24.png" ContentType="image/png"/>
  <Override PartName="/word/media/rId27.png" ContentType="image/png"/>
  <Override PartName="/word/media/rId37.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25</w:t>
      </w:r>
      <w:r>
        <w:t xml:space="preserve"> </w:t>
      </w:r>
      <w:r>
        <w:t xml:space="preserve">February,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in</w:t>
      </w:r>
      <w:r>
        <w:t xml:space="preserve"> </w:t>
      </w:r>
      <w:r>
        <w:t xml:space="preserve">the</w:t>
      </w:r>
      <w:r>
        <w:t xml:space="preserve"> </w:t>
      </w:r>
      <w:r>
        <w:t xml:space="preserve">process</w:t>
      </w:r>
      <w:r>
        <w:t xml:space="preserve"> </w:t>
      </w:r>
      <w:r>
        <w:t xml:space="preserve">that</w:t>
      </w:r>
      <w:r>
        <w:t xml:space="preserve"> </w:t>
      </w:r>
      <w:r>
        <w:t xml:space="preserve">led</w:t>
      </w:r>
      <w:r>
        <w:t xml:space="preserve"> </w:t>
      </w:r>
      <w:r>
        <w:t xml:space="preserve">to</w:t>
      </w:r>
      <w:r>
        <w:t xml:space="preserve"> </w:t>
      </w:r>
      <w:r>
        <w:t xml:space="preserve">the</w:t>
      </w:r>
      <w:r>
        <w:t xml:space="preserve"> </w:t>
      </w:r>
      <w:r>
        <w:t xml:space="preserve">formation</w:t>
      </w:r>
      <w:r>
        <w:t xml:space="preserve"> </w:t>
      </w:r>
      <w:r>
        <w:t xml:space="preserve">of</w:t>
      </w:r>
      <w:r>
        <w:t xml:space="preserve"> </w:t>
      </w:r>
      <w:r>
        <w:t xml:space="preserve">the</w:t>
      </w:r>
      <w:r>
        <w:t xml:space="preserve"> </w:t>
      </w:r>
      <w:r>
        <w:t xml:space="preserve">burial</w:t>
      </w:r>
      <w:r>
        <w:t xml:space="preserve"> </w:t>
      </w:r>
      <w:r>
        <w:t xml:space="preserve">network,</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rational data</w:t>
      </w:r>
      <w:r>
        <w:t xml:space="preserve"> </w:t>
      </w:r>
      <w:r>
        <w:t xml:space="preserve">(Brandes et al., 2013; Mills, 2017; Peeples, 2019)</w:t>
      </w:r>
      <w:r>
        <w:t xml:space="preserve">. The recent development of modeling approaches enable hypothesis testing for the intercorrelations between individual elements and overall structures inherent in networks</w:t>
      </w:r>
      <w:r>
        <w:t xml:space="preserve"> </w:t>
      </w:r>
      <w:r>
        <w:t xml:space="preserve">(Brughmans, 2013; Brughmans and Peeples, 2018; Freeman, 2004; Salvini, 2010)</w:t>
      </w:r>
      <w:r>
        <w:t xml:space="preserve">. By comparing hypothesized networks with the observed network,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Since relationships in a network emerging relative to their position in a network can be hypothesized, ERGMs are promising to evaluate dynamic social processes behind observed archaeological networks</w:t>
      </w:r>
      <w:r>
        <w:t xml:space="preserve"> </w:t>
      </w:r>
      <w:r>
        <w:t xml:space="preserve">(Brughmans et al., 2014)</w:t>
      </w:r>
      <w:r>
        <w:t xml:space="preserve">. However, computational difficulties and the sensitivity to uncertainties to some extent limits the practical applications of ERGMs, where results could be challenging for interpretation</w:t>
      </w:r>
      <w:r>
        <w:t xml:space="preserve"> </w:t>
      </w:r>
      <w:r>
        <w:t xml:space="preserve">(Caimo and Friel, 2014)</w:t>
      </w:r>
      <w:r>
        <w:t xml:space="preserve">.</w:t>
      </w:r>
    </w:p>
    <w:p>
      <w:pPr>
        <w:pStyle w:val="BodyText"/>
      </w:pPr>
      <w:r>
        <w:t xml:space="preserve">In this paper, we go beyond ERGMs with a novel Bayesian approach that can alleviate the computational issues in ERGMs to better interpret the process of network formation for past phenomena.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 of colonialism, or involvement in long-distance trade, could also have impacts on Indigenous societies, this is known as a pericolonial context</w:t>
      </w:r>
      <w:r>
        <w:t xml:space="preserve"> </w:t>
      </w:r>
      <w:r>
        <w:t xml:space="preserve">(Acabado, 2017; Trabert, 2017; Wang and Marwick, 2020)</w:t>
      </w:r>
      <w:r>
        <w:t xml:space="preserve">. To explore social changes, burials are important evidence to understand past societies because material culture and biological records of burial behaviors can represent the social ranking or identities of the deceased, and social relations between them</w:t>
      </w:r>
      <w:r>
        <w:t xml:space="preserve"> </w:t>
      </w:r>
      <w:r>
        <w:t xml:space="preserve">(Binford, 1971;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Usually, burial studies are based on characterizing each physical trace or burial variable, such as biological records, grave forms and goods, or ritual behaviors, and finally combining those individual observations to infer past societies</w:t>
      </w:r>
      <w:r>
        <w:t xml:space="preserve"> </w:t>
      </w:r>
      <w:r>
        <w:t xml:space="preserve">(Byrd and Monahan, 1995; Seikel, 2011)</w:t>
      </w:r>
      <w:r>
        <w:t xml:space="preserve">. Here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global patterns represented in the data</w:t>
      </w:r>
      <w:r>
        <w:t xml:space="preserve"> </w:t>
      </w:r>
      <w:r>
        <w:t xml:space="preserve">(Brandes et al., 2013)</w:t>
      </w:r>
      <w:r>
        <w:t xml:space="preserve">. Our case study illustrates how a Bayesian approach to network modeling provides new insights for studying the formation of archaeological networks and allows testing on theoretical assumptions to better understand dynamic social processes.</w:t>
      </w:r>
    </w:p>
    <w:bookmarkEnd w:id="20"/>
    <w:bookmarkStart w:id="21" w:name="Xd05ff335146e2a59dac26bc4bef8280ae358f46"/>
    <w:p>
      <w:pPr>
        <w:pStyle w:val="Heading1"/>
      </w:pPr>
      <w:r>
        <w:t xml:space="preserve">Exponential random graph models in a Bayesian framework</w:t>
      </w:r>
    </w:p>
    <w:p>
      <w:pPr>
        <w:pStyle w:val="FirstParagraph"/>
      </w:pPr>
      <w:r>
        <w:t xml:space="preserve">Exponential random graph models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By fitting models with the observed network of archaeological data, they proposed that ERGMs is a promising method for exploration and hypothesis testing for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w:t>
      </w:r>
    </w:p>
    <w:p>
      <w:pPr>
        <w:pStyle w:val="BodyText"/>
      </w:pPr>
      <w:r>
        <w:t xml:space="preserve">However, those studies also point out some limitations of ERGMs, such as sensitivity to missing data and less able to handle uncertainty. Also, it is difficult in ERGMs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available by implementing ERGMs by means of a Bayesian framework.</w:t>
      </w:r>
    </w:p>
    <w:p>
      <w:pPr>
        <w:pStyle w:val="BodyText"/>
      </w:pPr>
      <w:r>
        <w:t xml:space="preserve">Bayesian approaches to ERGMs are effective tools for network modeling by incorporating prior information about the network configurations (details in Supplementary Online Materials) to better understand dependencies of network variables and improve computational issues in ERGMs</w:t>
      </w:r>
      <w:r>
        <w:t xml:space="preserve"> </w:t>
      </w:r>
      <w:r>
        <w:t xml:space="preserve">(Caimo et al., 2017; Lehmann et al., 2020)</w:t>
      </w:r>
      <w:r>
        <w:t xml:space="preserve">. Prior information is derived from previous data or assumptions of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the approximate exchange algorithm, a Bayesian approach generates posterior probabilities that incorporate our sample data and prior information that estimates the effect of each ERGM parameter in our models</w:t>
      </w:r>
      <w:r>
        <w:t xml:space="preserve"> </w:t>
      </w:r>
      <w:r>
        <w:t xml:space="preserve">(Caimo and Lomi, 2015; Nemmers et al., 2019)</w:t>
      </w:r>
      <w:r>
        <w:t xml:space="preserve">. This allows uncertainty quantification by examining the posterior mean and 95% credible intervals</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average, 80% of the ties when a third of data is missing.</w:t>
      </w:r>
    </w:p>
    <w:bookmarkEnd w:id="21"/>
    <w:bookmarkStart w:id="26" w:name="background"/>
    <w:p>
      <w:pPr>
        <w:pStyle w:val="Heading1"/>
      </w:pPr>
      <w:r>
        <w:t xml:space="preserve">Background</w:t>
      </w:r>
    </w:p>
    <w:bookmarkStart w:id="23" w:name="a-case-study-from-northeastern-taiwan"/>
    <w:p>
      <w:pPr>
        <w:pStyle w:val="Heading2"/>
      </w:pPr>
      <w:r>
        <w:t xml:space="preserve">A Case Study from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 large wave of Han Chinese in the 19th century</w:t>
      </w:r>
      <w:r>
        <w:t xml:space="preserve"> </w:t>
      </w:r>
      <w:r>
        <w:t xml:space="preserve">(Chen, 2007)</w:t>
      </w:r>
      <w:r>
        <w:t xml:space="preserve">. Our general model proposes that the influence of a colonial power, combined with high local values attached to imported goods, leads to increased social inequality due to competition among individuals</w:t>
      </w:r>
      <w:r>
        <w:t xml:space="preserve"> </w:t>
      </w:r>
      <w:r>
        <w:t xml:space="preserve">(Brumfiel, 1994; Clark and Blake, 1994)</w:t>
      </w:r>
      <w:r>
        <w:t xml:space="preserve">. Increased social inequality associated with the use of foreign prestige goods is recognized as network strategies for gaining power</w:t>
      </w:r>
      <w:r>
        <w:t xml:space="preserve"> </w:t>
      </w:r>
      <w:r>
        <w:t xml:space="preserve">(Blanton et al., 1996; Feinman, 2000)</w:t>
      </w:r>
      <w:r>
        <w:t xml:space="preserve">. Network-based societies are identified in some places in Asia with involvement in long-distance trade</w:t>
      </w:r>
      <w:r>
        <w:t xml:space="preserve"> </w:t>
      </w:r>
      <w:r>
        <w:t xml:space="preserve">(Carter, 2015; Liu and Chen, 2006; Ueda et al., 2016)</w:t>
      </w:r>
      <w:r>
        <w:t xml:space="preserve">. The observed uneven distribution of burial goods at Kiwulan may be explained as a result of unequal access to trade goods when Indigenous societies became more involved in the complex trade network stimulated by Europeans.</w:t>
      </w:r>
    </w:p>
    <w:p>
      <w:pPr>
        <w:pStyle w:val="BodyText"/>
      </w:pPr>
      <w:r>
        <w:t xml:space="preserve">The features of network-based societies include the accumulation of prestige goods, wealth differentiation, and trade monopolization through individual networks</w:t>
      </w:r>
      <w:r>
        <w:t xml:space="preserve"> </w:t>
      </w:r>
      <w:r>
        <w:t xml:space="preserve">(Blanton et al., 1996; Feinman, 2000)</w:t>
      </w:r>
      <w:r>
        <w:t xml:space="preserve">, while corporate-based societies stress communal ritual elements, shared power, and wealth differentiation, if any, would be associated with corporate groups, such as age groups</w:t>
      </w:r>
      <w:r>
        <w:t xml:space="preserve"> </w:t>
      </w:r>
      <w:r>
        <w:t xml:space="preserve">(Siegel, 1999)</w:t>
      </w:r>
      <w:r>
        <w:t xml:space="preserve">. Using the theoretical framework of corporate-network strategies, or horizontal hierarchy, we test a hypothesis that changes from a corporate mode (a structure showing more subgroups with less wealth differentiation ) to a network mode (a centralized structure with more wealth differentiation) can be observed in the Kiwulan burial network after European arrival. We ask: (1) did European colonial activities result in increased social inequality in Indigenous society in ways that can be detected by analysis of burial networks? (2) if so, what are the major variables affecting or forming unequal social positions that might hint at social heterogeneity?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5" w:name="materials"/>
    <w:p>
      <w:pPr>
        <w:pStyle w:val="Heading2"/>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squares that provide continuous stratigraphic sections suitable for temporal comparison (Figure</w:t>
      </w:r>
      <w:r>
        <w:t xml:space="preserve"> </w:t>
      </w:r>
      <w:r>
        <w:t xml:space="preserve">2</w:t>
      </w:r>
      <w:r>
        <w:t xml:space="preserve">). The preservation of human remains at Kiwulan was generally poor, so we have incomplete age and sex data (details in Supplementary Online Materials) and lack health status data. Burials are oriented in an east-west direction on the north side of the residential area, which is indicated by post-holes and</w:t>
      </w:r>
      <w:r>
        <w:t xml:space="preserve"> </w:t>
      </w:r>
      <w:r>
        <w:rPr>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the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the phases before and after European arrival. Here, we adopt a new chronological framework for the burials to test if network configurations differ from the pre-European period (before European colonization) to the post-European period (during and after European colonization until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w:t>
      </w:r>
      <w:r>
        <w:t xml:space="preserve">. We excluded burials from the Chinese phase (n = 4) due to the smaller sample size. We also excluded 8 burials that were heavily disturbed by modern construction because we cannot determine their chronology.</w:t>
      </w:r>
    </w:p>
    <w:p>
      <w:pPr>
        <w:pStyle w:val="BodyText"/>
      </w:pPr>
      <w:r>
        <w:t xml:space="preserve">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These items are considered as high-value across different archaeological contexts based on their rarity and descriptions in historical records</w:t>
      </w:r>
      <w:r>
        <w:t xml:space="preserve"> </w:t>
      </w:r>
      <w:r>
        <w:t xml:space="preserve">(Cheng,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an Indigenous person possessing more imported goods may have been recognized as having higher status in their community</w:t>
      </w:r>
      <w:r>
        <w:t xml:space="preserve"> </w:t>
      </w:r>
      <w:r>
        <w:t xml:space="preserve">(Li and Wu, 2006)</w:t>
      </w:r>
      <w:r>
        <w:t xml:space="preserve">.</w:t>
      </w:r>
    </w:p>
    <w:bookmarkEnd w:id="25"/>
    <w:bookmarkEnd w:id="26"/>
    <w:bookmarkStart w:id="31" w:name="methods"/>
    <w:p>
      <w:pPr>
        <w:pStyle w:val="Heading1"/>
      </w:pPr>
      <w:r>
        <w:t xml:space="preserve">Methods</w:t>
      </w:r>
    </w:p>
    <w:bookmarkStart w:id="28" w:name="hypothesis-and-construction-of-networks"/>
    <w:p>
      <w:pPr>
        <w:pStyle w:val="Heading2"/>
      </w:pPr>
      <w:r>
        <w:t xml:space="preserve">Hypothesis and construction of networks</w:t>
      </w:r>
    </w:p>
    <w:p>
      <w:pPr>
        <w:pStyle w:val="FirstParagraph"/>
      </w:pPr>
      <w:r>
        <w:t xml:space="preserve">Our social change hypothesis is that differential access to foreign prestige goods after the European presence led to increased social inequality at Kiwulan, where social structure changed from a more corporate strategy to a more network strategy</w:t>
      </w:r>
      <w:r>
        <w:t xml:space="preserve"> </w:t>
      </w:r>
      <w:r>
        <w:t xml:space="preserve">(Blanton et al., 1996; Drennan et al., 2010; Feinman, 2000)</w:t>
      </w:r>
      <w:r>
        <w:t xml:space="preserve">. This would be reflected by the pattern of intercorrelations of foreign prestige goods in burial networks. If social inequality gradually increased as we hypothesize, then we expect to observe a network structure with higher centralization (or popularity) and less transitivity (or clustering), along with associations with wealth accumulation, indicative of a network-based society. In contrast, the network before the European arrival will show low centralization and high transitivity, associated with ritual element, or age/sex groups to indicate a corporate-based society. To test this hypothesis, we use Bayesian ERGMs to model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Trade beads are commonly found across burials with substantial differences in quantities, so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both possess each type of goods (i.e. presence or absence). Node attributes here include osteologically determined age and sex, cultural data, such as ritual pottery, and a burial value index. Ritual pottery was identified as locally made ceramics placed above an individual. Those pots mostly have soot on vessel exteriors and charred residues on interiors that are interpreted as vessels for funeral feasting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BodyText"/>
      </w:pPr>
      <w:r>
        <w:t xml:space="preserve">We then assigned the burials into three ranks according to breaks in the distribution of burial values, high (&gt;24.7, top 10 percent), above average (16-24.7), and below average (&lt;16), as an index of wealth (details in Supplementary Online Materials). Since burials tend to have multiple prestige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each node is proportional to node degrees or the number of connections to a node. The thickness of tie represents the number of goods in common between two node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7"/>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each node is proportional to node degrees or the number of connections to a node. The thickness of tie represents the number of goods in common between two nodes.</w:t>
      </w:r>
    </w:p>
    <w:bookmarkEnd w:id="28"/>
    <w:bookmarkStart w:id="29"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in terms of prestige goods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since the deceased from the same family were buried nearby</w:t>
      </w:r>
      <w:r>
        <w:t xml:space="preserve"> </w:t>
      </w:r>
      <w:r>
        <w:t xml:space="preserve">(Li and Wu, 2006)</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2008; Morris, 2008)</w:t>
      </w:r>
    </w:p>
    <w:tbl>
      <w:tblPr>
        <w:tblStyle w:val="Table"/>
        <w:tblW w:type="pct" w:w="5000.0"/>
        <w:tblLook w:firstRow="1" w:lastRow="0" w:firstColumn="0" w:lastColumn="0" w:noHBand="0" w:noVBand="0"/>
        <w:tblCaption w:val="Table 1: Network parameters in ERGMs used for model specifications with associated archaeological interpretation for burial relations. ERGM terminology is from the R package statnet (Handcock, 2008; Morris, 2008)"/>
      </w:tblPr>
      <w:tblGrid>
        <w:gridCol w:w="1470"/>
        <w:gridCol w:w="3111"/>
        <w:gridCol w:w="3337"/>
      </w:tblGrid>
      <w:tr>
        <w:trPr>
          <w:cnfStyle w:firstRow="1"/>
        </w:trPr>
        <w:tc>
          <w:tcPr>
            <w:tcBorders>
              <w:bottom w:val="single"/>
            </w:tcBorders>
            <w:vAlign w:val="bottom"/>
          </w:tcPr>
          <w:p>
            <w:pPr>
              <w:pStyle w:val="Compact"/>
              <w:jc w:val="left"/>
            </w:pPr>
            <w:r>
              <w:t xml:space="preserve">Network variable</w:t>
            </w:r>
          </w:p>
        </w:tc>
        <w:tc>
          <w:tcPr>
            <w:tcBorders>
              <w:bottom w:val="single"/>
            </w:tcBorders>
            <w:vAlign w:val="bottom"/>
          </w:tcPr>
          <w:p>
            <w:pPr>
              <w:pStyle w:val="Compact"/>
              <w:jc w:val="left"/>
            </w:pPr>
            <w:r>
              <w:t xml:space="preserve">Configuration (ERGM term)</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in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close to each other tend to have similar goods</w:t>
            </w:r>
          </w:p>
        </w:tc>
      </w:tr>
    </w:tbl>
    <w:bookmarkEnd w:id="29"/>
    <w:bookmarkStart w:id="30" w:name="Xf5c741e4079c673243fd959577f604af015808f"/>
    <w:p>
      <w:pPr>
        <w:pStyle w:val="Heading2"/>
      </w:pPr>
      <w:r>
        <w:t xml:space="preserve">Choice of prior values to evaluate our anthropological model</w:t>
      </w:r>
    </w:p>
    <w:p>
      <w:pPr>
        <w:pStyle w:val="FirstParagraph"/>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which follows a normal distribution with mean at -3, and standard deviations at 3 (i.e (N(-3, 3))). For covariates about biological features, such as age, sex, we specified a vague prior (N(0, 5)) for both models to explore their effects. For physical distance between burials, we also set a vague prior effect (N(0, 1)) to explore whether there is kinship-based proximity, e.g. stronger correlations for shorter distances. To evaluate our anthropological model of increased social inequality over time based on assumptions of corporate-network strategies</w:t>
      </w:r>
      <w:r>
        <w:t xml:space="preserve"> </w:t>
      </w:r>
      <w:r>
        <w:t xml:space="preserve">(Drennan et al., 2010; Feinman, 2000)</w:t>
      </w:r>
      <w:r>
        <w:t xml:space="preserve">, we incorporated different prior information for the network variables that are meaningful for social inequality, especially for transitivity and centralization. We set the priors to higher transitivity (N(2, 2)), lower centralization (N(-2, 3)), and higher covariate effect of ritual activity (N(1, 5)) for the network before European contact to indicate less social differentiation and stress ritual element shared in corporate groups. Conversely, we set the priors for the network after European arrival to lower transitivity (N(1, 3)), higher centralization (N(2, 3)), and higher covariate effect of burial values (N(2, 3)) to model an increased social differentiation.</w:t>
      </w:r>
    </w:p>
    <w:bookmarkEnd w:id="30"/>
    <w:bookmarkEnd w:id="31"/>
    <w:bookmarkStart w:id="33"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2">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bookmarkEnd w:id="33"/>
    <w:bookmarkStart w:id="38" w:name="results"/>
    <w:p>
      <w:pPr>
        <w:pStyle w:val="Heading1"/>
      </w:pP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nodal covariates in the pre-European model, the ritual element represented by pots (ritual-homophily) has a significant effect on the formation of relations between burials. On the other hand, the wealth rank, represented by burial values (wealth-homophily), has a negative effect but not significant since its confidence intervals include zero. This demonstrates that burials in the pre-European period with ritual pottery tend to form relations. Despite positive mean values for some covariates, such as age and sex, they do not show a significant influence. Similarly, the dyadic covariate, physical distance, shows no significant effect, indicating that physical proximity between burials does not reflect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the flow of trade goods.</w:t>
      </w:r>
    </w:p>
    <w:p>
      <w:pPr>
        <w:pStyle w:val="BodyText"/>
      </w:pPr>
      <w:r>
        <w:t xml:space="preserve">Table 2: Estimated posterior means, medians, and 95% confidence intervals for each network parameter of two models. Confidence intervals that do not include zero indicate significant effects of parameters (Caimo, 2017). Posterior means are generally close to posterior medians.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5.48</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r>
    </w:tbl>
    <w:p>
      <w:pPr>
        <w:pStyle w:val="CaptionedFigure"/>
      </w:pPr>
      <w:r>
        <w:drawing>
          <wp:inline>
            <wp:extent cx="5943600" cy="3714750"/>
            <wp:effectExtent b="0" l="0" r="0" t="0"/>
            <wp:docPr descr="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w:t>
      </w:r>
    </w:p>
    <w:p>
      <w:pPr>
        <w:pStyle w:val="BodyText"/>
      </w:pPr>
      <w:r>
        <w:t xml:space="preserve">After the arrival of Europeans, the nodal covariates of wealth rank show significant positive effects. This indicates burials in the same wealth level tend to be more connected with each other. Despite negative effects for ritual and sex variables, they are not significant. Also, there are no significant effects for variables of age and physical distance. Similar to the pre-European network, transitivity demonstrates a significant positive effect, but much weaker than in the pre-European network. In contrast, centralization has a significantly higher positive effect than the pre-European network. This means there is a tendency toward centralization that reflects a limited number of burials having many more ties than others. This implies more access to trade goods, increased wealth accumulation and display behaviors in burial events. In general, the post-European network model has a smaller transitivity effect and a positive centralization effect compared to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understand the robustness of comparison between two networks, we used a vertex bootstrap technique to cross-validate the results of our Bayesian ERGMs. The vertex bootstrap is a non-parametric method that conducts resampling for all vertices (i.e. node)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up to 30% node removals (Figure</w:t>
      </w:r>
      <w:r>
        <w:t xml:space="preserve"> </w:t>
      </w:r>
      <w:r>
        <w:t xml:space="preserve">5</w:t>
      </w:r>
      <w:r>
        <w:t xml:space="preserve">). This indicates that the network variables under investigation are robust to the different network size of our sample. Figure</w:t>
      </w:r>
      <w:r>
        <w:t xml:space="preserve"> </w:t>
      </w:r>
      <w:r>
        <w:t xml:space="preserve">5</w:t>
      </w:r>
      <w:r>
        <w:t xml:space="preserve"> </w:t>
      </w:r>
      <w:r>
        <w:t xml:space="preserve">also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w:t>
      </w:r>
    </w:p>
    <w:p>
      <w:pPr>
        <w:pStyle w:val="CaptionedFigure"/>
      </w:pPr>
      <w:r>
        <w:drawing>
          <wp:inline>
            <wp:extent cx="5943600" cy="3714750"/>
            <wp:effectExtent b="0" l="0" r="0" t="0"/>
            <wp:docPr descr="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bmarwick/Desktop/kwl-burials/analysis/figures/007-bootstrap-CI.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CaptionedFigure"/>
      </w:pPr>
      <w:r>
        <w:drawing>
          <wp:inline>
            <wp:extent cx="5943600" cy="9509760"/>
            <wp:effectExtent b="0" l="0" r="0" t="0"/>
            <wp:docPr descr="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6"/>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w:t>
      </w:r>
    </w:p>
    <w:p>
      <w:pPr>
        <w:pStyle w:val="BodyText"/>
      </w:pPr>
      <w:r>
        <w:t xml:space="preserve">Our computational models reproduce networks that resemble the structural features of our observed networks. Bayesian goodness of fit diagnostics plots (Figure</w:t>
      </w:r>
      <w:r>
        <w:t xml:space="preserve"> </w:t>
      </w:r>
      <w:r>
        <w:t xml:space="preserve">6</w:t>
      </w:r>
      <w:r>
        <w:t xml:space="preserve">; details in Supplementary Online Materials) demonstrate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distribution, despite some observations falling outside the 95% interval, the fit is generally good with most observations within it.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bmarwick/Desktop/kwl-burials/analysis/figures/006-distribution-moments.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bookmarkEnd w:id="38"/>
    <w:bookmarkStart w:id="39"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grave goods and burial attributes.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Our results indicate that the major factor contributing to burial networks is ritual for the pre-European network, and wealth for the post-European network. We interpret these results as illustrating different social and economic mechanisms influencing relations between burials for the two periods. Before European arrival, ritual behaviors were important factors that structured the interconnections of prestige goods in the burial contexts. This might imply that ritual could be a status indicator at the time before many foreign goods were introduced to Indigenous societies. After the European presence was established, status indicators shifted from ritual to wealth differences. Moreover, geographical proximity, implying some kinship association, has no effect on sharing similar prestige items between burials for both phases. This may suggest that the use of prestige items is more individual-oriented instead of kinship-based. Demographic information, such as age and sex, do not have any effects on network formation for both networks. But we also note that no effects could be due to the unavailability of age (30 out of 78 burials) and sex (52 out of 78 burials) values in our sample.</w:t>
      </w:r>
    </w:p>
    <w:p>
      <w:pPr>
        <w:pStyle w:val="BodyText"/>
      </w:pPr>
      <w:r>
        <w:t xml:space="preserve">We used burial data as a proxy to explore social relations reflected by interconnections of prestige goods based on assumptions that burials can represent social structures</w:t>
      </w:r>
      <w:r>
        <w:t xml:space="preserve"> </w:t>
      </w:r>
      <w:r>
        <w:t xml:space="preserve">(Binford, 1971; Saxe, 1970)</w:t>
      </w:r>
      <w:r>
        <w:t xml:space="preserve">, and individuals with similar prestige goods reflect similar access to trade, exchange, and gifting networks</w:t>
      </w:r>
      <w:r>
        <w:t xml:space="preserve"> </w:t>
      </w:r>
      <w:r>
        <w:t xml:space="preserve">(eg. Coward, 2013, p. 252)</w:t>
      </w:r>
      <w:r>
        <w:t xml:space="preserve">. 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w:t>
      </w:r>
      <w:r>
        <w:t xml:space="preserve">. This is consistent with the result of a more centralized burial network after the presence of Europeans, that supports a connection between a burial and the social role of the living person. Also, ethnographic records support our interpretation of burial goods as prestige goods or status items in the local Indigenous culture</w:t>
      </w:r>
      <w:r>
        <w:t xml:space="preserve"> </w:t>
      </w:r>
      <w:r>
        <w:t xml:space="preserve">(Borao, 2009; Li and Wu, 2006)</w:t>
      </w:r>
      <w:r>
        <w:t xml:space="preserve">, so the interrelations represented by the flow of these goods observed in the burial data likely reflect social contexts of the living people at Kiwulan.</w:t>
      </w:r>
    </w:p>
    <w:bookmarkEnd w:id="39"/>
    <w:bookmarkStart w:id="40" w:name="conclusion"/>
    <w:p>
      <w:pPr>
        <w:pStyle w:val="Heading1"/>
      </w:pPr>
      <w:r>
        <w:t xml:space="preserve">Conclusion</w:t>
      </w:r>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reduce the effects of small sample size or missing data commonly present in archaeological data by incorporating prior information and MCMC estimations. Another valuable feature of Bayesian network modeling is the ability to set prior values to evaluate competing anthropological models,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We examined social changes in a European pericolonial context in northeastern Taiwan. We tested the hypotheses of changes in 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from ritual practice to wealth levels,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Using burial data with historical documents, we can better understand indirect European impacts in understudied pericolonial contexts of East Asia</w:t>
      </w:r>
      <w:r>
        <w:t xml:space="preserve"> </w:t>
      </w:r>
      <w:r>
        <w:t xml:space="preserve">(e.g. Acabado, 2017; Trabert, 2017)</w:t>
      </w:r>
      <w:r>
        <w:t xml:space="preserve">.</w:t>
      </w:r>
    </w:p>
    <w:bookmarkEnd w:id="40"/>
    <w:bookmarkStart w:id="42"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41" w:name="pagebreak"/>
    <w:p>
      <w:pPr>
        <w:pStyle w:val="Heading5"/>
      </w:pPr>
      <w:r>
        <w:rPr>
          <w:rStyle w:val="SectionNumber"/>
        </w:rPr>
        <w:t xml:space="preserve">0.0.0.0.1</w:t>
      </w:r>
      <w:r>
        <w:tab/>
      </w:r>
      <w:r>
        <w:t xml:space="preserve">pagebreak</w:t>
      </w:r>
    </w:p>
    <w:bookmarkEnd w:id="41"/>
    <w:bookmarkEnd w:id="42"/>
    <w:bookmarkStart w:id="120" w:name="references"/>
    <w:p>
      <w:pPr>
        <w:pStyle w:val="Heading1"/>
      </w:pPr>
      <w:r>
        <w:t xml:space="preserve">References</w:t>
      </w:r>
    </w:p>
    <w:bookmarkStart w:id="117" w:name="refs"/>
    <w:bookmarkStart w:id="43" w:name="ref-Acabado2017"/>
    <w:p>
      <w:pPr>
        <w:pStyle w:val="Bibliography"/>
      </w:pPr>
      <w:r>
        <w:t xml:space="preserve">Acabado, S., 2017. The archaeology of pericolonialism: Responses of the</w:t>
      </w:r>
      <w:r>
        <w:t xml:space="preserve"> </w:t>
      </w:r>
      <w:r>
        <w:t xml:space="preserve">“unconquered”</w:t>
      </w:r>
      <w:r>
        <w:t xml:space="preserve"> </w:t>
      </w:r>
      <w:r>
        <w:t xml:space="preserve">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3"/>
    <w:bookmarkStart w:id="44"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8"/>
    <w:bookmarkStart w:id="49" w:name="ref-Brandes2013"/>
    <w:p>
      <w:pPr>
        <w:pStyle w:val="Bibliography"/>
      </w:pPr>
      <w:r>
        <w:t xml:space="preserve">Brandes, U., Robins, G., McCranie, A., Wasserman, S., 2013. What is network science? Network science 1, 1–15.</w:t>
      </w:r>
    </w:p>
    <w:bookmarkEnd w:id="49"/>
    <w:bookmarkStart w:id="50" w:name="ref-Brughmans2013"/>
    <w:p>
      <w:pPr>
        <w:pStyle w:val="Bibliography"/>
      </w:pPr>
      <w:r>
        <w:t xml:space="preserve">Brughmans, T., 2013. Thinking through networks: A review of formal network methods in archaeology. Journal of Archaeological Method and Theory 20, 623–662.</w:t>
      </w:r>
    </w:p>
    <w:bookmarkEnd w:id="50"/>
    <w:bookmarkStart w:id="51" w:name="ref-Brughmans2014"/>
    <w:p>
      <w:pPr>
        <w:pStyle w:val="Bibliography"/>
      </w:pPr>
      <w:r>
        <w:t xml:space="preserve">Brughmans, T., Keay, S., Earl, G., 2014. Introducing exponential random graph models for visibility networks. Journal of Archaeological Science 49, 442–454.</w:t>
      </w:r>
    </w:p>
    <w:bookmarkEnd w:id="51"/>
    <w:bookmarkStart w:id="52" w:name="ref-Brughmans2018"/>
    <w:p>
      <w:pPr>
        <w:pStyle w:val="Bibliography"/>
      </w:pPr>
      <w:r>
        <w:t xml:space="preserve">Brughmans, T., Peeples, M.A., 2018. Network science. The Encyclopedia of Archaeological Sciences 1–4.</w:t>
      </w:r>
    </w:p>
    <w:bookmarkEnd w:id="52"/>
    <w:bookmarkStart w:id="53"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3"/>
    <w:bookmarkStart w:id="54"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4"/>
    <w:bookmarkStart w:id="55"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5"/>
    <w:bookmarkStart w:id="56" w:name="ref-Caimo2013"/>
    <w:p>
      <w:pPr>
        <w:pStyle w:val="Bibliography"/>
      </w:pPr>
      <w:r>
        <w:t xml:space="preserve">Caimo, A., Friel, N., 2013. Bayesian model selection for exponential random graph models. Social Networks 35, 11–24.</w:t>
      </w:r>
    </w:p>
    <w:bookmarkEnd w:id="56"/>
    <w:bookmarkStart w:id="57" w:name="ref-Caimo2011"/>
    <w:p>
      <w:pPr>
        <w:pStyle w:val="Bibliography"/>
      </w:pPr>
      <w:r>
        <w:t xml:space="preserve">Caimo, A., Friel, N., 2011. Bayesian inference for exponential random graph models. Social Networks 33, 41–55.</w:t>
      </w:r>
    </w:p>
    <w:bookmarkEnd w:id="57"/>
    <w:bookmarkStart w:id="58" w:name="ref-Caimo2017bayesian"/>
    <w:p>
      <w:pPr>
        <w:pStyle w:val="Bibliography"/>
      </w:pPr>
      <w:r>
        <w:t xml:space="preserve">Caimo, A., Gollini, I., 2017. Bayesian computational algorithms for social network analysis. QSAR/QSPR.</w:t>
      </w:r>
    </w:p>
    <w:bookmarkEnd w:id="58"/>
    <w:bookmarkStart w:id="59"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59"/>
    <w:bookmarkStart w:id="60" w:name="ref-Caimo2017"/>
    <w:p>
      <w:pPr>
        <w:pStyle w:val="Bibliography"/>
      </w:pPr>
      <w:r>
        <w:t xml:space="preserve">Caimo, A., Pallotti, F., Lomi, A., 2017. Bayesian exponential random graph modelling of interhospital patient referral networks. Statistics in medicine 36, 2902–2920.</w:t>
      </w:r>
    </w:p>
    <w:bookmarkEnd w:id="60"/>
    <w:bookmarkStart w:id="61"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3"/>
    <w:bookmarkStart w:id="64" w:name="ref-Chen2019"/>
    <w:p>
      <w:pPr>
        <w:pStyle w:val="Bibliography"/>
      </w:pPr>
      <w:r>
        <w:t xml:space="preserve">Chen, Y., Gel, Y.R., Lyubchich, V., Nezafati, K., 2019. Snowboot: Bootstrap methods for network inference. arXiv preprint arXiv:1902.09029.</w:t>
      </w:r>
    </w:p>
    <w:bookmarkEnd w:id="64"/>
    <w:bookmarkStart w:id="65"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w:t>
      </w:r>
    </w:p>
    <w:bookmarkEnd w:id="65"/>
    <w:bookmarkStart w:id="66"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6"/>
    <w:bookmarkStart w:id="67"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67"/>
    <w:bookmarkStart w:id="68"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68"/>
    <w:bookmarkStart w:id="69"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69"/>
    <w:bookmarkStart w:id="70"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hafouri2020"/>
    <w:p>
      <w:pPr>
        <w:pStyle w:val="Bibliography"/>
      </w:pPr>
      <w:r>
        <w:t xml:space="preserve">Ghafouri, S., Khasteh, S.H., 2020. A survey on exponential random graph models: An application perspective. PeerJ Computer Science 6, e269.</w:t>
      </w:r>
    </w:p>
    <w:bookmarkEnd w:id="75"/>
    <w:bookmarkStart w:id="76" w:name="ref-Gjesfjeld2013"/>
    <w:p>
      <w:pPr>
        <w:pStyle w:val="Bibliography"/>
      </w:pPr>
      <w:r>
        <w:t xml:space="preserve">Gjesfjeld, E., Phillips, S.C., 2013. Evaluating adaptive network strategies with geochemical sourcing data: A case study from the kuril islands. Network analysis in archaeology: New approaches to regional interaction 281–305.</w:t>
      </w:r>
    </w:p>
    <w:bookmarkEnd w:id="76"/>
    <w:bookmarkStart w:id="77"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7"/>
    <w:bookmarkStart w:id="78" w:name="ref-Harris2013"/>
    <w:p>
      <w:pPr>
        <w:pStyle w:val="Bibliography"/>
      </w:pPr>
      <w:r>
        <w:t xml:space="preserve">Harris, J.K., 2013. An introduction to exponential random graph modeling. Sage Publications.</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w:t>
      </w:r>
    </w:p>
    <w:bookmarkEnd w:id="80"/>
    <w:bookmarkStart w:id="81"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in2013"/>
    <w:p>
      <w:pPr>
        <w:pStyle w:val="Bibliography"/>
      </w:pPr>
      <w:r>
        <w:t xml:space="preserve">Jin, I.H., Yuan, Y., Liang, F., 2013. Bayesian analysis for exponential random graph models using the adaptive exchange sampler. Statistics and its interface 6, 559.</w:t>
      </w:r>
    </w:p>
    <w:bookmarkEnd w:id="83"/>
    <w:bookmarkStart w:id="84"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 th-8^ thCent. AD). Acta Archaeologica 62.</w:t>
      </w:r>
    </w:p>
    <w:bookmarkEnd w:id="84"/>
    <w:bookmarkStart w:id="85"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85"/>
    <w:bookmarkStart w:id="86" w:name="ref-Lehmann2020"/>
    <w:p>
      <w:pPr>
        <w:pStyle w:val="Bibliography"/>
      </w:pPr>
      <w:r>
        <w:t xml:space="preserve">Lehmann, B.C., Henson, R.N., Geerligs, L., White, S.R., others, 2020. Characterising group-level brain connectivity: A framework using</w:t>
      </w:r>
      <w:r>
        <w:t xml:space="preserve"> </w:t>
      </w:r>
      <w:r>
        <w:t xml:space="preserve">Bayesian</w:t>
      </w:r>
      <w:r>
        <w:t xml:space="preserve"> </w:t>
      </w:r>
      <w:r>
        <w:t xml:space="preserve">exponential random graph models. bioRxiv 665398.</w:t>
      </w:r>
    </w:p>
    <w:bookmarkEnd w:id="86"/>
    <w:bookmarkStart w:id="87"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87"/>
    <w:bookmarkStart w:id="88"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w:t>
      </w:r>
      <w:r>
        <w:t xml:space="preserve">149–176.</w:t>
      </w:r>
    </w:p>
    <w:bookmarkEnd w:id="88"/>
    <w:bookmarkStart w:id="89"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89"/>
    <w:bookmarkStart w:id="9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2"/>
    <w:bookmarkStart w:id="93" w:name="ref-Mills2017"/>
    <w:p>
      <w:pPr>
        <w:pStyle w:val="Bibliography"/>
      </w:pPr>
      <w:r>
        <w:t xml:space="preserve">Mills, B.J., 2017. Social network analysis in archaeology. Annual review of anthropology 46, 379–397.</w:t>
      </w:r>
    </w:p>
    <w:bookmarkEnd w:id="93"/>
    <w:bookmarkStart w:id="94"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94"/>
    <w:bookmarkStart w:id="95" w:name="ref-Morris2008"/>
    <w:p>
      <w:pPr>
        <w:pStyle w:val="Bibliography"/>
      </w:pPr>
      <w:r>
        <w:t xml:space="preserve">Morris, M., Handcock, M.S., Hunter, D.R., 2008. Specification of exponential-family random graph models: Terms and computational aspects. Journal of statistical software 24, 1548.</w:t>
      </w:r>
    </w:p>
    <w:bookmarkEnd w:id="95"/>
    <w:bookmarkStart w:id="96" w:name="ref-Nemmers2019"/>
    <w:p>
      <w:pPr>
        <w:pStyle w:val="Bibliography"/>
      </w:pPr>
      <w:r>
        <w:t xml:space="preserve">Nemmers, T., Narayan, A., Banerjee, S., 2019. Bayesian modeling and uncertainty quantification for descriptive social networks. Statistics and its interface 12, 181.</w:t>
      </w:r>
    </w:p>
    <w:bookmarkEnd w:id="96"/>
    <w:bookmarkStart w:id="97"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97"/>
    <w:bookmarkStart w:id="98" w:name="ref-Pearson1982"/>
    <w:p>
      <w:pPr>
        <w:pStyle w:val="Bibliography"/>
      </w:pPr>
      <w:r>
        <w:t xml:space="preserve">Pearson, P., 1982. Mortuary practices, society and ideology: An ethnoarchaeological study, in: Hodder, I. (Ed.), Symbolic and Structural Archaeology. Cambridge.</w:t>
      </w:r>
    </w:p>
    <w:bookmarkEnd w:id="98"/>
    <w:bookmarkStart w:id="99" w:name="ref-Peeples2019"/>
    <w:p>
      <w:pPr>
        <w:pStyle w:val="Bibliography"/>
      </w:pPr>
      <w:r>
        <w:t xml:space="preserve">Peeples, M.A., 2019. Finding a place for networks in archaeology. Journal of Archaeological Research 27, 451–499.</w:t>
      </w:r>
    </w:p>
    <w:bookmarkEnd w:id="99"/>
    <w:bookmarkStart w:id="100" w:name="ref-Rlanguage2019"/>
    <w:p>
      <w:pPr>
        <w:pStyle w:val="Bibliography"/>
      </w:pPr>
      <w:r>
        <w:t xml:space="preserve">R Core Team, 2019. R: A language and environment for statistical computing. R Foundation for Statistical Computing, Vienna, Austria.</w:t>
      </w:r>
    </w:p>
    <w:bookmarkEnd w:id="100"/>
    <w:bookmarkStart w:id="102" w:name="ref-Rroberts2021"/>
    <w:p>
      <w:pPr>
        <w:pStyle w:val="Bibliography"/>
      </w:pPr>
      <w:r>
        <w:t xml:space="preserve">Roberts, J.M., Yin, Y., Dorshorst, E., Peeples, M.A., Mills, B.J., 2021. Assessing the performance of the bootstrap in simulated assemblage networks. Social Networks 65, 98–109. https://doi.org/</w:t>
      </w:r>
      <w:hyperlink r:id="rId101">
        <w:r>
          <w:rPr>
            <w:rStyle w:val="Hyperlink"/>
          </w:rPr>
          <w:t xml:space="preserve">https://doi.org/10.1016/j.socnet.2020.11.005</w:t>
        </w:r>
      </w:hyperlink>
    </w:p>
    <w:bookmarkEnd w:id="102"/>
    <w:bookmarkStart w:id="103" w:name="ref-Salvini2010"/>
    <w:p>
      <w:pPr>
        <w:pStyle w:val="Bibliography"/>
      </w:pPr>
      <w:r>
        <w:t xml:space="preserve">Salvini, A., 2010. Symbolic interactionism and social network analysis: An uncertain encounter. Symbolic Interaction 33, 364–388.</w:t>
      </w:r>
    </w:p>
    <w:bookmarkEnd w:id="103"/>
    <w:bookmarkStart w:id="104" w:name="ref-Saxe1970"/>
    <w:p>
      <w:pPr>
        <w:pStyle w:val="Bibliography"/>
      </w:pPr>
      <w:r>
        <w:t xml:space="preserve">Saxe, A., 1970. Social dimensions of mortuary practices (PhD thesis). University of Michigan.</w:t>
      </w:r>
    </w:p>
    <w:bookmarkEnd w:id="104"/>
    <w:bookmarkStart w:id="105" w:name="ref-Schweinberger2011"/>
    <w:p>
      <w:pPr>
        <w:pStyle w:val="Bibliography"/>
      </w:pPr>
      <w:r>
        <w:t xml:space="preserve">Schweinberger, M., 2011. Instability, sensitivity, and degeneracy of discrete exponential families. Journal of the American Statistical Association 106, 1361–1370.</w:t>
      </w:r>
    </w:p>
    <w:bookmarkEnd w:id="105"/>
    <w:bookmarkStart w:id="106"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06"/>
    <w:bookmarkStart w:id="107"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209–238.</w:t>
      </w:r>
    </w:p>
    <w:bookmarkEnd w:id="107"/>
    <w:bookmarkStart w:id="108"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55–74.</w:t>
      </w:r>
    </w:p>
    <w:bookmarkEnd w:id="108"/>
    <w:bookmarkStart w:id="109" w:name="ref-Snijders2011"/>
    <w:p>
      <w:pPr>
        <w:pStyle w:val="Bibliography"/>
      </w:pPr>
      <w:r>
        <w:t xml:space="preserve">Snijders, T.A., 2011. Statistical models for social networks. Annual Review of Sociology 37.</w:t>
      </w:r>
    </w:p>
    <w:bookmarkEnd w:id="109"/>
    <w:bookmarkStart w:id="110" w:name="ref-Snijders1999"/>
    <w:p>
      <w:pPr>
        <w:pStyle w:val="Bibliography"/>
      </w:pPr>
      <w:r>
        <w:t xml:space="preserve">Snijders, T.A., Borgatti, S.P., 1999. Non-parametric standard errors and tests for network statistics. Connections 22, 161–170.</w:t>
      </w:r>
    </w:p>
    <w:bookmarkEnd w:id="110"/>
    <w:bookmarkStart w:id="111" w:name="ref-Snijders2006"/>
    <w:p>
      <w:pPr>
        <w:pStyle w:val="Bibliography"/>
      </w:pPr>
      <w:r>
        <w:t xml:space="preserve">Snijders, T.A., Pattison, P.E., Robins, G.L., Handcock, M.S., 2006. New specifications for exponential random graph models. Sociological methodology 36, 99–153.</w:t>
      </w:r>
    </w:p>
    <w:bookmarkEnd w:id="111"/>
    <w:bookmarkStart w:id="112" w:name="ref-Trabert2017"/>
    <w:p>
      <w:pPr>
        <w:pStyle w:val="Bibliography"/>
      </w:pPr>
      <w:r>
        <w:t xml:space="preserve">Trabert, S., 2017. Considering the indirect effects of colonialism: Example from a great plains middle ground. Journal of Anthropological Archaeology 48, 17–27.</w:t>
      </w:r>
    </w:p>
    <w:bookmarkEnd w:id="112"/>
    <w:bookmarkStart w:id="113"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89–119.</w:t>
      </w:r>
    </w:p>
    <w:bookmarkEnd w:id="113"/>
    <w:bookmarkStart w:id="114"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14"/>
    <w:bookmarkStart w:id="115"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5"/>
    <w:bookmarkStart w:id="116"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w:t>
      </w:r>
    </w:p>
    <w:bookmarkEnd w:id="116"/>
    <w:bookmarkEnd w:id="117"/>
    <w:bookmarkStart w:id="118" w:name="pagebreak-1"/>
    <w:p>
      <w:pPr>
        <w:pStyle w:val="Heading5"/>
      </w:pPr>
      <w:r>
        <w:rPr>
          <w:rStyle w:val="SectionNumber"/>
        </w:rPr>
        <w:t xml:space="preserve">0.0.0.0.2</w:t>
      </w:r>
      <w:r>
        <w:tab/>
      </w:r>
      <w:r>
        <w:t xml:space="preserve">pagebreak</w:t>
      </w:r>
    </w:p>
    <w:bookmarkEnd w:id="118"/>
    <w:bookmarkStart w:id="119" w:name="colophon"/>
    <w:p>
      <w:pPr>
        <w:pStyle w:val="Heading3"/>
      </w:pPr>
      <w:r>
        <w:rPr>
          <w:rStyle w:val="SectionNumber"/>
        </w:rPr>
        <w:t xml:space="preserve">0.0.1</w:t>
      </w:r>
      <w:r>
        <w:tab/>
      </w:r>
      <w:r>
        <w:t xml:space="preserve">Colophon</w:t>
      </w:r>
    </w:p>
    <w:p>
      <w:pPr>
        <w:pStyle w:val="FirstParagraph"/>
      </w:pPr>
      <w:r>
        <w:t xml:space="preserve">This report was generated on 2021-02-25 01:50:31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2021-02-25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Bergm          * 5.0.2      2020-11-12 [?]</w:t>
      </w:r>
      <w:r>
        <w:br/>
      </w:r>
      <w:r>
        <w:rPr>
          <w:rStyle w:val="VerbatimChar"/>
        </w:rPr>
        <w:t xml:space="preserve">#&gt;  P bitops           1.0-6      2013-08-17 [?]</w:t>
      </w:r>
      <w:r>
        <w:br/>
      </w:r>
      <w:r>
        <w:rPr>
          <w:rStyle w:val="VerbatimChar"/>
        </w:rPr>
        <w:t xml:space="preserve">#&gt;  P bookdown         0.21       2020-10-13 [?]</w:t>
      </w:r>
      <w:r>
        <w:br/>
      </w:r>
      <w:r>
        <w:rPr>
          <w:rStyle w:val="VerbatimChar"/>
        </w:rPr>
        <w:t xml:space="preserve">#&gt;  P broom            0.7.3      2020-12-16 [?]</w:t>
      </w:r>
      <w:r>
        <w:br/>
      </w:r>
      <w:r>
        <w:rPr>
          <w:rStyle w:val="VerbatimChar"/>
        </w:rPr>
        <w:t xml:space="preserve">#&gt;  P callr            3.5.1      2020-10-13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class            7.3-17     2020-04-26 [?]</w:t>
      </w:r>
      <w:r>
        <w:br/>
      </w:r>
      <w:r>
        <w:rPr>
          <w:rStyle w:val="VerbatimChar"/>
        </w:rPr>
        <w:t xml:space="preserve">#&gt;  P classInt         0.4-3      2020-04-07 [?]</w:t>
      </w:r>
      <w:r>
        <w:br/>
      </w:r>
      <w:r>
        <w:rPr>
          <w:rStyle w:val="VerbatimChar"/>
        </w:rPr>
        <w:t xml:space="preserve">#&gt;  P cli              2.2.0      2020-11-20 [?]</w:t>
      </w:r>
      <w:r>
        <w:br/>
      </w:r>
      <w:r>
        <w:rPr>
          <w:rStyle w:val="VerbatimChar"/>
        </w:rPr>
        <w:t xml:space="preserve">#&gt;  P coda             0.19-4     2020-09-30 [?]</w:t>
      </w:r>
      <w:r>
        <w:br/>
      </w:r>
      <w:r>
        <w:rPr>
          <w:rStyle w:val="VerbatimChar"/>
        </w:rPr>
        <w:t xml:space="preserve">#&gt;  P codetools        0.2-18     2020-11-04 [3]</w:t>
      </w:r>
      <w:r>
        <w:br/>
      </w:r>
      <w:r>
        <w:rPr>
          <w:rStyle w:val="VerbatimChar"/>
        </w:rPr>
        <w:t xml:space="preserve">#&gt;  P colorspace       2.0-0      2020-11-11 [?]</w:t>
      </w:r>
      <w:r>
        <w:br/>
      </w:r>
      <w:r>
        <w:rPr>
          <w:rStyle w:val="VerbatimChar"/>
        </w:rPr>
        <w:t xml:space="preserve">#&gt;  P conquer          1.0.2      2020-08-27 [?]</w:t>
      </w:r>
      <w:r>
        <w:br/>
      </w:r>
      <w:r>
        <w:rPr>
          <w:rStyle w:val="VerbatimChar"/>
        </w:rPr>
        <w:t xml:space="preserve">#&gt;  P cowplot        * 1.1.0      2020-09-08 [?]</w:t>
      </w:r>
      <w:r>
        <w:br/>
      </w:r>
      <w:r>
        <w:rPr>
          <w:rStyle w:val="VerbatimChar"/>
        </w:rPr>
        <w:t xml:space="preserve">#&gt;  P crayon           1.3.4      2017-09-16 [?]</w:t>
      </w:r>
      <w:r>
        <w:br/>
      </w:r>
      <w:r>
        <w:rPr>
          <w:rStyle w:val="VerbatimChar"/>
        </w:rPr>
        <w:t xml:space="preserve">#&gt;  P data.table       1.13.6     2020-12-30 [?]</w:t>
      </w:r>
      <w:r>
        <w:br/>
      </w:r>
      <w:r>
        <w:rPr>
          <w:rStyle w:val="VerbatimChar"/>
        </w:rPr>
        <w:t xml:space="preserve">#&gt;  P DBI              1.1.0      2019-12-15 [?]</w:t>
      </w:r>
      <w:r>
        <w:br/>
      </w:r>
      <w:r>
        <w:rPr>
          <w:rStyle w:val="VerbatimChar"/>
        </w:rPr>
        <w:t xml:space="preserve">#&gt;  P dbplyr           2.0.0      2020-11-03 [?]</w:t>
      </w:r>
      <w:r>
        <w:br/>
      </w:r>
      <w:r>
        <w:rPr>
          <w:rStyle w:val="VerbatimChar"/>
        </w:rPr>
        <w:t xml:space="preserve">#&gt;  P DEoptimR         1.0-8      2016-11-19 [?]</w:t>
      </w:r>
      <w:r>
        <w:br/>
      </w:r>
      <w:r>
        <w:rPr>
          <w:rStyle w:val="VerbatimChar"/>
        </w:rPr>
        <w:t xml:space="preserve">#&gt;  P desc             1.2.0      2018-05-01 [?]</w:t>
      </w:r>
      <w:r>
        <w:br/>
      </w:r>
      <w:r>
        <w:rPr>
          <w:rStyle w:val="VerbatimChar"/>
        </w:rPr>
        <w:t xml:space="preserve">#&gt;  P devtools         2.3.2      2020-09-18 [?]</w:t>
      </w:r>
      <w:r>
        <w:br/>
      </w:r>
      <w:r>
        <w:rPr>
          <w:rStyle w:val="VerbatimChar"/>
        </w:rPr>
        <w:t xml:space="preserve">#&gt;  P digest           0.6.27     2020-10-24 [?]</w:t>
      </w:r>
      <w:r>
        <w:br/>
      </w:r>
      <w:r>
        <w:rPr>
          <w:rStyle w:val="VerbatimChar"/>
        </w:rPr>
        <w:t xml:space="preserve">#&gt;  P dotCall64        1.0-0      2018-07-30 [?]</w:t>
      </w:r>
      <w:r>
        <w:br/>
      </w:r>
      <w:r>
        <w:rPr>
          <w:rStyle w:val="VerbatimChar"/>
        </w:rPr>
        <w:t xml:space="preserve">#&gt;  P dplyr          * 1.0.3      2021-01-15 [?]</w:t>
      </w:r>
      <w:r>
        <w:br/>
      </w:r>
      <w:r>
        <w:rPr>
          <w:rStyle w:val="VerbatimChar"/>
        </w:rPr>
        <w:t xml:space="preserve">#&gt;  P e1071            1.7-4      2020-10-14 [?]</w:t>
      </w:r>
      <w:r>
        <w:br/>
      </w:r>
      <w:r>
        <w:rPr>
          <w:rStyle w:val="VerbatimChar"/>
        </w:rPr>
        <w:t xml:space="preserve">#&gt;  P ellipsis         0.3.1      2020-05-15 [?]</w:t>
      </w:r>
      <w:r>
        <w:br/>
      </w:r>
      <w:r>
        <w:rPr>
          <w:rStyle w:val="VerbatimChar"/>
        </w:rPr>
        <w:t xml:space="preserve">#&gt;  P ergm           * 3.11.0     2020-10-14 [?]</w:t>
      </w:r>
      <w:r>
        <w:br/>
      </w:r>
      <w:r>
        <w:rPr>
          <w:rStyle w:val="VerbatimChar"/>
        </w:rPr>
        <w:t xml:space="preserve">#&gt;  P ergm.count     * 3.4.0      2019-05-15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2.0.3      2020-01-16 [?]</w:t>
      </w:r>
      <w:r>
        <w:br/>
      </w:r>
      <w:r>
        <w:rPr>
          <w:rStyle w:val="VerbatimChar"/>
        </w:rPr>
        <w:t xml:space="preserve">#&gt;  P fields           11.6       2020-10-09 [?]</w:t>
      </w:r>
      <w:r>
        <w:br/>
      </w:r>
      <w:r>
        <w:rPr>
          <w:rStyle w:val="VerbatimChar"/>
        </w:rPr>
        <w:t xml:space="preserve">#&gt;  P flextable      * 0.6.1      2020-12-08 [?]</w:t>
      </w:r>
      <w:r>
        <w:br/>
      </w:r>
      <w:r>
        <w:rPr>
          <w:rStyle w:val="VerbatimChar"/>
        </w:rPr>
        <w:t xml:space="preserve">#&gt;  P forcats        * 0.5.0      2020-03-01 [?]</w:t>
      </w:r>
      <w:r>
        <w:br/>
      </w:r>
      <w:r>
        <w:rPr>
          <w:rStyle w:val="VerbatimChar"/>
        </w:rPr>
        <w:t xml:space="preserve">#&gt;  P foreign          0.8-80     2020-05-24 [?]</w:t>
      </w:r>
      <w:r>
        <w:br/>
      </w:r>
      <w:r>
        <w:rPr>
          <w:rStyle w:val="VerbatimChar"/>
        </w:rPr>
        <w:t xml:space="preserve">#&gt;  P fs               1.5.0      2020-07-31 [?]</w:t>
      </w:r>
      <w:r>
        <w:br/>
      </w:r>
      <w:r>
        <w:rPr>
          <w:rStyle w:val="VerbatimChar"/>
        </w:rPr>
        <w:t xml:space="preserve">#&gt;  P gbRd             0.4-11     2012-10-01 [?]</w:t>
      </w:r>
      <w:r>
        <w:br/>
      </w:r>
      <w:r>
        <w:rPr>
          <w:rStyle w:val="VerbatimChar"/>
        </w:rPr>
        <w:t xml:space="preserve">#&gt;  P gdtools          0.2.2      2020-04-03 [?]</w:t>
      </w:r>
      <w:r>
        <w:br/>
      </w:r>
      <w:r>
        <w:rPr>
          <w:rStyle w:val="VerbatimChar"/>
        </w:rPr>
        <w:t xml:space="preserve">#&gt;  P generics         0.1.0      2020-10-31 [?]</w:t>
      </w:r>
      <w:r>
        <w:br/>
      </w:r>
      <w:r>
        <w:rPr>
          <w:rStyle w:val="VerbatimChar"/>
        </w:rPr>
        <w:t xml:space="preserve">#&gt;  P ggforce          0.3.2      2020-06-23 [?]</w:t>
      </w:r>
      <w:r>
        <w:br/>
      </w:r>
      <w:r>
        <w:rPr>
          <w:rStyle w:val="VerbatimChar"/>
        </w:rPr>
        <w:t xml:space="preserve">#&gt;  P ggmap            3.0.0      2019-02-05 [?]</w:t>
      </w:r>
      <w:r>
        <w:br/>
      </w:r>
      <w:r>
        <w:rPr>
          <w:rStyle w:val="VerbatimChar"/>
        </w:rPr>
        <w:t xml:space="preserve">#&gt;  P ggplot2        * 3.3.3      2020-12-30 [?]</w:t>
      </w:r>
      <w:r>
        <w:br/>
      </w:r>
      <w:r>
        <w:rPr>
          <w:rStyle w:val="VerbatimChar"/>
        </w:rPr>
        <w:t xml:space="preserve">#&gt;  P ggpointgrid      1.0.0      2021-01-11 [?]</w:t>
      </w:r>
      <w:r>
        <w:br/>
      </w:r>
      <w:r>
        <w:rPr>
          <w:rStyle w:val="VerbatimChar"/>
        </w:rPr>
        <w:t xml:space="preserve">#&gt;  P ggraph         * 2.0.4      2020-11-16 [?]</w:t>
      </w:r>
      <w:r>
        <w:br/>
      </w:r>
      <w:r>
        <w:rPr>
          <w:rStyle w:val="VerbatimChar"/>
        </w:rPr>
        <w:t xml:space="preserve">#&gt;  P ggrepel          0.9.1.9999 2021-01-19 [?]</w:t>
      </w:r>
      <w:r>
        <w:br/>
      </w:r>
      <w:r>
        <w:rPr>
          <w:rStyle w:val="VerbatimChar"/>
        </w:rPr>
        <w:t xml:space="preserve">#&gt;  P ggridges       * 0.5.2      2020-01-12 [?]</w:t>
      </w:r>
      <w:r>
        <w:br/>
      </w:r>
      <w:r>
        <w:rPr>
          <w:rStyle w:val="VerbatimChar"/>
        </w:rPr>
        <w:t xml:space="preserve">#&gt;  P ggsn           * 0.5.0      2019-02-18 [?]</w:t>
      </w:r>
      <w:r>
        <w:br/>
      </w:r>
      <w:r>
        <w:rPr>
          <w:rStyle w:val="VerbatimChar"/>
        </w:rPr>
        <w:t xml:space="preserve">#&gt;  P glue             1.4.2      2020-08-27 [?]</w:t>
      </w:r>
      <w:r>
        <w:br/>
      </w:r>
      <w:r>
        <w:rPr>
          <w:rStyle w:val="VerbatimChar"/>
        </w:rPr>
        <w:t xml:space="preserve">#&gt;  P graphlayouts     0.7.1      2020-10-26 [?]</w:t>
      </w:r>
      <w:r>
        <w:br/>
      </w:r>
      <w:r>
        <w:rPr>
          <w:rStyle w:val="VerbatimChar"/>
        </w:rPr>
        <w:t xml:space="preserve">#&gt;  P gridExtra        2.3        2017-09-09 [?]</w:t>
      </w:r>
      <w:r>
        <w:br/>
      </w:r>
      <w:r>
        <w:rPr>
          <w:rStyle w:val="VerbatimChar"/>
        </w:rPr>
        <w:t xml:space="preserve">#&gt;  P gtable           0.3.0      2019-03-25 [?]</w:t>
      </w:r>
      <w:r>
        <w:br/>
      </w:r>
      <w:r>
        <w:rPr>
          <w:rStyle w:val="VerbatimChar"/>
        </w:rPr>
        <w:t xml:space="preserve">#&gt;  P gtools         * 3.8.2      2020-03-31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hms              1.0.0      2021-01-13 [?]</w:t>
      </w:r>
      <w:r>
        <w:br/>
      </w:r>
      <w:r>
        <w:rPr>
          <w:rStyle w:val="VerbatimChar"/>
        </w:rPr>
        <w:t xml:space="preserve">#&gt;  P htmltools        0.5.1      2021-01-12 [?]</w:t>
      </w:r>
      <w:r>
        <w:br/>
      </w:r>
      <w:r>
        <w:rPr>
          <w:rStyle w:val="VerbatimChar"/>
        </w:rPr>
        <w:t xml:space="preserve">#&gt;  P httr             1.4.2      2020-07-20 [?]</w:t>
      </w:r>
      <w:r>
        <w:br/>
      </w:r>
      <w:r>
        <w:rPr>
          <w:rStyle w:val="VerbatimChar"/>
        </w:rPr>
        <w:t xml:space="preserve">#&gt;  P igraph         * 1.2.6      2020-10-06 [?]</w:t>
      </w:r>
      <w:r>
        <w:br/>
      </w:r>
      <w:r>
        <w:rPr>
          <w:rStyle w:val="VerbatimChar"/>
        </w:rPr>
        <w:t xml:space="preserve">#&gt;  P janitor          2.0.1      2020-04-12 [?]</w:t>
      </w:r>
      <w:r>
        <w:br/>
      </w:r>
      <w:r>
        <w:rPr>
          <w:rStyle w:val="VerbatimChar"/>
        </w:rPr>
        <w:t xml:space="preserve">#&gt;  P jpeg             0.1-8.1    2019-10-24 [?]</w:t>
      </w:r>
      <w:r>
        <w:br/>
      </w:r>
      <w:r>
        <w:rPr>
          <w:rStyle w:val="VerbatimChar"/>
        </w:rPr>
        <w:t xml:space="preserve">#&gt;  P jsonlite         1.7.2      2020-12-09 [?]</w:t>
      </w:r>
      <w:r>
        <w:br/>
      </w:r>
      <w:r>
        <w:rPr>
          <w:rStyle w:val="VerbatimChar"/>
        </w:rPr>
        <w:t xml:space="preserve">#&gt;  P KernSmooth       2.23-18    2020-10-29 [?]</w:t>
      </w:r>
      <w:r>
        <w:br/>
      </w:r>
      <w:r>
        <w:rPr>
          <w:rStyle w:val="VerbatimChar"/>
        </w:rPr>
        <w:t xml:space="preserve">#&gt;  P knitr            1.30       2020-09-22 [?]</w:t>
      </w:r>
      <w:r>
        <w:br/>
      </w:r>
      <w:r>
        <w:rPr>
          <w:rStyle w:val="VerbatimChar"/>
        </w:rPr>
        <w:t xml:space="preserve">#&gt;  P labeling         0.4.2      2020-10-20 [?]</w:t>
      </w:r>
      <w:r>
        <w:br/>
      </w:r>
      <w:r>
        <w:rPr>
          <w:rStyle w:val="VerbatimChar"/>
        </w:rPr>
        <w:t xml:space="preserve">#&gt;  P lattice          0.20-41    2020-04-02 [?]</w:t>
      </w:r>
      <w:r>
        <w:br/>
      </w:r>
      <w:r>
        <w:rPr>
          <w:rStyle w:val="VerbatimChar"/>
        </w:rPr>
        <w:t xml:space="preserve">#&gt;  P lifecycle        0.2.0      2020-03-06 [?]</w:t>
      </w:r>
      <w:r>
        <w:br/>
      </w:r>
      <w:r>
        <w:rPr>
          <w:rStyle w:val="VerbatimChar"/>
        </w:rPr>
        <w:t xml:space="preserve">#&gt;  P lpSolve          5.6.15     2020-01-24 [?]</w:t>
      </w:r>
      <w:r>
        <w:br/>
      </w:r>
      <w:r>
        <w:rPr>
          <w:rStyle w:val="VerbatimChar"/>
        </w:rPr>
        <w:t xml:space="preserve">#&gt;  P lubridate        1.7.9.2    2020-11-13 [?]</w:t>
      </w:r>
      <w:r>
        <w:br/>
      </w:r>
      <w:r>
        <w:rPr>
          <w:rStyle w:val="VerbatimChar"/>
        </w:rPr>
        <w:t xml:space="preserve">#&gt;  P magick         * 2.5.2      2020-11-10 [?]</w:t>
      </w:r>
      <w:r>
        <w:br/>
      </w:r>
      <w:r>
        <w:rPr>
          <w:rStyle w:val="VerbatimChar"/>
        </w:rPr>
        <w:t xml:space="preserve">#&gt;  P magrittr         2.0.1      2020-11-17 [?]</w:t>
      </w:r>
      <w:r>
        <w:br/>
      </w:r>
      <w:r>
        <w:rPr>
          <w:rStyle w:val="VerbatimChar"/>
        </w:rPr>
        <w:t xml:space="preserve">#&gt;  P maps             3.3.0      2018-04-03 [?]</w:t>
      </w:r>
      <w:r>
        <w:br/>
      </w:r>
      <w:r>
        <w:rPr>
          <w:rStyle w:val="VerbatimChar"/>
        </w:rPr>
        <w:t xml:space="preserve">#&gt;  P maptools         1.0-2      2020-08-24 [?]</w:t>
      </w:r>
      <w:r>
        <w:br/>
      </w:r>
      <w:r>
        <w:rPr>
          <w:rStyle w:val="VerbatimChar"/>
        </w:rPr>
        <w:t xml:space="preserve">#&gt;  P MASS             7.3-53     2020-09-09 [?]</w:t>
      </w:r>
      <w:r>
        <w:br/>
      </w:r>
      <w:r>
        <w:rPr>
          <w:rStyle w:val="VerbatimChar"/>
        </w:rPr>
        <w:t xml:space="preserve">#&gt;  P Matrix           1.3-2      2021-01-06 [?]</w:t>
      </w:r>
      <w:r>
        <w:br/>
      </w:r>
      <w:r>
        <w:rPr>
          <w:rStyle w:val="VerbatimChar"/>
        </w:rPr>
        <w:t xml:space="preserve">#&gt;  P matrixcalc       1.0-3      2012-09-15 [?]</w:t>
      </w:r>
      <w:r>
        <w:br/>
      </w:r>
      <w:r>
        <w:rPr>
          <w:rStyle w:val="VerbatimChar"/>
        </w:rPr>
        <w:t xml:space="preserve">#&gt;  P MatrixModels     0.4-1      2015-08-22 [?]</w:t>
      </w:r>
      <w:r>
        <w:br/>
      </w:r>
      <w:r>
        <w:rPr>
          <w:rStyle w:val="VerbatimChar"/>
        </w:rPr>
        <w:t xml:space="preserve">#&gt;  P matrixStats      0.57.0     2020-09-25 [?]</w:t>
      </w:r>
      <w:r>
        <w:br/>
      </w:r>
      <w:r>
        <w:rPr>
          <w:rStyle w:val="VerbatimChar"/>
        </w:rPr>
        <w:t xml:space="preserve">#&gt;  P mcmc             0.9-7      2020-03-21 [?]</w:t>
      </w:r>
      <w:r>
        <w:br/>
      </w:r>
      <w:r>
        <w:rPr>
          <w:rStyle w:val="VerbatimChar"/>
        </w:rPr>
        <w:t xml:space="preserve">#&gt;  P MCMCpack         1.4-9      2020-08-02 [?]</w:t>
      </w:r>
      <w:r>
        <w:br/>
      </w:r>
      <w:r>
        <w:rPr>
          <w:rStyle w:val="VerbatimChar"/>
        </w:rPr>
        <w:t xml:space="preserve">#&gt;  P memoise          1.1.0      2017-04-21 [?]</w:t>
      </w:r>
      <w:r>
        <w:br/>
      </w:r>
      <w:r>
        <w:rPr>
          <w:rStyle w:val="VerbatimChar"/>
        </w:rPr>
        <w:t xml:space="preserve">#&gt;  P mnormt           2.0.2      2020-09-01 [?]</w:t>
      </w:r>
      <w:r>
        <w:br/>
      </w:r>
      <w:r>
        <w:rPr>
          <w:rStyle w:val="VerbatimChar"/>
        </w:rPr>
        <w:t xml:space="preserve">#&gt;  P modelr           0.1.8      2020-05-19 [?]</w:t>
      </w:r>
      <w:r>
        <w:br/>
      </w:r>
      <w:r>
        <w:rPr>
          <w:rStyle w:val="VerbatimChar"/>
        </w:rPr>
        <w:t xml:space="preserve">#&gt;  P munsell          0.5.0      2018-06-12 [?]</w:t>
      </w:r>
      <w:r>
        <w:br/>
      </w:r>
      <w:r>
        <w:rPr>
          <w:rStyle w:val="VerbatimChar"/>
        </w:rPr>
        <w:t xml:space="preserve">#&gt;  P mvtnorm          1.1-1      2020-06-09 [?]</w:t>
      </w:r>
      <w:r>
        <w:br/>
      </w:r>
      <w:r>
        <w:rPr>
          <w:rStyle w:val="VerbatimChar"/>
        </w:rPr>
        <w:t xml:space="preserve">#&gt;  P network        * 1.16.1     2020-10-07 [?]</w:t>
      </w:r>
      <w:r>
        <w:br/>
      </w:r>
      <w:r>
        <w:rPr>
          <w:rStyle w:val="VerbatimChar"/>
        </w:rPr>
        <w:t xml:space="preserve">#&gt;  P networkDynamic * 0.10.1     2020-01-21 [?]</w:t>
      </w:r>
      <w:r>
        <w:br/>
      </w:r>
      <w:r>
        <w:rPr>
          <w:rStyle w:val="VerbatimChar"/>
        </w:rPr>
        <w:t xml:space="preserve">#&gt;  P nlme             3.1-151    2020-12-10 [?]</w:t>
      </w:r>
      <w:r>
        <w:br/>
      </w:r>
      <w:r>
        <w:rPr>
          <w:rStyle w:val="VerbatimChar"/>
        </w:rPr>
        <w:t xml:space="preserve">#&gt;  P officer          0.3.16     2021-01-04 [?]</w:t>
      </w:r>
      <w:r>
        <w:br/>
      </w:r>
      <w:r>
        <w:rPr>
          <w:rStyle w:val="VerbatimChar"/>
        </w:rPr>
        <w:t xml:space="preserve">#&gt;  P pillar           1.4.7      2020-11-20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1.1.0      2020-05-29 [?]</w:t>
      </w:r>
      <w:r>
        <w:br/>
      </w:r>
      <w:r>
        <w:rPr>
          <w:rStyle w:val="VerbatimChar"/>
        </w:rPr>
        <w:t xml:space="preserve">#&gt;  P plyr             1.8.6      2020-03-03 [?]</w:t>
      </w:r>
      <w:r>
        <w:br/>
      </w:r>
      <w:r>
        <w:rPr>
          <w:rStyle w:val="VerbatimChar"/>
        </w:rPr>
        <w:t xml:space="preserve">#&gt;  P png              0.1-7      2013-12-03 [?]</w:t>
      </w:r>
      <w:r>
        <w:br/>
      </w:r>
      <w:r>
        <w:rPr>
          <w:rStyle w:val="VerbatimChar"/>
        </w:rPr>
        <w:t xml:space="preserve">#&gt;  P polyclip         1.10-0     2019-03-14 [?]</w:t>
      </w:r>
      <w:r>
        <w:br/>
      </w:r>
      <w:r>
        <w:rPr>
          <w:rStyle w:val="VerbatimChar"/>
        </w:rPr>
        <w:t xml:space="preserve">#&gt;  P prettyunits      1.1.1      2020-01-24 [?]</w:t>
      </w:r>
      <w:r>
        <w:br/>
      </w:r>
      <w:r>
        <w:rPr>
          <w:rStyle w:val="VerbatimChar"/>
        </w:rPr>
        <w:t xml:space="preserve">#&gt;  P processx         3.4.5      2020-11-30 [?]</w:t>
      </w:r>
      <w:r>
        <w:br/>
      </w:r>
      <w:r>
        <w:rPr>
          <w:rStyle w:val="VerbatimChar"/>
        </w:rPr>
        <w:t xml:space="preserve">#&gt;  P ps               1.5.0      2020-12-05 [?]</w:t>
      </w:r>
      <w:r>
        <w:br/>
      </w:r>
      <w:r>
        <w:rPr>
          <w:rStyle w:val="VerbatimChar"/>
        </w:rPr>
        <w:t xml:space="preserve">#&gt;  P psych          * 2.0.12     2020-12-16 [?]</w:t>
      </w:r>
      <w:r>
        <w:br/>
      </w:r>
      <w:r>
        <w:rPr>
          <w:rStyle w:val="VerbatimChar"/>
        </w:rPr>
        <w:t xml:space="preserve">#&gt;  P purrr          * 0.3.4      2020-04-17 [?]</w:t>
      </w:r>
      <w:r>
        <w:br/>
      </w:r>
      <w:r>
        <w:rPr>
          <w:rStyle w:val="VerbatimChar"/>
        </w:rPr>
        <w:t xml:space="preserve">#&gt;  P quantreg         5.82       2021-01-10 [?]</w:t>
      </w:r>
      <w:r>
        <w:br/>
      </w:r>
      <w:r>
        <w:rPr>
          <w:rStyle w:val="VerbatimChar"/>
        </w:rPr>
        <w:t xml:space="preserve">#&gt;  P R6               2.5.0      2020-10-28 [?]</w:t>
      </w:r>
      <w:r>
        <w:br/>
      </w:r>
      <w:r>
        <w:rPr>
          <w:rStyle w:val="VerbatimChar"/>
        </w:rPr>
        <w:t xml:space="preserve">#&gt;  P rbibutils        2.0        2020-11-18 [?]</w:t>
      </w:r>
      <w:r>
        <w:br/>
      </w:r>
      <w:r>
        <w:rPr>
          <w:rStyle w:val="VerbatimChar"/>
        </w:rPr>
        <w:t xml:space="preserve">#&gt;  P Rcpp             1.0.6      2021-01-15 [?]</w:t>
      </w:r>
      <w:r>
        <w:br/>
      </w:r>
      <w:r>
        <w:rPr>
          <w:rStyle w:val="VerbatimChar"/>
        </w:rPr>
        <w:t xml:space="preserve">#&gt;  P Rdpack           2.1        2020-11-09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2.2.0      2020-07-21 [?]</w:t>
      </w:r>
      <w:r>
        <w:br/>
      </w:r>
      <w:r>
        <w:rPr>
          <w:rStyle w:val="VerbatimChar"/>
        </w:rPr>
        <w:t xml:space="preserve">#&gt;  P reprex           0.3.0      2019-05-16 [?]</w:t>
      </w:r>
      <w:r>
        <w:br/>
      </w:r>
      <w:r>
        <w:rPr>
          <w:rStyle w:val="VerbatimChar"/>
        </w:rPr>
        <w:t xml:space="preserve">#&gt;  P reshape2         1.4.4      2020-04-09 [?]</w:t>
      </w:r>
      <w:r>
        <w:br/>
      </w:r>
      <w:r>
        <w:rPr>
          <w:rStyle w:val="VerbatimChar"/>
        </w:rPr>
        <w:t xml:space="preserve">#&gt;  P RgoogleMaps      1.4.5.3    2020-02-12 [?]</w:t>
      </w:r>
      <w:r>
        <w:br/>
      </w:r>
      <w:r>
        <w:rPr>
          <w:rStyle w:val="VerbatimChar"/>
        </w:rPr>
        <w:t xml:space="preserve">#&gt;  P rjson            0.2.20     2018-06-08 [?]</w:t>
      </w:r>
      <w:r>
        <w:br/>
      </w:r>
      <w:r>
        <w:rPr>
          <w:rStyle w:val="VerbatimChar"/>
        </w:rPr>
        <w:t xml:space="preserve">#&gt;  P rlang            0.4.10     2020-12-30 [?]</w:t>
      </w:r>
      <w:r>
        <w:br/>
      </w:r>
      <w:r>
        <w:rPr>
          <w:rStyle w:val="VerbatimChar"/>
        </w:rPr>
        <w:t xml:space="preserve">#&gt;  P rle              0.9.2      2020-09-25 [?]</w:t>
      </w:r>
      <w:r>
        <w:br/>
      </w:r>
      <w:r>
        <w:rPr>
          <w:rStyle w:val="VerbatimChar"/>
        </w:rPr>
        <w:t xml:space="preserve">#&gt;  P rmarkdown        2.6        2020-12-14 [?]</w:t>
      </w:r>
      <w:r>
        <w:br/>
      </w:r>
      <w:r>
        <w:rPr>
          <w:rStyle w:val="VerbatimChar"/>
        </w:rPr>
        <w:t xml:space="preserve">#&gt;  P robustbase       0.93-7     2021-01-04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0.3.6      2020-07-25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sf             * 0.9-6      2020-09-13 [?]</w:t>
      </w:r>
      <w:r>
        <w:br/>
      </w:r>
      <w:r>
        <w:rPr>
          <w:rStyle w:val="VerbatimChar"/>
        </w:rPr>
        <w:t xml:space="preserve">#&gt;  P sna            * 2.6        2020-10-06 [?]</w:t>
      </w:r>
      <w:r>
        <w:br/>
      </w:r>
      <w:r>
        <w:rPr>
          <w:rStyle w:val="VerbatimChar"/>
        </w:rPr>
        <w:t xml:space="preserve">#&gt;  P snakecase        0.11.0     2019-05-25 [?]</w:t>
      </w:r>
      <w:r>
        <w:br/>
      </w:r>
      <w:r>
        <w:rPr>
          <w:rStyle w:val="VerbatimChar"/>
        </w:rPr>
        <w:t xml:space="preserve">#&gt;  P snowboot       * 1.0.2      2020-04-25 [?]</w:t>
      </w:r>
      <w:r>
        <w:br/>
      </w:r>
      <w:r>
        <w:rPr>
          <w:rStyle w:val="VerbatimChar"/>
        </w:rPr>
        <w:t xml:space="preserve">#&gt;  P sp               1.4-5      2021-01-10 [?]</w:t>
      </w:r>
      <w:r>
        <w:br/>
      </w:r>
      <w:r>
        <w:rPr>
          <w:rStyle w:val="VerbatimChar"/>
        </w:rPr>
        <w:t xml:space="preserve">#&gt;  P spam             2.6-0      2020-12-14 [?]</w:t>
      </w:r>
      <w:r>
        <w:br/>
      </w:r>
      <w:r>
        <w:rPr>
          <w:rStyle w:val="VerbatimChar"/>
        </w:rPr>
        <w:t xml:space="preserve">#&gt;  P SparseM          1.78       2019-12-13 [?]</w:t>
      </w:r>
      <w:r>
        <w:br/>
      </w:r>
      <w:r>
        <w:rPr>
          <w:rStyle w:val="VerbatimChar"/>
        </w:rPr>
        <w:t xml:space="preserve">#&gt;  P statnet        * 2019.6     2019-06-14 [?]</w:t>
      </w:r>
      <w:r>
        <w:br/>
      </w:r>
      <w:r>
        <w:rPr>
          <w:rStyle w:val="VerbatimChar"/>
        </w:rPr>
        <w:t xml:space="preserve">#&gt;  P statnet.common * 4.4.1      2020-10-03 [?]</w:t>
      </w:r>
      <w:r>
        <w:br/>
      </w:r>
      <w:r>
        <w:rPr>
          <w:rStyle w:val="VerbatimChar"/>
        </w:rPr>
        <w:t xml:space="preserve">#&gt;  P stringi          1.5.3      2020-09-09 [?]</w:t>
      </w:r>
      <w:r>
        <w:br/>
      </w:r>
      <w:r>
        <w:rPr>
          <w:rStyle w:val="VerbatimChar"/>
        </w:rPr>
        <w:t xml:space="preserve">#&gt;  P stringr        * 1.4.0      2019-02-10 [?]</w:t>
      </w:r>
      <w:r>
        <w:br/>
      </w:r>
      <w:r>
        <w:rPr>
          <w:rStyle w:val="VerbatimChar"/>
        </w:rPr>
        <w:t xml:space="preserve">#&gt;  P systemfonts      0.3.2      2020-09-29 [?]</w:t>
      </w:r>
      <w:r>
        <w:br/>
      </w:r>
      <w:r>
        <w:rPr>
          <w:rStyle w:val="VerbatimChar"/>
        </w:rPr>
        <w:t xml:space="preserve">#&gt;  P tergm          * 3.7.0      2020-10-15 [?]</w:t>
      </w:r>
      <w:r>
        <w:br/>
      </w:r>
      <w:r>
        <w:rPr>
          <w:rStyle w:val="VerbatimChar"/>
        </w:rPr>
        <w:t xml:space="preserve">#&gt;  P testthat         3.0.1      2020-12-17 [?]</w:t>
      </w:r>
      <w:r>
        <w:br/>
      </w:r>
      <w:r>
        <w:rPr>
          <w:rStyle w:val="VerbatimChar"/>
        </w:rPr>
        <w:t xml:space="preserve">#&gt;  P tibble         * 3.0.5      2021-01-15 [?]</w:t>
      </w:r>
      <w:r>
        <w:br/>
      </w:r>
      <w:r>
        <w:rPr>
          <w:rStyle w:val="VerbatimChar"/>
        </w:rPr>
        <w:t xml:space="preserve">#&gt;  P tidygraph      * 1.2.0      2020-05-12 [?]</w:t>
      </w:r>
      <w:r>
        <w:br/>
      </w:r>
      <w:r>
        <w:rPr>
          <w:rStyle w:val="VerbatimChar"/>
        </w:rPr>
        <w:t xml:space="preserve">#&gt;  P tidyr          * 1.1.2      2020-08-27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tmvnsim          1.0-2      2016-12-15 [?]</w:t>
      </w:r>
      <w:r>
        <w:br/>
      </w:r>
      <w:r>
        <w:rPr>
          <w:rStyle w:val="VerbatimChar"/>
        </w:rPr>
        <w:t xml:space="preserve">#&gt;  P trust            0.1-8      2020-01-10 [?]</w:t>
      </w:r>
      <w:r>
        <w:br/>
      </w:r>
      <w:r>
        <w:rPr>
          <w:rStyle w:val="VerbatimChar"/>
        </w:rPr>
        <w:t xml:space="preserve">#&gt;  P tsna           * 0.3.1      2020-01-20 [?]</w:t>
      </w:r>
      <w:r>
        <w:br/>
      </w:r>
      <w:r>
        <w:rPr>
          <w:rStyle w:val="VerbatimChar"/>
        </w:rPr>
        <w:t xml:space="preserve">#&gt;  P tweenr           1.0.1      2018-12-14 [?]</w:t>
      </w:r>
      <w:r>
        <w:br/>
      </w:r>
      <w:r>
        <w:rPr>
          <w:rStyle w:val="VerbatimChar"/>
        </w:rPr>
        <w:t xml:space="preserve">#&gt;  P units            0.6-7      2020-06-13 [?]</w:t>
      </w:r>
      <w:r>
        <w:br/>
      </w:r>
      <w:r>
        <w:rPr>
          <w:rStyle w:val="VerbatimChar"/>
        </w:rPr>
        <w:t xml:space="preserve">#&gt;  P usethis          2.0.0      2020-12-10 [?]</w:t>
      </w:r>
      <w:r>
        <w:br/>
      </w:r>
      <w:r>
        <w:rPr>
          <w:rStyle w:val="VerbatimChar"/>
        </w:rPr>
        <w:t xml:space="preserve">#&gt;  P uuid             0.1-4      2020-02-26 [?]</w:t>
      </w:r>
      <w:r>
        <w:br/>
      </w:r>
      <w:r>
        <w:rPr>
          <w:rStyle w:val="VerbatimChar"/>
        </w:rPr>
        <w:t xml:space="preserve">#&gt;  P vctrs            0.3.6      2020-12-17 [?]</w:t>
      </w:r>
      <w:r>
        <w:br/>
      </w:r>
      <w:r>
        <w:rPr>
          <w:rStyle w:val="VerbatimChar"/>
        </w:rPr>
        <w:t xml:space="preserve">#&gt;  P viridis          0.5.1      2018-03-29 [?]</w:t>
      </w:r>
      <w:r>
        <w:br/>
      </w:r>
      <w:r>
        <w:rPr>
          <w:rStyle w:val="VerbatimChar"/>
        </w:rPr>
        <w:t xml:space="preserve">#&gt;  P viridisLite      0.3.0      2018-02-01 [?]</w:t>
      </w:r>
      <w:r>
        <w:br/>
      </w:r>
      <w:r>
        <w:rPr>
          <w:rStyle w:val="VerbatimChar"/>
        </w:rPr>
        <w:t xml:space="preserve">#&gt;  P withr            2.4.0      2021-01-16 [?]</w:t>
      </w:r>
      <w:r>
        <w:br/>
      </w:r>
      <w:r>
        <w:rPr>
          <w:rStyle w:val="VerbatimChar"/>
        </w:rPr>
        <w:t xml:space="preserve">#&gt;  P xfun             0.20       2021-01-06 [?]</w:t>
      </w:r>
      <w:r>
        <w:br/>
      </w:r>
      <w:r>
        <w:rPr>
          <w:rStyle w:val="VerbatimChar"/>
        </w:rPr>
        <w:t xml:space="preserve">#&gt;  P xml2             1.3.2      2020-04-23 [?]</w:t>
      </w:r>
      <w:r>
        <w:br/>
      </w:r>
      <w:r>
        <w:rPr>
          <w:rStyle w:val="VerbatimChar"/>
        </w:rPr>
        <w:t xml:space="preserve">#&gt;  P yaml             2.2.1      2020-02-01 [?]</w:t>
      </w:r>
      <w:r>
        <w:br/>
      </w:r>
      <w:r>
        <w:rPr>
          <w:rStyle w:val="VerbatimChar"/>
        </w:rPr>
        <w:t xml:space="preserve">#&gt;  P zip              2.1.1      2020-08-27 [?]</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4.0.3)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4.0.1)                      </w:t>
      </w:r>
      <w:r>
        <w:br/>
      </w:r>
      <w:r>
        <w:rPr>
          <w:rStyle w:val="VerbatimChar"/>
        </w:rPr>
        <w:t xml:space="preserve">#&gt;  CRAN (R 4.0.0)                      </w:t>
      </w:r>
      <w:r>
        <w:br/>
      </w:r>
      <w:r>
        <w:rPr>
          <w:rStyle w:val="VerbatimChar"/>
        </w:rPr>
        <w:t xml:space="preserve">#&gt;  CRAN (R 4.0.2)                      </w:t>
      </w:r>
      <w:r>
        <w:br/>
      </w:r>
      <w:r>
        <w:rPr>
          <w:rStyle w:val="VerbatimChar"/>
        </w:rPr>
        <w:t xml:space="preserve">#&gt;  Github (nevrome/ggpointgrid@1dceed9)</w:t>
      </w:r>
      <w:r>
        <w:br/>
      </w:r>
      <w:r>
        <w:rPr>
          <w:rStyle w:val="VerbatimChar"/>
        </w:rPr>
        <w:t xml:space="preserve">#&gt;  CRAN (R 4.0.2)                      </w:t>
      </w:r>
      <w:r>
        <w:br/>
      </w:r>
      <w:r>
        <w:rPr>
          <w:rStyle w:val="VerbatimChar"/>
        </w:rPr>
        <w:t xml:space="preserve">#&gt;  Github (slowkow/ggrepel@54838c6)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4.0.1)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/Users/bmarwick/Desktop/kwl-burials/renv/library/R-4.0/x86_64-apple-darwin17.0</w:t>
      </w:r>
      <w:r>
        <w:br/>
      </w:r>
      <w:r>
        <w:rPr>
          <w:rStyle w:val="VerbatimChar"/>
        </w:rPr>
        <w:t xml:space="preserve">#&gt; [2] /private/var/folders/mz/6nn330m17_37ck5hhz2p24100000gn/T/RtmpSmhGHA/renv-system-library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[30915c5] 2021-02-25: revert to Liying's last commit</w:t>
      </w:r>
    </w:p>
    <w:p>
      <w:pPr>
        <w:pStyle w:val="FirstParagraph"/>
      </w:pPr>
      <w:r>
        <w:t xml:space="preserve">Word count: 2263</w:t>
      </w:r>
    </w:p>
    <w:bookmarkEnd w:id="119"/>
    <w:bookmarkEnd w:id="120"/>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90" Target="https://doi.org/10.1007/s10816-015-9272-9" TargetMode="External" /><Relationship Type="http://schemas.openxmlformats.org/officeDocument/2006/relationships/hyperlink" Id="rId101" Target="https://doi.org/10.1016/j.socnet.2020.11.005" TargetMode="External" /><Relationship Type="http://schemas.openxmlformats.org/officeDocument/2006/relationships/hyperlink" Id="rId32"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07/s10816-015-9272-9" TargetMode="External" /><Relationship Type="http://schemas.openxmlformats.org/officeDocument/2006/relationships/hyperlink" Id="rId101" Target="https://doi.org/10.1016/j.socnet.2020.11.005" TargetMode="External" /><Relationship Type="http://schemas.openxmlformats.org/officeDocument/2006/relationships/hyperlink" Id="rId32"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2021-02-25T09:50:35Z</dcterms:created>
  <dcterms:modified xsi:type="dcterms:W3CDTF">2021-02-25T09:50:35Z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to infer interactions and relationships between entities. Statistical approaches to network analysis, such as exponential random graph models (ERGMs), provide a way to test hypotheses on dynamic processes of network formation. However, the computational difficulty and sensitivity to uncertainties limits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in the process that led to the formation of the burial network, from ties based on ritual objects to wealth objects, and a more centralized structure with increased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25 February,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