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02</w:t>
      </w:r>
      <w:r>
        <w:t xml:space="preserve"> </w:t>
      </w:r>
      <w:r>
        <w:t xml:space="preserve">March,</w:t>
      </w:r>
      <w:r>
        <w:t xml:space="preserve"> </w:t>
      </w:r>
      <w:r>
        <w:t xml:space="preserve">2021</w:t>
      </w:r>
    </w:p>
    <w:p>
      <w:pPr>
        <w:pStyle w:val="FirstParagraph"/>
      </w:pPr>
      <w:r>
        <w:t xml:space="preserve">This supplementary document contains:</w:t>
      </w:r>
    </w:p>
    <w:p>
      <w:pPr>
        <w:numPr>
          <w:ilvl w:val="0"/>
          <w:numId w:val="1001"/>
        </w:numPr>
        <w:pStyle w:val="Compact"/>
      </w:pPr>
      <w:r>
        <w:t xml:space="preserve">further historical background of 17th century northeastern Taiwan in a pericolonial context</w:t>
      </w:r>
    </w:p>
    <w:p>
      <w:pPr>
        <w:numPr>
          <w:ilvl w:val="0"/>
          <w:numId w:val="1001"/>
        </w:numPr>
        <w:pStyle w:val="Compact"/>
      </w:pPr>
      <w:r>
        <w:t xml:space="preserve">further review of network analysis and archaeological applications relevant to this study</w:t>
      </w:r>
    </w:p>
    <w:p>
      <w:pPr>
        <w:numPr>
          <w:ilvl w:val="0"/>
          <w:numId w:val="1001"/>
        </w:numPr>
        <w:pStyle w:val="Compact"/>
      </w:pPr>
      <w:r>
        <w:t xml:space="preserve">further definitions of our approach to tie formation and node attributes from Kiwulan burials</w:t>
      </w:r>
    </w:p>
    <w:p>
      <w:pPr>
        <w:numPr>
          <w:ilvl w:val="0"/>
          <w:numId w:val="1001"/>
        </w:numPr>
        <w:pStyle w:val="Compact"/>
      </w:pPr>
      <w:r>
        <w:t xml:space="preserve">further details on our methods of modeling fitting, and</w:t>
      </w:r>
    </w:p>
    <w:p>
      <w:pPr>
        <w:numPr>
          <w:ilvl w:val="0"/>
          <w:numId w:val="1001"/>
        </w:numPr>
        <w:pStyle w:val="Compact"/>
      </w:pPr>
      <w:r>
        <w:t xml:space="preserve">assessment of our MCMC output and Goodness-of-fit diagnostics for our models</w:t>
      </w:r>
    </w:p>
    <w:bookmarkStart w:id="27" w:name="X84dd2413bea86cd93cad076d9f8ecff9a375832"/>
    <w:p>
      <w:pPr>
        <w:pStyle w:val="Heading1"/>
      </w:pPr>
      <w:r>
        <w:t xml:space="preserve">Kiwulan in the 17th northeastern Taiwan in a pericolonial context</w:t>
      </w:r>
    </w:p>
    <w:p>
      <w:pPr>
        <w:pStyle w:val="FirstParagraph"/>
      </w:pPr>
      <w:r>
        <w:t xml:space="preserve">The involvement in long-distance exchange is often associated with changes in political-economic strategies from a corporate mode to a network mode, where ambitious individuals are able to build their local power base and personal influence through the acquisition and distribution of foreign prestige goods</w:t>
      </w:r>
      <w:r>
        <w:t xml:space="preserve"> </w:t>
      </w:r>
      <w:r>
        <w:t xml:space="preserve">(Blanton et al., 1996; Feinman, 2000; Klehm, 2017)</w:t>
      </w:r>
      <w:r>
        <w:t xml:space="preserve">. Northeastern Taiwan became more involved in regional exchange with East Asia since the 14th century and long-distance trade with Southeast Asia brought by Europeans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The Dutch asked local settlements to pay deer hides or rice as annual tributes but negotiating a delayed payment is allowed if it is needed</w:t>
      </w:r>
      <w:r>
        <w:t xml:space="preserve"> </w:t>
      </w:r>
      <w:r>
        <w:t xml:space="preserve">(Borao, 2009; Kang, 2016)</w:t>
      </w:r>
      <w:r>
        <w:t xml:space="preserve">. In the annual event held by the Dutch with participants of local Indigenous representatives</w:t>
      </w:r>
      <w:r>
        <w:t xml:space="preserve"> </w:t>
      </w:r>
      <w:r>
        <w:t xml:space="preserve">(Andrade, 1997)</w:t>
      </w:r>
      <w:r>
        <w:t xml:space="preserve">, the Dutch would give those representatives symbolic items such as rattan sticks or foreign goods to assert their political authority and consolidate their relationship with Indigenous settlements. The introduction of foreign prestige goods to local Indigenous communities might have occurred before European presence became established, but was maintained and amplified after European arrival due to local competition for power</w:t>
      </w:r>
      <w:r>
        <w:t xml:space="preserve"> </w:t>
      </w:r>
      <w:r>
        <w:t xml:space="preserve">(Borao, 2009; Li and Wu, 2006; Ueda et al., 2016; Wang and Marwick, 2020)</w:t>
      </w:r>
      <w:r>
        <w:t xml:space="preserve">.</w:t>
      </w:r>
    </w:p>
    <w:bookmarkStart w:id="20" w:name="Xe5dabc2c546328d6392eb8498e629ef28520a31"/>
    <w:p>
      <w:pPr>
        <w:pStyle w:val="Heading2"/>
      </w:pPr>
      <w:r>
        <w:t xml:space="preserve">Review of network analysis and archaeological applications</w:t>
      </w:r>
    </w:p>
    <w:p>
      <w:pPr>
        <w:pStyle w:val="FirstParagraph"/>
      </w:pPr>
      <w:r>
        <w:t xml:space="preserve">Drawing largely on network science and graph theory, a key assumption in the construction of archaeological networks is that a phenomenon can be conceptualized as a network through abstraction and representation</w:t>
      </w:r>
      <w:r>
        <w:t xml:space="preserve"> </w:t>
      </w:r>
      <w:r>
        <w:t xml:space="preserve">(Brandes et al., 2013; Collar et al., 2015; Mills, 2017; Peeples, 2019)</w:t>
      </w:r>
      <w:r>
        <w:t xml:space="preserve">. 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 objects or elements, such as the flow of goods, to represent their interactions</w:t>
      </w:r>
      <w:r>
        <w:t xml:space="preserve"> </w:t>
      </w:r>
      <w:r>
        <w:t xml:space="preserve">(Collar et al., 2015, p. 4)</w:t>
      </w:r>
      <w:r>
        <w:t xml:space="preserve">. This concept can be applied to burial contexts where each burial is an actor linked by similar elements, such as burial goods.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node properties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w:t>
      </w:r>
    </w:p>
    <w:p>
      <w:pPr>
        <w:pStyle w:val="BodyText"/>
      </w:pPr>
      <w:r>
        <w:t xml:space="preserve">Examples include exploring the political centralization in the Kofun period in Japan through the hierarchical communication network constructed by prestige goods</w:t>
      </w:r>
      <w:r>
        <w:t xml:space="preserve"> </w:t>
      </w:r>
      <w:r>
        <w:t xml:space="preserve">(Mizoguchi, 2013)</w:t>
      </w:r>
      <w:r>
        <w:t xml:space="preserve">, and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patterns of burials from the Early Bronze Age in Rebesovice with two hypothesized networks constructed according to cultural and chronological similarity between burials. Recently, complex network modeling has been used to evaluate networks at both node and graph level through simulations of particular processes and statistically tests of the formation of network properties</w:t>
      </w:r>
      <w:r>
        <w:t xml:space="preserve"> </w:t>
      </w:r>
      <w:r>
        <w:t xml:space="preserve">(Brughmans, 2013; Brughmans and Peeples, 2018; Freeman, 2004; Salvini, 2010)</w:t>
      </w:r>
      <w:r>
        <w:t xml:space="preserve">. Such applications include simulations and testing of food exchange modes for Ancestral Pueblos on the aggregation of households in the American Southwest</w:t>
      </w:r>
      <w:r>
        <w:t xml:space="preserve"> </w:t>
      </w:r>
      <w:r>
        <w:t xml:space="preserve">(Crabtree, 2015)</w:t>
      </w:r>
      <w:r>
        <w:t xml:space="preserve">, and exploring the diffusion of fired bricks across Hellenistic Europe by comparing similarity networks of sites with random networks</w:t>
      </w:r>
      <w:r>
        <w:t xml:space="preserve"> </w:t>
      </w:r>
      <w:r>
        <w:t xml:space="preserve">(Östborn and Gerding, 2015)</w:t>
      </w:r>
      <w:r>
        <w:t xml:space="preserve">. Another example is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have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w:t>
      </w:r>
    </w:p>
    <w:p>
      <w:pPr>
        <w:pStyle w:val="BodyText"/>
      </w:pPr>
      <w:r>
        <w:t xml:space="preserve">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bookmarkEnd w:id="20"/>
    <w:bookmarkStart w:id="22" w:name="X4718d8214e4fbda722274a55a78fe0f79065afd"/>
    <w:p>
      <w:pPr>
        <w:pStyle w:val="Heading2"/>
      </w:pPr>
      <w:r>
        <w:t xml:space="preserve">Tie formation and node attributes from Kiwulan burials</w:t>
      </w:r>
    </w:p>
    <w:p>
      <w:pPr>
        <w:pStyle w:val="FirstParagraph"/>
      </w:pPr>
      <w:r>
        <w:t xml:space="preserve">For trade beads with substantial differences in quantities between burials, we described each burial as having one of four levels according to their distributions across all burials (Figure</w:t>
      </w:r>
      <w:r>
        <w:t xml:space="preserve"> </w:t>
      </w:r>
      <w:r>
        <w:t xml:space="preserve">1</w:t>
      </w:r>
      <w:r>
        <w:t xml:space="preserve">).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agate beads, then there will be a tie connecting them. For burial attributes, we assigned burials to different groups according to their age, sex, burial value and the presence/absence of ritual pottery. We have three groups for the age attribute, 0-12, 12-20, and above 20; two groups for the sex attribute, male and female; and four groups for the burial value that are specified in the main paper document. Table</w:t>
      </w:r>
      <w:r>
        <w:t xml:space="preserve"> </w:t>
      </w:r>
      <w:r>
        <w:t xml:space="preserve">1</w:t>
      </w:r>
      <w:r>
        <w:t xml:space="preserve"> </w:t>
      </w:r>
      <w:r>
        <w:t xml:space="preserve">shows the number of burials, of which sex and age can be determined.</w:t>
      </w:r>
    </w:p>
    <w:p>
      <w:pPr>
        <w:pStyle w:val="BodyText"/>
      </w:pPr>
      <w:r>
        <w:t xml:space="preserve">Table 1: The number of burials with identification of age and sex at Kiwulan. The unknown means no sufficient skeletal remains for determination of age or 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152"/>
        <w:gridCol w:w="1152"/>
        <w:gridCol w:w="1152"/>
        <w:gridCol w:w="1152"/>
        <w:gridCol w:w="1152"/>
        <w:gridCol w:w="1152"/>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w:t>
            </w:r>
          </w:p>
        </w:tc>
      </w:tr>
    </w:tbl>
    <w:p>
      <w:pPr>
        <w:pStyle w:val="CaptionedFigure"/>
      </w:pPr>
      <w:r>
        <w:drawing>
          <wp:inline>
            <wp:extent cx="5943600" cy="3962400"/>
            <wp:effectExtent b="0" l="0" r="0" t="0"/>
            <wp:docPr descr="Figure 1: The distributions of different types of trade beads across burials analyzed in this paper." title="" id="1" name="Picture"/>
            <a:graphic>
              <a:graphicData uri="http://schemas.openxmlformats.org/drawingml/2006/picture">
                <pic:pic>
                  <pic:nvPicPr>
                    <pic:cNvPr descr="/Users/EmilyWang/Desktop/School%20document/LW-Papers/kwl-burials-2020/analysis/figures/000-raincloud-beads.png" id="0" name="Picture"/>
                    <pic:cNvPicPr>
                      <a:picLocks noChangeArrowheads="1" noChangeAspect="1"/>
                    </pic:cNvPicPr>
                  </pic:nvPicPr>
                  <pic:blipFill>
                    <a:blip r:embed="rId2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1: The distributions of different types of trade beads across burials analyzed in this paper.</w:t>
      </w:r>
    </w:p>
    <w:bookmarkEnd w:id="22"/>
    <w:bookmarkStart w:id="23" w:name="Xc8a38e97a3bfa74ec04c0ecb74423b351fc3aae"/>
    <w:p>
      <w:pPr>
        <w:pStyle w:val="Heading2"/>
      </w:pPr>
      <w:r>
        <w:t xml:space="preserve">Further details on methods of modeling fitting</w:t>
      </w:r>
    </w:p>
    <w:p>
      <w:pPr>
        <w:pStyle w:val="FirstParagraph"/>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the approximate exchange algorithm</w:t>
      </w:r>
      <w:r>
        <w:t xml:space="preserve"> </w:t>
      </w:r>
      <w:r>
        <w:t xml:space="preserve">(Caimo and Friel, 2011)</w:t>
      </w:r>
      <w:r>
        <w:t xml:space="preserve">.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pairs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bookmarkEnd w:id="23"/>
    <w:bookmarkStart w:id="26" w:name="X3bca82b5426ddf456d3c7a16b63e7774bbf8d4f"/>
    <w:p>
      <w:pPr>
        <w:pStyle w:val="Heading2"/>
      </w:pPr>
      <w:r>
        <w:t xml:space="preserve">Assessment of MCMC output and Goodness-of-fit diagnostics for our models</w:t>
      </w:r>
    </w:p>
    <w:p>
      <w:pPr>
        <w:pStyle w:val="FirstParagraph"/>
      </w:pPr>
      <w:r>
        <w:t xml:space="preserve">As an informal way to diagnose model convergence, we first evaluated three diagnostic visual summaries of our MCMC output, including density plots, trace plots, and autocorrelation plots for both models (Figure</w:t>
      </w:r>
      <w:r>
        <w:t xml:space="preserve"> </w:t>
      </w:r>
      <w:r>
        <w:t xml:space="preserve">2</w:t>
      </w:r>
      <w:r>
        <w:t xml:space="preserve"> </w:t>
      </w:r>
      <w:r>
        <w:t xml:space="preserve">and Figure</w:t>
      </w:r>
      <w:r>
        <w:t xml:space="preserve"> </w:t>
      </w:r>
      <w:r>
        <w:t xml:space="preserve">3</w:t>
      </w:r>
      <w:r>
        <w:t xml:space="preserve">)</w:t>
      </w:r>
      <w:r>
        <w:t xml:space="preserve"> </w:t>
      </w:r>
      <w:r>
        <w:t xml:space="preserve">(Hamra et al., 2013)</w:t>
      </w:r>
      <w:r>
        <w:t xml:space="preserve">. In general, models with informative priors have a better convergence of the MCMC. We can see that the diagnostic plots show stationary distributions and a trend of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w:t>
      </w:r>
      <w:r>
        <w:t xml:space="preserve"> </w:t>
      </w:r>
      <m:oMath>
        <m:sSup>
          <m:e>
            <m:r>
              <m:t>10</m:t>
            </m:r>
          </m:e>
          <m:sup>
            <m:r>
              <m:t>4</m:t>
            </m:r>
          </m:sup>
        </m:sSup>
      </m:oMath>
      <w:r>
        <w:t xml:space="preserve"> </w:t>
      </w:r>
      <w:r>
        <w:t xml:space="preserve">network graphs simulated from the estimated posterior distribution in ERGMs.</w:t>
      </w:r>
    </w:p>
    <w:p>
      <w:pPr>
        <w:pStyle w:val="BodyText"/>
      </w:pPr>
      <w:r>
        <w:t xml:space="preserve">Our Bayesian GOF diagnostics, shown in the main text,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an increased social inequality after the foreign contact. In addition, the covariates can give some more clues for the underlying mechanisms for the formations of each network, such as the relative importance of age and sex.</w:t>
      </w:r>
    </w:p>
    <w:p>
      <w:pPr>
        <w:pStyle w:val="CaptionedFigure"/>
      </w:pPr>
      <w:r>
        <w:drawing>
          <wp:inline>
            <wp:extent cx="5943600" cy="7132320"/>
            <wp:effectExtent b="0" l="0" r="0" t="0"/>
            <wp:docPr descr="Figure 2: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3: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MCMC output of the post-European model. In the order of edges, nodematch-age, nodematch-sex, nodematch-ritual, nodematch-value, gwesp, gwdeg, and dyadcov.distance.</w:t>
      </w:r>
    </w:p>
    <w:bookmarkEnd w:id="26"/>
    <w:bookmarkEnd w:id="27"/>
    <w:bookmarkStart w:id="69" w:name="references"/>
    <w:p>
      <w:pPr>
        <w:pStyle w:val="Heading1"/>
      </w:pPr>
      <w:r>
        <w:t xml:space="preserve">References</w:t>
      </w:r>
    </w:p>
    <w:bookmarkStart w:id="66" w:name="refs"/>
    <w:bookmarkStart w:id="28"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28"/>
    <w:bookmarkStart w:id="29" w:name="ref-Andrade1997"/>
    <w:p>
      <w:pPr>
        <w:pStyle w:val="Bibliography"/>
      </w:pPr>
      <w:r>
        <w:t xml:space="preserve">Andrade, T., 1997. Political spectacle and colonial rule: The landdag on dutch</w:t>
      </w:r>
      <w:r>
        <w:t xml:space="preserve"> </w:t>
      </w:r>
      <w:r>
        <w:t xml:space="preserve">Taiwan</w:t>
      </w:r>
      <w:r>
        <w:t xml:space="preserve">, 1629-1648. Itinerario 21, 57–93.</w:t>
      </w:r>
    </w:p>
    <w:bookmarkEnd w:id="29"/>
    <w:bookmarkStart w:id="30"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30"/>
    <w:bookmarkStart w:id="31"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31"/>
    <w:bookmarkStart w:id="32" w:name="ref-Borgatti2009"/>
    <w:p>
      <w:pPr>
        <w:pStyle w:val="Bibliography"/>
      </w:pPr>
      <w:r>
        <w:t xml:space="preserve">Borgatti, S.P., Mehra, A., Brass, D.J., Labianca, G., 2009. Network analysis in the social sciences. science 323, 892–895.</w:t>
      </w:r>
    </w:p>
    <w:bookmarkEnd w:id="32"/>
    <w:bookmarkStart w:id="33" w:name="ref-Brandes2013"/>
    <w:p>
      <w:pPr>
        <w:pStyle w:val="Bibliography"/>
      </w:pPr>
      <w:r>
        <w:t xml:space="preserve">Brandes, U., Robins, G., McCranie, A., Wasserman, S., 2013. What is network science? Network science 1, 1–15.</w:t>
      </w:r>
    </w:p>
    <w:bookmarkEnd w:id="33"/>
    <w:bookmarkStart w:id="34" w:name="ref-Brughmans2013"/>
    <w:p>
      <w:pPr>
        <w:pStyle w:val="Bibliography"/>
      </w:pPr>
      <w:r>
        <w:t xml:space="preserve">Brughmans, T., 2013. Thinking through networks: A review of formal network methods in archaeology. Journal of Archaeological Method and Theory 20, 623–662.</w:t>
      </w:r>
    </w:p>
    <w:bookmarkEnd w:id="34"/>
    <w:bookmarkStart w:id="35" w:name="ref-Brughmans2018"/>
    <w:p>
      <w:pPr>
        <w:pStyle w:val="Bibliography"/>
      </w:pPr>
      <w:r>
        <w:t xml:space="preserve">Brughmans, T., Peeples, M.A., 2018. Network science. The Encyclopedia of Archaeological Sciences 1–4.</w:t>
      </w:r>
    </w:p>
    <w:bookmarkEnd w:id="35"/>
    <w:bookmarkStart w:id="36" w:name="ref-Caimo2011"/>
    <w:p>
      <w:pPr>
        <w:pStyle w:val="Bibliography"/>
      </w:pPr>
      <w:r>
        <w:t xml:space="preserve">Caimo, A., Friel, N., 2011. Bayesian inference for exponential random graph models. Social Networks 33, 41–55.</w:t>
      </w:r>
    </w:p>
    <w:bookmarkEnd w:id="36"/>
    <w:bookmarkStart w:id="37" w:name="ref-Caimo2017"/>
    <w:p>
      <w:pPr>
        <w:pStyle w:val="Bibliography"/>
      </w:pPr>
      <w:r>
        <w:t xml:space="preserve">Caimo, A., Pallotti, F., Lomi, A., 2017. Bayesian exponential random graph modelling of interhospital patient referral networks. Statistics in medicine 36, 2902–2920.</w:t>
      </w:r>
    </w:p>
    <w:bookmarkEnd w:id="37"/>
    <w:bookmarkStart w:id="38"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38"/>
    <w:bookmarkStart w:id="39" w:name="ref-Collar2015"/>
    <w:p>
      <w:pPr>
        <w:pStyle w:val="Bibliography"/>
      </w:pPr>
      <w:r>
        <w:t xml:space="preserve">Collar, A., Coward, F., Brughmans, T., Mills, B.J., 2015. Networks in archaeology: Phenomena, abstraction, representation. Journal of Archaeological Method and Theory 22, 1–32.</w:t>
      </w:r>
    </w:p>
    <w:bookmarkEnd w:id="39"/>
    <w:bookmarkStart w:id="40"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40"/>
    <w:bookmarkStart w:id="41"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41"/>
    <w:bookmarkStart w:id="42"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42"/>
    <w:bookmarkStart w:id="43" w:name="ref-Freeman2004"/>
    <w:p>
      <w:pPr>
        <w:pStyle w:val="Bibliography"/>
      </w:pPr>
      <w:r>
        <w:t xml:space="preserve">Freeman, L., 2004. The development of social network analysis. A Study in the Sociology of Science.</w:t>
      </w:r>
    </w:p>
    <w:bookmarkEnd w:id="43"/>
    <w:bookmarkStart w:id="44"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44"/>
    <w:bookmarkStart w:id="45" w:name="ref-Gjesfjeld2015"/>
    <w:p>
      <w:pPr>
        <w:pStyle w:val="Bibliography"/>
      </w:pPr>
      <w:r>
        <w:t xml:space="preserve">Gjesfjeld, E., 2015. Network analysis of archaeological data from</w:t>
      </w:r>
      <w:r>
        <w:t xml:space="preserve"> </w:t>
      </w:r>
      <w:r>
        <w:t xml:space="preserve">Hunter</w:t>
      </w:r>
      <w:r>
        <w:t xml:space="preserve">-</w:t>
      </w:r>
      <w:r>
        <w:t xml:space="preserve">Gatherers</w:t>
      </w:r>
      <w:r>
        <w:t xml:space="preserve">: Methodological problems and potential solutions. Journal of Archaeological Method and Theory 22, 182–205.</w:t>
      </w:r>
    </w:p>
    <w:bookmarkEnd w:id="45"/>
    <w:bookmarkStart w:id="46" w:name="ref-Hamra2013"/>
    <w:p>
      <w:pPr>
        <w:pStyle w:val="Bibliography"/>
      </w:pPr>
      <w:r>
        <w:t xml:space="preserve">Hamra, G., MacLehose, R., Richardson, D., 2013.</w:t>
      </w:r>
      <w:r>
        <w:t xml:space="preserve"> </w:t>
      </w:r>
      <w:r>
        <w:t xml:space="preserve">Markov</w:t>
      </w:r>
      <w:r>
        <w:t xml:space="preserve"> </w:t>
      </w:r>
      <w:r>
        <w:t xml:space="preserve">chain</w:t>
      </w:r>
      <w:r>
        <w:t xml:space="preserve"> </w:t>
      </w:r>
      <w:r>
        <w:t xml:space="preserve">Monte Carlo</w:t>
      </w:r>
      <w:r>
        <w:t xml:space="preserve">: An introduction for epidemiologists. International journal of epidemiology 42, 627–634.</w:t>
      </w:r>
    </w:p>
    <w:bookmarkEnd w:id="46"/>
    <w:bookmarkStart w:id="47"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47"/>
    <w:bookmarkStart w:id="48"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48"/>
    <w:bookmarkStart w:id="49"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49"/>
    <w:bookmarkStart w:id="50"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50"/>
    <w:bookmarkStart w:id="51" w:name="ref-Marin2011"/>
    <w:p>
      <w:pPr>
        <w:pStyle w:val="Bibliography"/>
      </w:pPr>
      <w:r>
        <w:t xml:space="preserve">Marin, A., Wellman, B., 2011. Social network analysis: An introduction. The SAGE handbook of social network analysis 11.</w:t>
      </w:r>
    </w:p>
    <w:bookmarkEnd w:id="51"/>
    <w:bookmarkStart w:id="52" w:name="ref-Mills2017"/>
    <w:p>
      <w:pPr>
        <w:pStyle w:val="Bibliography"/>
      </w:pPr>
      <w:r>
        <w:t xml:space="preserve">Mills, B.J., 2017. Social network analysis in archaeology. Annual review of anthropology 46, 379–397.</w:t>
      </w:r>
    </w:p>
    <w:bookmarkEnd w:id="52"/>
    <w:bookmarkStart w:id="53"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3"/>
    <w:bookmarkStart w:id="54" w:name="ref-Morris2008"/>
    <w:p>
      <w:pPr>
        <w:pStyle w:val="Bibliography"/>
      </w:pPr>
      <w:r>
        <w:t xml:space="preserve">Morris, M., Handcock, M.S., Hunter, D.R., 2008. Specification of exponential-family random graph models: Terms and computational aspects. Journal of statistical software 24, 1548.</w:t>
      </w:r>
    </w:p>
    <w:bookmarkEnd w:id="54"/>
    <w:bookmarkStart w:id="55"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55"/>
    <w:bookmarkStart w:id="56" w:name="ref-Peeples2019"/>
    <w:p>
      <w:pPr>
        <w:pStyle w:val="Bibliography"/>
      </w:pPr>
      <w:r>
        <w:t xml:space="preserve">Peeples, M.A., 2019. Finding a place for networks in archaeology. Journal of Archaeological Research 27, 451–499.</w:t>
      </w:r>
    </w:p>
    <w:bookmarkEnd w:id="56"/>
    <w:bookmarkStart w:id="57" w:name="ref-Robins2007"/>
    <w:p>
      <w:pPr>
        <w:pStyle w:val="Bibliography"/>
      </w:pPr>
      <w:r>
        <w:t xml:space="preserve">Robins, G., Pattison, P., Kalish, Y., Lusher, D., 2007. An introduction to exponential random graph (p*) models for social networks. Social networks 29, 173–191.</w:t>
      </w:r>
    </w:p>
    <w:bookmarkEnd w:id="57"/>
    <w:bookmarkStart w:id="58" w:name="ref-Salvini2010"/>
    <w:p>
      <w:pPr>
        <w:pStyle w:val="Bibliography"/>
      </w:pPr>
      <w:r>
        <w:t xml:space="preserve">Salvini, A., 2010. Symbolic interactionism and social network analysis: An uncertain encounter. Symbolic Interaction 33, 364–388.</w:t>
      </w:r>
    </w:p>
    <w:bookmarkEnd w:id="58"/>
    <w:bookmarkStart w:id="59" w:name="ref-Snijders2011"/>
    <w:p>
      <w:pPr>
        <w:pStyle w:val="Bibliography"/>
      </w:pPr>
      <w:r>
        <w:t xml:space="preserve">Snijders, T.A., 2011. Statistical models for social networks. Annual Review of Sociology 37.</w:t>
      </w:r>
    </w:p>
    <w:bookmarkEnd w:id="59"/>
    <w:bookmarkStart w:id="60" w:name="ref-Snijders2006"/>
    <w:p>
      <w:pPr>
        <w:pStyle w:val="Bibliography"/>
      </w:pPr>
      <w:r>
        <w:t xml:space="preserve">Snijders, T.A., Pattison, P.E., Robins, G.L., Handcock, M.S., 2006. New specifications for exponential random graph models. Sociological methodology 36, 99–153.</w:t>
      </w:r>
    </w:p>
    <w:bookmarkEnd w:id="60"/>
    <w:bookmarkStart w:id="61" w:name="ref-Sosna2013"/>
    <w:p>
      <w:pPr>
        <w:pStyle w:val="Bibliography"/>
      </w:pPr>
      <w:r>
        <w:t xml:space="preserve">Sosna, D., Galeta, P., Šmejda, L., Sladek, V., Bruzek, J., 2013. Burials and graphs: Relational approach to mortuary analysis. Social Science Computer Review 31, 56–70.</w:t>
      </w:r>
    </w:p>
    <w:bookmarkEnd w:id="61"/>
    <w:bookmarkStart w:id="62"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89–119.</w:t>
      </w:r>
    </w:p>
    <w:bookmarkEnd w:id="62"/>
    <w:bookmarkStart w:id="63"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w:t>
      </w:r>
    </w:p>
    <w:bookmarkEnd w:id="63"/>
    <w:bookmarkStart w:id="64"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64"/>
    <w:bookmarkStart w:id="65" w:name="ref-Wasserman1994"/>
    <w:p>
      <w:pPr>
        <w:pStyle w:val="Bibliography"/>
      </w:pPr>
      <w:r>
        <w:t xml:space="preserve">Wasserman, S., Faust, K., others, 1994. Social network analysis: Methods and applications. Cambridge university press.</w:t>
      </w:r>
    </w:p>
    <w:bookmarkEnd w:id="65"/>
    <w:bookmarkEnd w:id="66"/>
    <w:bookmarkStart w:id="67" w:name="pagebreak"/>
    <w:p>
      <w:pPr>
        <w:pStyle w:val="Heading5"/>
      </w:pPr>
      <w:r>
        <w:rPr>
          <w:rStyle w:val="SectionNumber"/>
        </w:rPr>
        <w:t xml:space="preserve">0.0.0.0.1</w:t>
      </w:r>
      <w:r>
        <w:tab/>
      </w:r>
      <w:r>
        <w:t xml:space="preserve">pagebreak</w:t>
      </w:r>
    </w:p>
    <w:bookmarkEnd w:id="67"/>
    <w:bookmarkStart w:id="68" w:name="colophon"/>
    <w:p>
      <w:pPr>
        <w:pStyle w:val="Heading3"/>
      </w:pPr>
      <w:r>
        <w:t xml:space="preserve">Colophon</w:t>
      </w:r>
    </w:p>
    <w:p>
      <w:pPr>
        <w:pStyle w:val="FirstParagraph"/>
      </w:pPr>
      <w:r>
        <w:t xml:space="preserve">This report was generated on 2021-03-02 13:17:13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2021-03-02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P bookdown      0.21    2020-10-13 [?] CRAN (R 4.0.2)</w:t>
      </w:r>
      <w:r>
        <w:br/>
      </w:r>
      <w:r>
        <w:rPr>
          <w:rStyle w:val="VerbatimChar"/>
        </w:rPr>
        <w:t xml:space="preserve">#&gt;  P broom         0.7.3   2020-12-16 [?] CRAN (R 4.0.2)</w:t>
      </w:r>
      <w:r>
        <w:br/>
      </w:r>
      <w:r>
        <w:rPr>
          <w:rStyle w:val="VerbatimChar"/>
        </w:rPr>
        <w:t xml:space="preserve">#&gt;  P callr         3.5.1   2020-10-13 [?] CRAN (R 4.0.2)</w:t>
      </w:r>
      <w:r>
        <w:br/>
      </w:r>
      <w:r>
        <w:rPr>
          <w:rStyle w:val="VerbatimChar"/>
        </w:rPr>
        <w:t xml:space="preserve">#&gt;  P cellranger    1.1.0   2016-07-27 [?] CRAN (R 4.0.2)</w:t>
      </w:r>
      <w:r>
        <w:br/>
      </w:r>
      <w:r>
        <w:rPr>
          <w:rStyle w:val="VerbatimChar"/>
        </w:rPr>
        <w:t xml:space="preserve">#&gt;    cli           2.3.0   2021-01-31 [1] CRAN (R 4.0.2)</w:t>
      </w:r>
      <w:r>
        <w:br/>
      </w:r>
      <w:r>
        <w:rPr>
          <w:rStyle w:val="VerbatimChar"/>
        </w:rPr>
        <w:t xml:space="preserve">#&gt;  P coda          0.19-4  2020-09-30 [?]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P desc          1.2.0   2018-05-01 [?] CRAN (R 4.0.2)</w:t>
      </w:r>
      <w:r>
        <w:br/>
      </w:r>
      <w:r>
        <w:rPr>
          <w:rStyle w:val="VerbatimChar"/>
        </w:rPr>
        <w:t xml:space="preserve">#&gt;  P devtools      2.3.2   2020-09-18 [?]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P ellipsis      0.3.1   2020-05-15 [?] CRAN (R 4.0.2)</w:t>
      </w:r>
      <w:r>
        <w:br/>
      </w:r>
      <w:r>
        <w:rPr>
          <w:rStyle w:val="VerbatimChar"/>
        </w:rPr>
        <w:t xml:space="preserve">#&gt;  P evaluate      0.14    2019-05-28 [?] CRAN (R 4.0.1)</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P highr         0.8     2019-03-20 [?]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1.31    2021-01-27 [1] CRAN (R 4.0.3)</w:t>
      </w:r>
      <w:r>
        <w:br/>
      </w:r>
      <w:r>
        <w:rPr>
          <w:rStyle w:val="VerbatimChar"/>
        </w:rPr>
        <w:t xml:space="preserve">#&gt;  P lattice       0.20-41 2020-04-02 [3]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P memoise       1.1.0   2017-04-21 [?]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 pillar        1.4.7   2020-11-20 [?]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 pkgload       1.1.0   2020-05-29 [?]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 processx      3.4.5   2020-11-30 [?] CRAN (R 4.0.2)</w:t>
      </w:r>
      <w:r>
        <w:br/>
      </w:r>
      <w:r>
        <w:rPr>
          <w:rStyle w:val="VerbatimChar"/>
        </w:rPr>
        <w:t xml:space="preserve">#&gt;  P ps            1.5.0   2020-12-05 [?]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P remotes       2.2.0   2020-07-21 [?] CRAN (R 4.0.2)</w:t>
      </w:r>
      <w:r>
        <w:br/>
      </w:r>
      <w:r>
        <w:rPr>
          <w:rStyle w:val="VerbatimChar"/>
        </w:rPr>
        <w:t xml:space="preserve">#&gt;  P reprex        0.3.0   2019-05-16 [?] CRAN (R 4.0.2)</w:t>
      </w:r>
      <w:r>
        <w:br/>
      </w:r>
      <w:r>
        <w:rPr>
          <w:rStyle w:val="VerbatimChar"/>
        </w:rPr>
        <w:t xml:space="preserve">#&gt;  P rlang         0.4.10  2020-12-30 [?] CRAN (R 4.0.2)</w:t>
      </w:r>
      <w:r>
        <w:br/>
      </w:r>
      <w:r>
        <w:rPr>
          <w:rStyle w:val="VerbatimChar"/>
        </w:rPr>
        <w:t xml:space="preserve">#&gt;  P rmarkdown     2.6     2020-12-14 [?]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P stringi       1.5.3   2020-09-09 [?]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3.0.6   2021-01-29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P usethis       2.0.0   2020-12-10 [?] CRAN (R 4.0.2)</w:t>
      </w:r>
      <w:r>
        <w:br/>
      </w:r>
      <w:r>
        <w:rPr>
          <w:rStyle w:val="VerbatimChar"/>
        </w:rPr>
        <w:t xml:space="preserve">#&gt;  P uuid          0.1-4   2020-02-26 [?] CRAN (R 4.0.2)</w:t>
      </w:r>
      <w:r>
        <w:br/>
      </w:r>
      <w:r>
        <w:rPr>
          <w:rStyle w:val="VerbatimChar"/>
        </w:rPr>
        <w:t xml:space="preserve">#&gt;  P vctrs         0.3.6   2020-12-17 [?] CRAN (R 4.0.2)</w:t>
      </w:r>
      <w:r>
        <w:br/>
      </w:r>
      <w:r>
        <w:rPr>
          <w:rStyle w:val="VerbatimChar"/>
        </w:rPr>
        <w:t xml:space="preserve">#&gt;    withr         2.4.1   2021-01-26 [1] CRAN (R 4.0.2)</w:t>
      </w:r>
      <w:r>
        <w:br/>
      </w:r>
      <w:r>
        <w:rPr>
          <w:rStyle w:val="VerbatimChar"/>
        </w:rPr>
        <w:t xml:space="preserve">#&gt;  P xfun          0.20    2021-01-06 [?]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/private/var/folders/gd/flx6648926xgtkrpp55bl7200000gn/T/RtmpDjHXAq/renv-system-library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[f6d112a] 2021-03-02: revised the SI and the table in it</w:t>
      </w:r>
    </w:p>
    <w:p>
      <w:pPr>
        <w:pStyle w:val="FirstParagraph"/>
      </w:pPr>
      <w:r>
        <w:t xml:space="preserve">Word count: 1811</w:t>
      </w:r>
    </w:p>
    <w:bookmarkEnd w:id="68"/>
    <w:bookmarkEnd w:id="69"/>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approach to burial networks to infer social changes in northeastern Taiwan during the European colonization period</dc:title>
  <dc:creator>Li-Ying Wang; Ben Marwick</dc:creator>
  <cp:keywords/>
  <dcterms:created xsi:type="dcterms:W3CDTF">2021-03-02T21:17:18Z</dcterms:created>
  <dcterms:modified xsi:type="dcterms:W3CDTF">2021-03-02T21:17:18Z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02 March, 2021</vt:lpwstr>
  </property>
  <property fmtid="{D5CDD505-2E9C-101B-9397-08002B2CF9AE}" pid="5" name="output">
    <vt:lpwstr/>
  </property>
</Properties>
</file>