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3.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Materials-</w:t>
      </w:r>
      <w:r>
        <w:t xml:space="preserve"> </w:t>
      </w:r>
      <w:r>
        <w:t xml:space="preserve">A</w:t>
      </w:r>
      <w:r>
        <w:t xml:space="preserve"> </w:t>
      </w:r>
      <w:r>
        <w:t xml:space="preserve">Bayesian</w:t>
      </w:r>
      <w:r>
        <w:t xml:space="preserve"> </w:t>
      </w:r>
      <w:r>
        <w:t xml:space="preserve">networks</w:t>
      </w:r>
      <w:r>
        <w:t xml:space="preserve"> </w:t>
      </w:r>
      <w:r>
        <w:t xml:space="preserve">approach</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from</w:t>
      </w:r>
      <w:r>
        <w:t xml:space="preserve"> </w:t>
      </w:r>
      <w:r>
        <w:t xml:space="preserve">burials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23</w:t>
      </w:r>
      <w:r>
        <w:t xml:space="preserve"> </w:t>
      </w:r>
      <w:r>
        <w:t xml:space="preserve">August,</w:t>
      </w:r>
      <w:r>
        <w:t xml:space="preserve"> </w:t>
      </w:r>
      <w:r>
        <w:t xml:space="preserve">2021</w:t>
      </w:r>
    </w:p>
    <w:p>
      <w:pPr>
        <w:pStyle w:val="FirstParagraph"/>
      </w:pPr>
      <w:r>
        <w:t xml:space="preserve">This supplementary document contains:</w:t>
      </w:r>
    </w:p>
    <w:p>
      <w:pPr>
        <w:numPr>
          <w:ilvl w:val="0"/>
          <w:numId w:val="1001"/>
        </w:numPr>
        <w:pStyle w:val="Compact"/>
      </w:pPr>
      <w:r>
        <w:t xml:space="preserve">further historical background of 17th century northeastern Taiwan in a pericolonial context</w:t>
      </w:r>
    </w:p>
    <w:p>
      <w:pPr>
        <w:numPr>
          <w:ilvl w:val="0"/>
          <w:numId w:val="1001"/>
        </w:numPr>
        <w:pStyle w:val="Compact"/>
      </w:pPr>
      <w:r>
        <w:t xml:space="preserve">further review of network analysis and archaeological applications relevant to this study</w:t>
      </w:r>
    </w:p>
    <w:p>
      <w:pPr>
        <w:numPr>
          <w:ilvl w:val="0"/>
          <w:numId w:val="1001"/>
        </w:numPr>
        <w:pStyle w:val="Compact"/>
      </w:pPr>
      <w:r>
        <w:t xml:space="preserve">further definitions of our approach to tie formation and node attributes from Kiwulan burials</w:t>
      </w:r>
    </w:p>
    <w:p>
      <w:pPr>
        <w:numPr>
          <w:ilvl w:val="0"/>
          <w:numId w:val="1001"/>
        </w:numPr>
        <w:pStyle w:val="Compact"/>
      </w:pPr>
      <w:r>
        <w:t xml:space="preserve">further details on our methods of modeling fitting, and</w:t>
      </w:r>
    </w:p>
    <w:p>
      <w:pPr>
        <w:numPr>
          <w:ilvl w:val="0"/>
          <w:numId w:val="1001"/>
        </w:numPr>
        <w:pStyle w:val="Compact"/>
      </w:pPr>
      <w:r>
        <w:t xml:space="preserve">assessment of priors, MCMC outputs and Goodness-of-fit diagnostics for our models</w:t>
      </w:r>
    </w:p>
    <w:bookmarkStart w:id="28" w:name="X84dd2413bea86cd93cad076d9f8ecff9a375832"/>
    <w:p>
      <w:pPr>
        <w:pStyle w:val="Heading1"/>
      </w:pPr>
      <w:r>
        <w:t xml:space="preserve">Kiwulan in the 17th northeastern Taiwan in a pericolonial context</w:t>
      </w:r>
    </w:p>
    <w:p>
      <w:pPr>
        <w:pStyle w:val="FirstParagraph"/>
      </w:pPr>
      <w:r>
        <w:t xml:space="preserve">The involvement in long-distance exchange is often associated with changes in political-economic strategies from a corporate mode to a network mode, where ambitious individuals are able to build their local power base and personal influence through the acquisition and distribution of foreign prestige goods</w:t>
      </w:r>
      <w:r>
        <w:t xml:space="preserve"> </w:t>
      </w:r>
      <w:r>
        <w:t xml:space="preserve">(Blanton et al., 1996; Feinman, 2000; Klehm, 2017)</w:t>
      </w:r>
      <w:r>
        <w:t xml:space="preserve">. Increased social inequality associated with the use of exotic trade goods is recognized as a</w:t>
      </w:r>
      <w:r>
        <w:t xml:space="preserve"> </w:t>
      </w:r>
      <w:r>
        <w:t xml:space="preserve">“</w:t>
      </w:r>
      <w:r>
        <w:t xml:space="preserve">network</w:t>
      </w:r>
      <w:r>
        <w:t xml:space="preserve">”</w:t>
      </w:r>
      <w:r>
        <w:t xml:space="preserve"> </w:t>
      </w:r>
      <w:r>
        <w:t xml:space="preserve">strategy for gaining power</w:t>
      </w:r>
      <w:r>
        <w:t xml:space="preserve"> </w:t>
      </w:r>
      <w:r>
        <w:t xml:space="preserve">(Feinman, 2000)</w:t>
      </w:r>
      <w:r>
        <w:t xml:space="preserve">. Northeastern Taiwan became more involved in regional exchange with East Asia since the 14th century and long-distance trade with Southeast Asia brought by Europeans in the 17th century</w:t>
      </w:r>
      <w:r>
        <w:t xml:space="preserve"> </w:t>
      </w:r>
      <w:r>
        <w:t xml:space="preserve">(Chen, 2005; Wang and Liu, 2007)</w:t>
      </w:r>
      <w:r>
        <w:t xml:space="preserve">. In 1626, the Spanish built their forts in Heping dao and Tamsui,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The Dutch asked local settlements to pay deer hides or rice as annual tributes but negotiating a delayed payment is allowed if it is needed</w:t>
      </w:r>
      <w:r>
        <w:t xml:space="preserve"> </w:t>
      </w:r>
      <w:r>
        <w:t xml:space="preserve">(Borao, 2009; Kang, 2016)</w:t>
      </w:r>
      <w:r>
        <w:t xml:space="preserve">. In the annual event held by the Dutch with participants of local Indigenous representatives</w:t>
      </w:r>
      <w:r>
        <w:t xml:space="preserve"> </w:t>
      </w:r>
      <w:r>
        <w:t xml:space="preserve">(Andrade, 1997)</w:t>
      </w:r>
      <w:r>
        <w:t xml:space="preserve">, the Dutch would give those representatives symbolic items such as rattan sticks or foreign goods to assert their political authority and consolidate their relationship with Indigenous settlements. The introduction of foreign prestige goods to local Indigenous communities might have occurred before European presence became established, but was maintained and amplified after European arrival due to local competition for prestige accumulation</w:t>
      </w:r>
      <w:r>
        <w:t xml:space="preserve"> </w:t>
      </w:r>
      <w:r>
        <w:t xml:space="preserve">(Borao, 2009; Li and Wu, 2006; Ueda et al., 2016; Wang and Marwick, 2020)</w:t>
      </w:r>
      <w:r>
        <w:t xml:space="preserve">.</w:t>
      </w:r>
    </w:p>
    <w:bookmarkStart w:id="20" w:name="Xe5dabc2c546328d6392eb8498e629ef28520a31"/>
    <w:p>
      <w:pPr>
        <w:pStyle w:val="Heading2"/>
      </w:pPr>
      <w:r>
        <w:t xml:space="preserve">Review of network analysis and archaeological applications</w:t>
      </w:r>
    </w:p>
    <w:p>
      <w:pPr>
        <w:pStyle w:val="FirstParagraph"/>
      </w:pPr>
      <w:r>
        <w:t xml:space="preserve">Drawing largely on network science and graph theory, a key assumption in the construction of archaeological networks is that a phenomenon can be conceptualized as a network through abstraction and representation</w:t>
      </w:r>
      <w:r>
        <w:t xml:space="preserve"> </w:t>
      </w:r>
      <w:r>
        <w:t xml:space="preserve">(Brandes et al., 2013; Collar et al., 2015; Mills, 2017; Peeples, 2019)</w:t>
      </w:r>
      <w:r>
        <w:t xml:space="preserve">. 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and Faust,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 objects or elements, such as the flow of goods, to represent their interactions</w:t>
      </w:r>
      <w:r>
        <w:t xml:space="preserve"> </w:t>
      </w:r>
      <w:r>
        <w:t xml:space="preserve">(Collar et al., 2015, p. 4)</w:t>
      </w:r>
      <w:r>
        <w:t xml:space="preserve">. This concept can be applied to burial contexts where each burial is an actor linked by similar elements, such as burial goods.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node properties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w:t>
      </w:r>
    </w:p>
    <w:p>
      <w:pPr>
        <w:pStyle w:val="BodyText"/>
      </w:pPr>
      <w:r>
        <w:t xml:space="preserve">Examples include exploring the political centralization in the Kofun period in Japan through the hierarchical communication network constructed by prestige goods</w:t>
      </w:r>
      <w:r>
        <w:t xml:space="preserve"> </w:t>
      </w:r>
      <w:r>
        <w:t xml:space="preserve">(Mizoguchi, 2013)</w:t>
      </w:r>
      <w:r>
        <w:t xml:space="preserve">, and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patterns of burials from the Early Bronze Age in Rebesovice with two hypothesized networks constructed according to cultural and chronological similarity between burials. Recently, complex network modeling has been used to evaluate networks at both node and graph level through simulations of particular processes and statistical tests of the formation of network properties</w:t>
      </w:r>
      <w:r>
        <w:t xml:space="preserve"> </w:t>
      </w:r>
      <w:r>
        <w:t xml:space="preserve">(Brughmans, 2013; Brughmans and Peeples, 2018; Freeman, 2004; Salvini, 2010)</w:t>
      </w:r>
      <w:r>
        <w:t xml:space="preserve">. Such applications include simulations and testing of food exchange modes for Ancestral Pueblos on the aggregation of households in the American Southwest</w:t>
      </w:r>
      <w:r>
        <w:t xml:space="preserve"> </w:t>
      </w:r>
      <w:r>
        <w:t xml:space="preserve">(Crabtree, 2015)</w:t>
      </w:r>
      <w:r>
        <w:t xml:space="preserve">, and exploring the diffusion of fired bricks across Hellenistic Europe by comparing similarity networks of sites with random networks</w:t>
      </w:r>
      <w:r>
        <w:t xml:space="preserve"> </w:t>
      </w:r>
      <w:r>
        <w:t xml:space="preserve">(Östborn and Gerding, 2015)</w:t>
      </w:r>
      <w:r>
        <w:t xml:space="preserve">. Another example is the assessment of hunter-gatherer exchange networks structure across the Kuril Islands using bootstrap simulation based on ceramic composition</w:t>
      </w:r>
      <w:r>
        <w:t xml:space="preserve"> </w:t>
      </w:r>
      <w:r>
        <w:t xml:space="preserve">(Gjesfjeld, 2015)</w:t>
      </w:r>
      <w:r>
        <w:t xml:space="preserve">.</w:t>
      </w:r>
    </w:p>
    <w:p>
      <w:pPr>
        <w:pStyle w:val="BodyText"/>
      </w:pPr>
      <w:r>
        <w:t xml:space="preserve">Current approaches to network analysis used by archaeologists are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have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w:t>
      </w:r>
    </w:p>
    <w:p>
      <w:pPr>
        <w:pStyle w:val="BodyText"/>
      </w:pPr>
      <w:r>
        <w:t xml:space="preserve">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a distribution consists of a large number of possible networks that enables statistical inference and comparison with an observed network</w:t>
      </w:r>
      <w:r>
        <w:t xml:space="preserve"> </w:t>
      </w:r>
      <w:r>
        <w:t xml:space="preserve">(Robins et al., 2007)</w:t>
      </w:r>
      <w:r>
        <w:t xml:space="preserve">. ERGMs help us understand whether an observed network shows significantly more or less of a property of interest than the random networks generated from our model assumptions.</w:t>
      </w:r>
    </w:p>
    <w:bookmarkEnd w:id="20"/>
    <w:bookmarkStart w:id="21" w:name="X4718d8214e4fbda722274a55a78fe0f79065afd"/>
    <w:p>
      <w:pPr>
        <w:pStyle w:val="Heading2"/>
      </w:pPr>
      <w:r>
        <w:t xml:space="preserve">Tie formation and node attributes from Kiwulan burials</w:t>
      </w:r>
    </w:p>
    <w:p>
      <w:pPr>
        <w:pStyle w:val="FirstParagraph"/>
      </w:pPr>
      <w:r>
        <w:t xml:space="preserve">For trade beads with substantial differences in quantities between burials, we described each burial as having one of four levels according to their distributions across all burials (Figure is in the main text). Gold-foil beads are in levels of high (&gt;3), upper-middle (3), lower-middle (2), and low (1); carnelian beads are in levels of high (&gt;6), upper-middle (4-6), lower-middle (3), and low (1-2); glass beads are in levels of high (&gt;6), upper-middle (3-6), lower-middle (2), and low (1). If burial 1 and burial 2 both have high quantities of carnelian beads, then there will be a tie connecting them. The trade goods we used to define network ties are relatively durable materials, such as glass, stone, and metal, that are less affected by taphonomic factors in buried environments. In addition, each burial has a clear boundary as a single analytical unit that reduces sampling errors. Thus, we are confident that the quantities and distributions of beads in burial contexts can reflect the original differences between burials.</w:t>
      </w:r>
    </w:p>
    <w:p>
      <w:pPr>
        <w:pStyle w:val="BodyText"/>
      </w:pPr>
      <w:r>
        <w:t xml:space="preserve">For burial attributes, we assigned burials to different groups according to their age, sex, burial value and the presence/absence of ritual pottery. We have three groups for the age attribute, 0-12, 12-20, and above 20; two groups for the sex attribute, male and female; and four groups for the burial value that are specified in the main paper document. Table</w:t>
      </w:r>
      <w:r>
        <w:t xml:space="preserve"> </w:t>
      </w:r>
      <w:r>
        <w:t xml:space="preserve">1</w:t>
      </w:r>
      <w:r>
        <w:t xml:space="preserve"> </w:t>
      </w:r>
      <w:r>
        <w:t xml:space="preserve">shows the number of burials, of which sex and age can be determined. Despite the exclusion of eight burials lacking clear archaeological contexts, the burials analyzed in this study consisting of 90% Kiwulan burials can effectively represent structures of burial networks.</w:t>
      </w:r>
    </w:p>
    <w:p>
      <w:pPr>
        <w:pStyle w:val="BodyText"/>
      </w:pPr>
      <w:r>
        <w:t xml:space="preserve">Table 1: The number of burials with identification of age and sex at Kiwulan. The unknown means no sufficient skeletal remains for determination of age or sex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1152"/>
        <w:gridCol w:w="1152"/>
        <w:gridCol w:w="1152"/>
        <w:gridCol w:w="1152"/>
        <w:gridCol w:w="1152"/>
        <w:gridCol w:w="1152"/>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age</w:t>
            </w:r>
          </w:p>
        </w:tc>
        <w:tc>
          <w:tcPr>
            <w:gridSpan w:val="3"/>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pre-European</w:t>
            </w:r>
          </w:p>
        </w:tc>
        <w:tc>
          <w:tcPr>
            <w:gridSpan w:val="3"/>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post-European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unknown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unknown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unknown</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w:t>
            </w:r>
          </w:p>
        </w:tc>
      </w:tr>
    </w:tbl>
    <w:bookmarkEnd w:id="21"/>
    <w:bookmarkStart w:id="22" w:name="Xc8a38e97a3bfa74ec04c0ecb74423b351fc3aae"/>
    <w:p>
      <w:pPr>
        <w:pStyle w:val="Heading2"/>
      </w:pPr>
      <w:r>
        <w:t xml:space="preserve">Further details on methods of modeling fitting</w:t>
      </w:r>
    </w:p>
    <w:p>
      <w:pPr>
        <w:pStyle w:val="FirstParagraph"/>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obtained a posterior distribution by constructing a Markov chain that describes a sequence of moves from current state to the next state following probabilistic rules based on the approximate exchange algorithm</w:t>
      </w:r>
      <w:r>
        <w:t xml:space="preserve"> </w:t>
      </w:r>
      <w:r>
        <w:t xml:space="preserve">(Caimo and Friel, 2011)</w:t>
      </w:r>
      <w:r>
        <w:t xml:space="preserve">. This enables a random or stochastic simulation in a long run where each move does not depend on the previous move. More chains can ensure a more desirable posterior distribution that is close to the target distribution under study, or convergence. In Bayesian ERGMs, MCMC first selects a set of edges (or a set of empty pairs of actors) with equal probability, and then switches to a pair of actors at random within the chosen set</w:t>
      </w:r>
      <w:r>
        <w:t xml:space="preserve"> </w:t>
      </w:r>
      <w:r>
        <w:t xml:space="preserve">(Caimo and Friel, 2011)</w:t>
      </w:r>
      <w:r>
        <w:t xml:space="preserve">. In our case, we set the number of chains to 32. For each chain, the number of burn-in iterations was 1000 and the number of iterations after the burn-in was</w:t>
      </w:r>
      <w:r>
        <w:t xml:space="preserve"> </w:t>
      </w:r>
      <m:oMath>
        <m:r>
          <m:t>4</m:t>
        </m:r>
        <m:r>
          <m:rPr>
            <m:sty m:val="p"/>
          </m:rPr>
          <m:t>×</m:t>
        </m:r>
        <m:sSup>
          <m:e>
            <m:r>
              <m:t>10</m:t>
            </m:r>
          </m:e>
          <m:sup>
            <m:r>
              <m:t>4</m:t>
            </m:r>
          </m:sup>
        </m:sSup>
      </m:oMath>
      <w:r>
        <w:t xml:space="preserve">. We set the number of iterations used to simulate a network at each iteration to 5000.</w:t>
      </w:r>
    </w:p>
    <w:bookmarkEnd w:id="22"/>
    <w:bookmarkStart w:id="27" w:name="X6c0ba23d08d53f7cdf1a628ae5a51a1f72cd3fc"/>
    <w:p>
      <w:pPr>
        <w:pStyle w:val="Heading2"/>
      </w:pPr>
      <w:r>
        <w:t xml:space="preserve">Assessment of priors, MCMC outputs and Goodness-of-fit diagnostics for our models</w:t>
      </w:r>
    </w:p>
    <w:p>
      <w:pPr>
        <w:pStyle w:val="FirstParagraph"/>
      </w:pPr>
      <w:r>
        <w:t xml:space="preserve">We conducted a sensitivity analysis to understand the effect of the prior specification on our two models. To explore the sensitivity, we ran the analysis with prior values to be vague normal distribution (mean is 0 with standard deviation is 10) and a range of plausible priors (mean ranging from 0 to 5 and standard deviation ranging from 0 to 10). We found very minor differences in the posterior distributions, but the directionality was consistent for all values. The results of these are not shown here. We choose the priors that have the best autocorrelation properties. The comparison demonstrates that our results are robust to different priors that preserve the differences between our two models, especially for density, transitivity, and centralization. However, the posterior estimates in 95% confidence intervals could vary for some covariates with different priors. In general, models with our informative priors have a better convergence of the MCMC presented by the diagnostic plots.</w:t>
      </w:r>
    </w:p>
    <w:p>
      <w:pPr>
        <w:pStyle w:val="BodyText"/>
      </w:pPr>
      <w:r>
        <w:t xml:space="preserve">As an informal way to diagnose model convergence, we evaluated three diagnostic visual summaries of our MCMC output, including density plots, trace plots, and autocorrelation plots for both models (Figure</w:t>
      </w:r>
      <w:r>
        <w:t xml:space="preserve"> </w:t>
      </w:r>
      <w:r>
        <w:t xml:space="preserve">1</w:t>
      </w:r>
      <w:r>
        <w:t xml:space="preserve"> </w:t>
      </w:r>
      <w:r>
        <w:t xml:space="preserve">and Figure</w:t>
      </w:r>
      <w:r>
        <w:t xml:space="preserve"> </w:t>
      </w:r>
      <w:r>
        <w:t xml:space="preserve">2</w:t>
      </w:r>
      <w:r>
        <w:t xml:space="preserve">)</w:t>
      </w:r>
      <w:r>
        <w:t xml:space="preserve"> </w:t>
      </w:r>
      <w:r>
        <w:t xml:space="preserve">(Hamra et al., 2013)</w:t>
      </w:r>
      <w:r>
        <w:t xml:space="preserve">. We can see that the diagnostic plots show a trend of stationary distributions for most of the variables. However, the degree of autocorrelation is high at 40 lag for all variables but the dyadcov variable, which indicates slow mixing and strong correlations between our variables</w:t>
      </w:r>
      <w:r>
        <w:t xml:space="preserve"> </w:t>
      </w:r>
      <w:r>
        <w:t xml:space="preserve">(Lynch, 2007; Roy, 2020)</w:t>
      </w:r>
      <w:r>
        <w:t xml:space="preserve">.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et al., 2017; Caimo and Friel, 2011)</w:t>
      </w:r>
      <w:r>
        <w:t xml:space="preserve">. We set 100 network graphs simulated from the estimated posterior distribution in ERGMs, and 5000 iterations used for network simulation.</w:t>
      </w:r>
    </w:p>
    <w:p>
      <w:pPr>
        <w:pStyle w:val="CaptionedFigure"/>
      </w:pPr>
      <w:r>
        <w:drawing>
          <wp:inline>
            <wp:extent cx="5943600" cy="7132320"/>
            <wp:effectExtent b="0" l="0" r="0" t="0"/>
            <wp:docPr descr="Figure 1: MCMC output of the pre-European model. In the order of edges, nodematch-age, nodematch-sex, nodematch-ritual, nodematch-value, gwesp, gwdeg, and dyadcov.distance." title="" id="1" name="Picture"/>
            <a:graphic>
              <a:graphicData uri="http://schemas.openxmlformats.org/drawingml/2006/picture">
                <pic:pic>
                  <pic:nvPicPr>
                    <pic:cNvPr descr="/Users/EmilyWang/Desktop/School%20document/LW-Papers/kwl-burials-2020/analysis/figures/008-pre-diag.png" id="0" name="Picture"/>
                    <pic:cNvPicPr>
                      <a:picLocks noChangeArrowheads="1" noChangeAspect="1"/>
                    </pic:cNvPicPr>
                  </pic:nvPicPr>
                  <pic:blipFill>
                    <a:blip r:embed="rId23"/>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1: MCMC output of the pre-European model. In the order of edges, nodematch-age, nodematch-sex, nodematch-ritual, nodematch-value, gwesp, gwdeg, and dyadcov.distance.</w:t>
      </w:r>
    </w:p>
    <w:p>
      <w:pPr>
        <w:pStyle w:val="CaptionedFigure"/>
      </w:pPr>
      <w:r>
        <w:drawing>
          <wp:inline>
            <wp:extent cx="5943600" cy="7132320"/>
            <wp:effectExtent b="0" l="0" r="0" t="0"/>
            <wp:docPr descr="Figure 2: MCMC output of the post-European model. In the order of edges, nodematch-age, nodematch-sex, nodematch-ritual, nodematch-value, gwesp, gwdeg, and dyadcov.distance." title="" id="1" name="Picture"/>
            <a:graphic>
              <a:graphicData uri="http://schemas.openxmlformats.org/drawingml/2006/picture">
                <pic:pic>
                  <pic:nvPicPr>
                    <pic:cNvPr descr="/Users/EmilyWang/Desktop/School%20document/LW-Papers/kwl-burials-2020/analysis/figures/009-post-diag.png" id="0" name="Picture"/>
                    <pic:cNvPicPr>
                      <a:picLocks noChangeArrowheads="1" noChangeAspect="1"/>
                    </pic:cNvPicPr>
                  </pic:nvPicPr>
                  <pic:blipFill>
                    <a:blip r:embed="rId24"/>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2: MCMC output of the post-European model. In the order of edges, nodematch-age, nodematch-sex, nodematch-ritual, nodematch-value, gwesp, gwdeg, and dyadcov.distance.</w:t>
      </w:r>
    </w:p>
    <w:p>
      <w:pPr>
        <w:pStyle w:val="BodyText"/>
      </w:pPr>
      <w:r>
        <w:t xml:space="preserve">Our Bayesian GOF diagnostics summarized three distributions, including degree, minimum geodesic distance, and edgewise shared partner distributions. The diagnostics plots (Figure</w:t>
      </w:r>
      <w:r>
        <w:t xml:space="preserve"> </w:t>
      </w:r>
      <w:r>
        <w:t xml:space="preserve">3</w:t>
      </w:r>
      <w:r>
        <w:t xml:space="preserve"> </w:t>
      </w:r>
      <w:r>
        <w:t xml:space="preserve">and Figure</w:t>
      </w:r>
      <w:r>
        <w:t xml:space="preserve"> </w:t>
      </w:r>
      <w:r>
        <w:t xml:space="preserve">4</w:t>
      </w:r>
      <w:r>
        <w:t xml:space="preserve">) demonstrate that both models fit the observed networks very well for the minimum geodesic distance distribution (i.e. the number of edges between node pairs in a shortest path,</w:t>
      </w:r>
      <w:r>
        <w:t xml:space="preserve"> </w:t>
      </w:r>
      <w:r>
        <w:t xml:space="preserve">Hunter et al. (2008)</w:t>
      </w:r>
      <w:r>
        <w:t xml:space="preserve">). The pre-European model has a better fit for the degree distribution and edgewise shared partner distribution, compared to the post-European model. Despite some observations falling outside the 95% interval for the post-European model, the fit is generally good with most observations within it.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to test an increased social inequality after the foreign contact.</w:t>
      </w:r>
    </w:p>
    <w:p>
      <w:pPr>
        <w:pStyle w:val="CaptionedFigure"/>
      </w:pPr>
      <w:r>
        <w:drawing>
          <wp:inline>
            <wp:extent cx="5943600" cy="9509760"/>
            <wp:effectExtent b="0" l="0" r="0" t="0"/>
            <wp:docPr descr="Figure 3: Goodness-of-fit diagnostics for the pre-European model. Boxplots represent distributions calculated on 100 network graphs simulated from the estimated posterior distribution. Red lines represent distributions of observed networks, and black lines show the 95% intervals." title="" id="1" name="Picture"/>
            <a:graphic>
              <a:graphicData uri="http://schemas.openxmlformats.org/drawingml/2006/picture">
                <pic:pic>
                  <pic:nvPicPr>
                    <pic:cNvPr descr="/Users/EmilyWang/Desktop/School%20document/LW-Papers/kwl-burials-2020/analysis/figures/003-pre-bgof.png" id="0" name="Picture"/>
                    <pic:cNvPicPr>
                      <a:picLocks noChangeArrowheads="1" noChangeAspect="1"/>
                    </pic:cNvPicPr>
                  </pic:nvPicPr>
                  <pic:blipFill>
                    <a:blip r:embed="rId25"/>
                    <a:stretch>
                      <a:fillRect/>
                    </a:stretch>
                  </pic:blipFill>
                  <pic:spPr bwMode="auto">
                    <a:xfrm>
                      <a:off x="0" y="0"/>
                      <a:ext cx="5943600" cy="9509760"/>
                    </a:xfrm>
                    <a:prstGeom prst="rect">
                      <a:avLst/>
                    </a:prstGeom>
                    <a:noFill/>
                    <a:ln w="9525">
                      <a:noFill/>
                      <a:headEnd/>
                      <a:tailEnd/>
                    </a:ln>
                  </pic:spPr>
                </pic:pic>
              </a:graphicData>
            </a:graphic>
          </wp:inline>
        </w:drawing>
      </w:r>
    </w:p>
    <w:p>
      <w:pPr>
        <w:pStyle w:val="ImageCaption"/>
      </w:pPr>
      <w:r>
        <w:t xml:space="preserve">Figure 3: Goodness-of-fit diagnostics for the pre-European model. Boxplots represent distributions calculated on 100 network graphs simulated from the estimated posterior distribution. Red lines represent distributions of observed networks, and black lines show the 95% intervals.</w:t>
      </w:r>
    </w:p>
    <w:p>
      <w:pPr>
        <w:pStyle w:val="CaptionedFigure"/>
      </w:pPr>
      <w:r>
        <w:drawing>
          <wp:inline>
            <wp:extent cx="5943600" cy="9509760"/>
            <wp:effectExtent b="0" l="0" r="0" t="0"/>
            <wp:docPr descr="Figure 4: Goodness-of-fit diagnostics for the post-European model. Boxplots represent distributions calculated on 100 network graphs simulated from the estimated posterior distribution. Red lines represent distributions of observed networks, and black lines show the 95% intervals." title="" id="1" name="Picture"/>
            <a:graphic>
              <a:graphicData uri="http://schemas.openxmlformats.org/drawingml/2006/picture">
                <pic:pic>
                  <pic:nvPicPr>
                    <pic:cNvPr descr="/Users/EmilyWang/Desktop/School%20document/LW-Papers/kwl-burials-2020/analysis/figures/004-post-bgof.png" id="0" name="Picture"/>
                    <pic:cNvPicPr>
                      <a:picLocks noChangeArrowheads="1" noChangeAspect="1"/>
                    </pic:cNvPicPr>
                  </pic:nvPicPr>
                  <pic:blipFill>
                    <a:blip r:embed="rId26"/>
                    <a:stretch>
                      <a:fillRect/>
                    </a:stretch>
                  </pic:blipFill>
                  <pic:spPr bwMode="auto">
                    <a:xfrm>
                      <a:off x="0" y="0"/>
                      <a:ext cx="5943600" cy="9509760"/>
                    </a:xfrm>
                    <a:prstGeom prst="rect">
                      <a:avLst/>
                    </a:prstGeom>
                    <a:noFill/>
                    <a:ln w="9525">
                      <a:noFill/>
                      <a:headEnd/>
                      <a:tailEnd/>
                    </a:ln>
                  </pic:spPr>
                </pic:pic>
              </a:graphicData>
            </a:graphic>
          </wp:inline>
        </w:drawing>
      </w:r>
    </w:p>
    <w:p>
      <w:pPr>
        <w:pStyle w:val="ImageCaption"/>
      </w:pPr>
      <w:r>
        <w:t xml:space="preserve">Figure 4: Goodness-of-fit diagnostics for the post-European model. Boxplots represent distributions calculated on 100 network graphs simulated from the estimated posterior distribution. Red lines represent distributions of observed networks, and black lines show the 95% intervals.</w:t>
      </w:r>
    </w:p>
    <w:bookmarkEnd w:id="27"/>
    <w:bookmarkEnd w:id="28"/>
    <w:bookmarkStart w:id="73" w:name="references"/>
    <w:p>
      <w:pPr>
        <w:pStyle w:val="Heading1"/>
      </w:pPr>
      <w:r>
        <w:t xml:space="preserve">References</w:t>
      </w:r>
    </w:p>
    <w:bookmarkStart w:id="70" w:name="refs"/>
    <w:bookmarkStart w:id="29" w:name="ref-Andrade2007"/>
    <w:p>
      <w:pPr>
        <w:pStyle w:val="Bibliography"/>
      </w:pPr>
      <w:r>
        <w:t xml:space="preserve">Andrade, T., 2007. How</w:t>
      </w:r>
      <w:r>
        <w:t xml:space="preserve"> </w:t>
      </w:r>
      <w:r>
        <w:t xml:space="preserve">Taiwan</w:t>
      </w:r>
      <w:r>
        <w:t xml:space="preserve"> </w:t>
      </w:r>
      <w:r>
        <w:t xml:space="preserve">became</w:t>
      </w:r>
      <w:r>
        <w:t xml:space="preserve"> </w:t>
      </w:r>
      <w:r>
        <w:t xml:space="preserve">Chinese</w:t>
      </w:r>
      <w:r>
        <w:t xml:space="preserve">: Dutch,</w:t>
      </w:r>
      <w:r>
        <w:t xml:space="preserve"> </w:t>
      </w:r>
      <w:r>
        <w:t xml:space="preserve">Spanish</w:t>
      </w:r>
      <w:r>
        <w:t xml:space="preserve">, and</w:t>
      </w:r>
      <w:r>
        <w:t xml:space="preserve"> </w:t>
      </w:r>
      <w:r>
        <w:t xml:space="preserve">Han</w:t>
      </w:r>
      <w:r>
        <w:t xml:space="preserve"> </w:t>
      </w:r>
      <w:r>
        <w:t xml:space="preserve">colonization in the seventeenth century. Columbia University Press, New York.</w:t>
      </w:r>
    </w:p>
    <w:bookmarkEnd w:id="29"/>
    <w:bookmarkStart w:id="30" w:name="ref-Andrade1997"/>
    <w:p>
      <w:pPr>
        <w:pStyle w:val="Bibliography"/>
      </w:pPr>
      <w:r>
        <w:t xml:space="preserve">Andrade, T., 1997. Political spectacle and colonial rule: The</w:t>
      </w:r>
      <w:r>
        <w:t xml:space="preserve"> </w:t>
      </w:r>
      <w:r>
        <w:t xml:space="preserve">Landdag</w:t>
      </w:r>
      <w:r>
        <w:t xml:space="preserve"> </w:t>
      </w:r>
      <w:r>
        <w:t xml:space="preserve">on dutch</w:t>
      </w:r>
      <w:r>
        <w:t xml:space="preserve"> </w:t>
      </w:r>
      <w:r>
        <w:t xml:space="preserve">Taiwan</w:t>
      </w:r>
      <w:r>
        <w:t xml:space="preserve">, 1629-1648. Itinerario 21, 57–93.</w:t>
      </w:r>
    </w:p>
    <w:bookmarkEnd w:id="30"/>
    <w:bookmarkStart w:id="31" w:name="ref-Blanton1996"/>
    <w:p>
      <w:pPr>
        <w:pStyle w:val="Bibliography"/>
      </w:pPr>
      <w:r>
        <w:t xml:space="preserve">Blanton, R.E., Feinman, G.M., Kowalewski, S.A., Peregrine, P.N., 1996. A dual-processual theory for the evolution of</w:t>
      </w:r>
      <w:r>
        <w:t xml:space="preserve"> </w:t>
      </w:r>
      <w:r>
        <w:t xml:space="preserve">Mesoamerican</w:t>
      </w:r>
      <w:r>
        <w:t xml:space="preserve"> </w:t>
      </w:r>
      <w:r>
        <w:t xml:space="preserve">civilization. Current anthropology 37, 1–14.</w:t>
      </w:r>
    </w:p>
    <w:bookmarkEnd w:id="31"/>
    <w:bookmarkStart w:id="32"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32"/>
    <w:bookmarkStart w:id="33" w:name="ref-Borgatti2009"/>
    <w:p>
      <w:pPr>
        <w:pStyle w:val="Bibliography"/>
      </w:pPr>
      <w:r>
        <w:t xml:space="preserve">Borgatti, S.P., Mehra, A., Brass, D.J., Labianca, G., 2009. Network analysis in the social sciences. science 323, 892–895.</w:t>
      </w:r>
    </w:p>
    <w:bookmarkEnd w:id="33"/>
    <w:bookmarkStart w:id="34" w:name="ref-Brandes2013"/>
    <w:p>
      <w:pPr>
        <w:pStyle w:val="Bibliography"/>
      </w:pPr>
      <w:r>
        <w:t xml:space="preserve">Brandes, U., Robins, G., McCranie, A., Wasserman, S., 2013. What is network science? Network science 1, 1–15.</w:t>
      </w:r>
    </w:p>
    <w:bookmarkEnd w:id="34"/>
    <w:bookmarkStart w:id="35" w:name="ref-Brughmans2013"/>
    <w:p>
      <w:pPr>
        <w:pStyle w:val="Bibliography"/>
      </w:pPr>
      <w:r>
        <w:t xml:space="preserve">Brughmans, T., 2013. Thinking through networks: A review of formal network methods in archaeology. Journal of Archaeological Method and Theory 20, 623–662.</w:t>
      </w:r>
    </w:p>
    <w:bookmarkEnd w:id="35"/>
    <w:bookmarkStart w:id="36" w:name="ref-Brughmans2018"/>
    <w:p>
      <w:pPr>
        <w:pStyle w:val="Bibliography"/>
      </w:pPr>
      <w:r>
        <w:t xml:space="preserve">Brughmans, T., Peeples, M.A., 2018. Network science, in: Varela, S.L., Thomas, J. (Eds.), The Encyclopedia of Archaeological Sciences. John Wiley &amp; Sons, pp. 1–4.</w:t>
      </w:r>
    </w:p>
    <w:bookmarkEnd w:id="36"/>
    <w:bookmarkStart w:id="37" w:name="ref-Caimo2011"/>
    <w:p>
      <w:pPr>
        <w:pStyle w:val="Bibliography"/>
      </w:pPr>
      <w:r>
        <w:t xml:space="preserve">Caimo, A., Friel, N., 2011. Bayesian inference for exponential random graph models. Social Networks 33, 41–55.</w:t>
      </w:r>
    </w:p>
    <w:bookmarkEnd w:id="37"/>
    <w:bookmarkStart w:id="38" w:name="ref-Caimo2017"/>
    <w:p>
      <w:pPr>
        <w:pStyle w:val="Bibliography"/>
      </w:pPr>
      <w:r>
        <w:t xml:space="preserve">Caimo, A., Pallotti, F., Lomi, A., 2017. Bayesian exponential random graph modelling of interhospital patient referral networks. Statistics in medicine 36, 2902–2920.</w:t>
      </w:r>
    </w:p>
    <w:bookmarkEnd w:id="38"/>
    <w:bookmarkStart w:id="39" w:name="ref-Chen2005"/>
    <w:p>
      <w:pPr>
        <w:pStyle w:val="Bibliography"/>
      </w:pPr>
      <w:r>
        <w:t xml:space="preserve">Chen, T., 2005. Keelung shan yu</w:t>
      </w:r>
      <w:r>
        <w:t xml:space="preserve"> </w:t>
      </w:r>
      <w:r>
        <w:t xml:space="preserve">Danshui</w:t>
      </w:r>
      <w:r>
        <w:t xml:space="preserve"> </w:t>
      </w:r>
      <w:r>
        <w:t xml:space="preserve">yang: Dongya haiyu yu</w:t>
      </w:r>
      <w:r>
        <w:t xml:space="preserve"> </w:t>
      </w:r>
      <w:r>
        <w:t xml:space="preserve">Taiwan</w:t>
      </w:r>
      <w:r>
        <w:t xml:space="preserve"> </w:t>
      </w:r>
      <w:r>
        <w:t xml:space="preserve">zaoqishi yanjiu, 1400-1700 [</w:t>
      </w:r>
      <w:r>
        <w:t xml:space="preserve">Mount Keelung</w:t>
      </w:r>
      <w:r>
        <w:t xml:space="preserve"> </w:t>
      </w:r>
      <w:r>
        <w:t xml:space="preserve">and</w:t>
      </w:r>
      <w:r>
        <w:t xml:space="preserve"> </w:t>
      </w:r>
      <w:r>
        <w:t xml:space="preserve">Danshui Sea</w:t>
      </w:r>
      <w:r>
        <w:t xml:space="preserve">: A study of</w:t>
      </w:r>
      <w:r>
        <w:t xml:space="preserve"> </w:t>
      </w:r>
      <w:r>
        <w:t xml:space="preserve">East Asian Seas</w:t>
      </w:r>
      <w:r>
        <w:t xml:space="preserve"> </w:t>
      </w:r>
      <w:r>
        <w:t xml:space="preserve">and the early history of</w:t>
      </w:r>
      <w:r>
        <w:t xml:space="preserve"> </w:t>
      </w:r>
      <w:r>
        <w:t xml:space="preserve">Taiwan</w:t>
      </w:r>
      <w:r>
        <w:t xml:space="preserve"> </w:t>
      </w:r>
      <w:r>
        <w:t xml:space="preserve">from 1400 to 1700]. Lian jing, Taipei.</w:t>
      </w:r>
    </w:p>
    <w:bookmarkEnd w:id="39"/>
    <w:bookmarkStart w:id="40" w:name="ref-Collar2015"/>
    <w:p>
      <w:pPr>
        <w:pStyle w:val="Bibliography"/>
      </w:pPr>
      <w:r>
        <w:t xml:space="preserve">Collar, A., Coward, F., Brughmans, T., Mills, B.J., 2015. Networks in archaeology: Phenomena, abstraction, representation. Journal of Archaeological Method and Theory 22, 1–32.</w:t>
      </w:r>
    </w:p>
    <w:bookmarkEnd w:id="40"/>
    <w:bookmarkStart w:id="41" w:name="ref-Coward2013"/>
    <w:p>
      <w:pPr>
        <w:pStyle w:val="Bibliography"/>
      </w:pPr>
      <w:r>
        <w:t xml:space="preserve">Coward, F., 2013. Grounding the net: Social networks, material culture and geography in the</w:t>
      </w:r>
      <w:r>
        <w:t xml:space="preserve"> </w:t>
      </w:r>
      <w:r>
        <w:t xml:space="preserve">Epipalaeolithic</w:t>
      </w:r>
      <w:r>
        <w:t xml:space="preserve"> </w:t>
      </w:r>
      <w:r>
        <w:t xml:space="preserve">and</w:t>
      </w:r>
      <w:r>
        <w:t xml:space="preserve"> </w:t>
      </w:r>
      <w:r>
        <w:t xml:space="preserve">Early Neolithic</w:t>
      </w:r>
      <w:r>
        <w:t xml:space="preserve"> </w:t>
      </w:r>
      <w:r>
        <w:t xml:space="preserve">of the</w:t>
      </w:r>
      <w:r>
        <w:t xml:space="preserve"> </w:t>
      </w:r>
      <w:r>
        <w:t xml:space="preserve">Near East</w:t>
      </w:r>
      <w:r>
        <w:t xml:space="preserve"> </w:t>
      </w:r>
      <w:r>
        <w:t xml:space="preserve">(  21,000–6,000 cal BCE), in: Knappett, C. (Ed.), Network Analysis in Archaeology: New Regional Approaches to Interaction. Oxford University Press, Oxford, pp. 247–280.</w:t>
      </w:r>
    </w:p>
    <w:bookmarkEnd w:id="41"/>
    <w:bookmarkStart w:id="42" w:name="ref-Crabtree2015"/>
    <w:p>
      <w:pPr>
        <w:pStyle w:val="Bibliography"/>
      </w:pPr>
      <w:r>
        <w:t xml:space="preserve">Crabtree, S.A., 2015. Inferring ancestral</w:t>
      </w:r>
      <w:r>
        <w:t xml:space="preserve"> </w:t>
      </w:r>
      <w:r>
        <w:t xml:space="preserve">Pueblo</w:t>
      </w:r>
      <w:r>
        <w:t xml:space="preserve"> </w:t>
      </w:r>
      <w:r>
        <w:t xml:space="preserve">social networks from simulation in the central</w:t>
      </w:r>
      <w:r>
        <w:t xml:space="preserve"> </w:t>
      </w:r>
      <w:r>
        <w:t xml:space="preserve">Mesa Verde</w:t>
      </w:r>
      <w:r>
        <w:t xml:space="preserve">. Journal of Archaeological Method and Theory 22, 144–181.</w:t>
      </w:r>
    </w:p>
    <w:bookmarkEnd w:id="42"/>
    <w:bookmarkStart w:id="43" w:name="ref-Feinman2000"/>
    <w:p>
      <w:pPr>
        <w:pStyle w:val="Bibliography"/>
      </w:pPr>
      <w:r>
        <w:t xml:space="preserve">Feinman, G.M., 2000. Corporate/network: New perspectives on models of political action and the</w:t>
      </w:r>
      <w:r>
        <w:t xml:space="preserve"> </w:t>
      </w:r>
      <w:r>
        <w:t xml:space="preserve">Puebloan Southwest</w:t>
      </w:r>
      <w:r>
        <w:t xml:space="preserve">, in: Schiffer, M.B. (Ed.), Social Theory in Archaeology. University of Utah Press, pp. 31–51.</w:t>
      </w:r>
    </w:p>
    <w:bookmarkEnd w:id="43"/>
    <w:bookmarkStart w:id="44" w:name="ref-Freeman2004"/>
    <w:p>
      <w:pPr>
        <w:pStyle w:val="Bibliography"/>
      </w:pPr>
      <w:r>
        <w:t xml:space="preserve">Freeman, L., 2004. The development of social network analysis:</w:t>
      </w:r>
      <w:r>
        <w:t xml:space="preserve"> </w:t>
      </w:r>
      <w:r>
        <w:t xml:space="preserve">A</w:t>
      </w:r>
      <w:r>
        <w:t xml:space="preserve"> </w:t>
      </w:r>
      <w:r>
        <w:t xml:space="preserve">study in the sociology of science. Empirical Press, Vancouver,</w:t>
      </w:r>
      <w:r>
        <w:t xml:space="preserve"> </w:t>
      </w:r>
      <w:r>
        <w:t xml:space="preserve">BC</w:t>
      </w:r>
      <w:r>
        <w:t xml:space="preserve">.</w:t>
      </w:r>
    </w:p>
    <w:bookmarkEnd w:id="44"/>
    <w:bookmarkStart w:id="45" w:name="ref-Gamble2002"/>
    <w:p>
      <w:pPr>
        <w:pStyle w:val="Bibliography"/>
      </w:pPr>
      <w:r>
        <w:t xml:space="preserve">Gamble, L.H., Zepeda, I.C., 2002. Social differentiation and exchange among the</w:t>
      </w:r>
      <w:r>
        <w:t xml:space="preserve"> </w:t>
      </w:r>
      <w:r>
        <w:t xml:space="preserve">Kumeyaay Indians</w:t>
      </w:r>
      <w:r>
        <w:t xml:space="preserve"> </w:t>
      </w:r>
      <w:r>
        <w:t xml:space="preserve">during the historic period in</w:t>
      </w:r>
      <w:r>
        <w:t xml:space="preserve"> </w:t>
      </w:r>
      <w:r>
        <w:t xml:space="preserve">California</w:t>
      </w:r>
      <w:r>
        <w:t xml:space="preserve">. Historical Archaeology 71–91.</w:t>
      </w:r>
    </w:p>
    <w:bookmarkEnd w:id="45"/>
    <w:bookmarkStart w:id="46" w:name="ref-Gjesfjeld2015"/>
    <w:p>
      <w:pPr>
        <w:pStyle w:val="Bibliography"/>
      </w:pPr>
      <w:r>
        <w:t xml:space="preserve">Gjesfjeld, E., 2015. Network analysis of archaeological data from</w:t>
      </w:r>
      <w:r>
        <w:t xml:space="preserve"> </w:t>
      </w:r>
      <w:r>
        <w:t xml:space="preserve">Hunter</w:t>
      </w:r>
      <w:r>
        <w:t xml:space="preserve">-</w:t>
      </w:r>
      <w:r>
        <w:t xml:space="preserve">Gatherers</w:t>
      </w:r>
      <w:r>
        <w:t xml:space="preserve">: Methodological problems and potential solutions. Journal of Archaeological Method and Theory 22, 182–205.</w:t>
      </w:r>
    </w:p>
    <w:bookmarkEnd w:id="46"/>
    <w:bookmarkStart w:id="47" w:name="ref-Hamra2013"/>
    <w:p>
      <w:pPr>
        <w:pStyle w:val="Bibliography"/>
      </w:pPr>
      <w:r>
        <w:t xml:space="preserve">Hamra, G., MacLehose, R., Richardson, D., 2013.</w:t>
      </w:r>
      <w:r>
        <w:t xml:space="preserve"> </w:t>
      </w:r>
      <w:r>
        <w:t xml:space="preserve">Markov</w:t>
      </w:r>
      <w:r>
        <w:t xml:space="preserve"> </w:t>
      </w:r>
      <w:r>
        <w:t xml:space="preserve">chain</w:t>
      </w:r>
      <w:r>
        <w:t xml:space="preserve"> </w:t>
      </w:r>
      <w:r>
        <w:t xml:space="preserve">Monte Carlo</w:t>
      </w:r>
      <w:r>
        <w:t xml:space="preserve">: An introduction for epidemiologists. International journal of epidemiology 42, 627–634.</w:t>
      </w:r>
    </w:p>
    <w:bookmarkEnd w:id="47"/>
    <w:bookmarkStart w:id="48"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48"/>
    <w:bookmarkStart w:id="49" w:name="ref-Janes2013"/>
    <w:p>
      <w:pPr>
        <w:pStyle w:val="Bibliography"/>
      </w:pPr>
      <w:r>
        <w:t xml:space="preserve">Janes, S., 2013. Death and burial in the</w:t>
      </w:r>
      <w:r>
        <w:t xml:space="preserve"> </w:t>
      </w:r>
      <w:r>
        <w:t xml:space="preserve">Age</w:t>
      </w:r>
      <w:r>
        <w:t xml:space="preserve"> </w:t>
      </w:r>
      <w:r>
        <w:t xml:space="preserve">of the</w:t>
      </w:r>
      <w:r>
        <w:t xml:space="preserve"> </w:t>
      </w:r>
      <w:r>
        <w:t xml:space="preserve">Cypriot City</w:t>
      </w:r>
      <w:r>
        <w:t xml:space="preserve">-</w:t>
      </w:r>
      <w:r>
        <w:t xml:space="preserve">Kingdoms</w:t>
      </w:r>
      <w:r>
        <w:t xml:space="preserve">: Social complexity based on the mortuary evidence. Bulletin of the American Schools of Oriental Research 145–168.</w:t>
      </w:r>
    </w:p>
    <w:bookmarkEnd w:id="49"/>
    <w:bookmarkStart w:id="50" w:name="ref-Kang2016"/>
    <w:p>
      <w:pPr>
        <w:pStyle w:val="Bibliography"/>
      </w:pPr>
      <w:r>
        <w:t xml:space="preserve">Kang, P., 2016. Zhimin xiangxiang yu difang liubian: Helan dongyindu gongsi yu</w:t>
      </w:r>
      <w:r>
        <w:t xml:space="preserve"> </w:t>
      </w:r>
      <w:r>
        <w:t xml:space="preserve">Taiwan</w:t>
      </w:r>
      <w:r>
        <w:t xml:space="preserve"> </w:t>
      </w:r>
      <w:r>
        <w:t xml:space="preserve">yuanzhumin [</w:t>
      </w:r>
      <w:r>
        <w:t xml:space="preserve">Colonial</w:t>
      </w:r>
      <w:r>
        <w:t xml:space="preserve"> </w:t>
      </w:r>
      <w:r>
        <w:t xml:space="preserve">imagination and local variations: The</w:t>
      </w:r>
      <w:r>
        <w:t xml:space="preserve"> </w:t>
      </w:r>
      <w:r>
        <w:t xml:space="preserve">Dutch East India Company</w:t>
      </w:r>
      <w:r>
        <w:t xml:space="preserve"> </w:t>
      </w:r>
      <w:r>
        <w:t xml:space="preserve">and the</w:t>
      </w:r>
      <w:r>
        <w:t xml:space="preserve"> </w:t>
      </w:r>
      <w:r>
        <w:t xml:space="preserve">Formosan Austronesians</w:t>
      </w:r>
      <w:r>
        <w:t xml:space="preserve">]. Lian-jing.</w:t>
      </w:r>
    </w:p>
    <w:bookmarkEnd w:id="50"/>
    <w:bookmarkStart w:id="51" w:name="ref-Klehm2017"/>
    <w:p>
      <w:pPr>
        <w:pStyle w:val="Bibliography"/>
      </w:pPr>
      <w:r>
        <w:t xml:space="preserve">Klehm, C.E., 2017. Local dynamics and the emergence of social inequality in</w:t>
      </w:r>
      <w:r>
        <w:t xml:space="preserve"> </w:t>
      </w:r>
      <w:r>
        <w:t xml:space="preserve">Iron Age Botswana</w:t>
      </w:r>
      <w:r>
        <w:t xml:space="preserve">. Current Anthropology 58, 604–633.</w:t>
      </w:r>
    </w:p>
    <w:bookmarkEnd w:id="51"/>
    <w:bookmarkStart w:id="52" w:name="ref-LiandWu2006"/>
    <w:p>
      <w:pPr>
        <w:pStyle w:val="Bibliography"/>
      </w:pPr>
      <w:r>
        <w:t xml:space="preserve">Li, Y., Wu, M., 2006. Qing zai xi ban ya ren zai tai wan, 1626-1642 [the</w:t>
      </w:r>
      <w:r>
        <w:t xml:space="preserve"> </w:t>
      </w:r>
      <w:r>
        <w:t xml:space="preserve">Spanish</w:t>
      </w:r>
      <w:r>
        <w:t xml:space="preserve"> </w:t>
      </w:r>
      <w:r>
        <w:t xml:space="preserve">in</w:t>
      </w:r>
      <w:r>
        <w:t xml:space="preserve"> </w:t>
      </w:r>
      <w:r>
        <w:t xml:space="preserve">Taiwan</w:t>
      </w:r>
      <w:r>
        <w:t xml:space="preserve">].</w:t>
      </w:r>
      <w:r>
        <w:t xml:space="preserve"> </w:t>
      </w:r>
      <w:r>
        <w:t xml:space="preserve">Taiwan</w:t>
      </w:r>
      <w:r>
        <w:t xml:space="preserve"> </w:t>
      </w:r>
      <w:r>
        <w:t xml:space="preserve">Historica, Nantou.</w:t>
      </w:r>
    </w:p>
    <w:bookmarkEnd w:id="52"/>
    <w:bookmarkStart w:id="53" w:name="ref-Lynch2007"/>
    <w:p>
      <w:pPr>
        <w:pStyle w:val="Bibliography"/>
      </w:pPr>
      <w:r>
        <w:t xml:space="preserve">Lynch, S.M., 2007. Introduction to applied</w:t>
      </w:r>
      <w:r>
        <w:t xml:space="preserve"> </w:t>
      </w:r>
      <w:r>
        <w:t xml:space="preserve">Bayesian</w:t>
      </w:r>
      <w:r>
        <w:t xml:space="preserve"> </w:t>
      </w:r>
      <w:r>
        <w:t xml:space="preserve">statistics and estimation for social scientists. Springer Science &amp; Business Media.</w:t>
      </w:r>
    </w:p>
    <w:bookmarkEnd w:id="53"/>
    <w:bookmarkStart w:id="54" w:name="ref-Marin2011"/>
    <w:p>
      <w:pPr>
        <w:pStyle w:val="Bibliography"/>
      </w:pPr>
      <w:r>
        <w:t xml:space="preserve">Marin, A., Wellman, B., 2011. Social network analysis: An introduction, in: Scott, J., Carrington, P.J. (Eds.), The SAGE Handbook of Social Network Analysis. SAGE Publications, pp. 11–25.</w:t>
      </w:r>
    </w:p>
    <w:bookmarkEnd w:id="54"/>
    <w:bookmarkStart w:id="55" w:name="ref-Mills2017"/>
    <w:p>
      <w:pPr>
        <w:pStyle w:val="Bibliography"/>
      </w:pPr>
      <w:r>
        <w:t xml:space="preserve">Mills, B.J., 2017. Social network analysis in archaeology. Annual review of anthropology 46, 379–397.</w:t>
      </w:r>
    </w:p>
    <w:bookmarkEnd w:id="55"/>
    <w:bookmarkStart w:id="56"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56"/>
    <w:bookmarkStart w:id="57" w:name="ref-Morris2008"/>
    <w:p>
      <w:pPr>
        <w:pStyle w:val="Bibliography"/>
      </w:pPr>
      <w:r>
        <w:t xml:space="preserve">Morris, M., Handcock, M.S., Hunter, D.R., 2008. Specification of exponential-family random graph models: Terms and computational aspects. Journal of statistical software 24, 1548.</w:t>
      </w:r>
    </w:p>
    <w:bookmarkEnd w:id="57"/>
    <w:bookmarkStart w:id="58" w:name="ref-Ostborn2015"/>
    <w:p>
      <w:pPr>
        <w:pStyle w:val="Bibliography"/>
      </w:pPr>
      <w:r>
        <w:t xml:space="preserve">Östborn, P., Gerding, H., 2015. The diffusion of fired bricks in</w:t>
      </w:r>
      <w:r>
        <w:t xml:space="preserve"> </w:t>
      </w:r>
      <w:r>
        <w:t xml:space="preserve">Hellenistic Europe</w:t>
      </w:r>
      <w:r>
        <w:t xml:space="preserve">: A similarity network analysis. Journal of Archaeological Method and Theory 22, 306–344.</w:t>
      </w:r>
    </w:p>
    <w:bookmarkEnd w:id="58"/>
    <w:bookmarkStart w:id="59" w:name="ref-Peeples2019"/>
    <w:p>
      <w:pPr>
        <w:pStyle w:val="Bibliography"/>
      </w:pPr>
      <w:r>
        <w:t xml:space="preserve">Peeples, M.A., 2019. Finding a place for networks in archaeology. Journal of Archaeological Research 27, 451–499.</w:t>
      </w:r>
    </w:p>
    <w:bookmarkEnd w:id="59"/>
    <w:bookmarkStart w:id="60" w:name="ref-Robins2007"/>
    <w:p>
      <w:pPr>
        <w:pStyle w:val="Bibliography"/>
      </w:pPr>
      <w:r>
        <w:t xml:space="preserve">Robins, G., Pattison, P., Kalish, Y., Lusher, D., 2007. An introduction to exponential random graph (p*) models for social networks. Social networks 29, 173–191.</w:t>
      </w:r>
    </w:p>
    <w:bookmarkEnd w:id="60"/>
    <w:bookmarkStart w:id="61" w:name="ref-Roy2020"/>
    <w:p>
      <w:pPr>
        <w:pStyle w:val="Bibliography"/>
      </w:pPr>
      <w:r>
        <w:t xml:space="preserve">Roy, V., 2020. Convergence diagnostics for</w:t>
      </w:r>
      <w:r>
        <w:t xml:space="preserve"> </w:t>
      </w:r>
      <w:r>
        <w:t xml:space="preserve">Markov</w:t>
      </w:r>
      <w:r>
        <w:t xml:space="preserve"> </w:t>
      </w:r>
      <w:r>
        <w:t xml:space="preserve">chain</w:t>
      </w:r>
      <w:r>
        <w:t xml:space="preserve"> </w:t>
      </w:r>
      <w:r>
        <w:t xml:space="preserve">Monte Carlo</w:t>
      </w:r>
      <w:r>
        <w:t xml:space="preserve">. Annual Review of Statistics and Its Application 7, 387–412.</w:t>
      </w:r>
    </w:p>
    <w:bookmarkEnd w:id="61"/>
    <w:bookmarkStart w:id="62" w:name="ref-Salvini2010"/>
    <w:p>
      <w:pPr>
        <w:pStyle w:val="Bibliography"/>
      </w:pPr>
      <w:r>
        <w:t xml:space="preserve">Salvini, A., 2010. Symbolic interactionism and social network analysis: An uncertain encounter. Symbolic Interaction 33, 364–388.</w:t>
      </w:r>
    </w:p>
    <w:bookmarkEnd w:id="62"/>
    <w:bookmarkStart w:id="63" w:name="ref-Snijders2011"/>
    <w:p>
      <w:pPr>
        <w:pStyle w:val="Bibliography"/>
      </w:pPr>
      <w:r>
        <w:t xml:space="preserve">Snijders, T.A., 2011. Statistical models for social networks. Annual Review of Sociology 37, 131–153.</w:t>
      </w:r>
    </w:p>
    <w:bookmarkEnd w:id="63"/>
    <w:bookmarkStart w:id="64" w:name="ref-Snijders2006"/>
    <w:p>
      <w:pPr>
        <w:pStyle w:val="Bibliography"/>
      </w:pPr>
      <w:r>
        <w:t xml:space="preserve">Snijders, T.A., Pattison, P.E., Robins, G.L., Handcock, M.S., 2006. New specifications for exponential random graph models. Sociological methodology 36, 99–153.</w:t>
      </w:r>
    </w:p>
    <w:bookmarkEnd w:id="64"/>
    <w:bookmarkStart w:id="65" w:name="ref-Sosna2013"/>
    <w:p>
      <w:pPr>
        <w:pStyle w:val="Bibliography"/>
      </w:pPr>
      <w:r>
        <w:t xml:space="preserve">Sosna, D., Galeta, P., Šmejda, L., Sladek, V., Bruzek, J., 2013. Burials and graphs: Relational approach to mortuary analysis. Social Science Computer Review 31, 56–70.</w:t>
      </w:r>
    </w:p>
    <w:bookmarkEnd w:id="65"/>
    <w:bookmarkStart w:id="66" w:name="ref-Ueda2016"/>
    <w:p>
      <w:pPr>
        <w:pStyle w:val="Bibliography"/>
      </w:pPr>
      <w:r>
        <w:t xml:space="preserve">Ueda, K., Wibisono, S.C., Harkantiningsih, N., Lim, C.S., 2016. Paths to power in the early stage of colonialism: An archaeological study of the sultanate of</w:t>
      </w:r>
      <w:r>
        <w:t xml:space="preserve"> </w:t>
      </w:r>
      <w:r>
        <w:t xml:space="preserve">Banten, Java, Indonesia</w:t>
      </w:r>
      <w:r>
        <w:t xml:space="preserve">, the seventeenth to early nineteenth century. Asian Perspectives 55, 89–119.</w:t>
      </w:r>
    </w:p>
    <w:bookmarkEnd w:id="66"/>
    <w:bookmarkStart w:id="67" w:name="ref-LWandBM2020ornament"/>
    <w:p>
      <w:pPr>
        <w:pStyle w:val="Bibliography"/>
      </w:pPr>
      <w:r>
        <w:t xml:space="preserve">Wang, L.-Y., Marwick, B., 2020. Trade ornaments as indicators of social changes resulting from indirect effects of colonialism in northeastern</w:t>
      </w:r>
      <w:r>
        <w:t xml:space="preserve"> </w:t>
      </w:r>
      <w:r>
        <w:t xml:space="preserve">Taiwan</w:t>
      </w:r>
      <w:r>
        <w:t xml:space="preserve">. Archaeological Research in Asia 24.</w:t>
      </w:r>
    </w:p>
    <w:bookmarkEnd w:id="67"/>
    <w:bookmarkStart w:id="68" w:name="ref-Wang2007"/>
    <w:p>
      <w:pPr>
        <w:pStyle w:val="Bibliography"/>
      </w:pPr>
      <w:r>
        <w:t xml:space="preserve">Wang, S.-C., Liu, Y.-C., 2007. Shiqi shiji qianhou</w:t>
      </w:r>
      <w:r>
        <w:t xml:space="preserve"> </w:t>
      </w:r>
      <w:r>
        <w:t xml:space="preserve">Taiwan</w:t>
      </w:r>
      <w:r>
        <w:t xml:space="preserve"> </w:t>
      </w:r>
      <w:r>
        <w:t xml:space="preserve">boli zhushi yu yancao, yandou de shuru wangluo -yige xin de jiaohuan jieduan [</w:t>
      </w:r>
      <w:r>
        <w:t xml:space="preserve">The</w:t>
      </w:r>
      <w:r>
        <w:t xml:space="preserve"> </w:t>
      </w:r>
      <w:r>
        <w:t xml:space="preserve">import networks of tobacco, tobacco pipes, and glass bead ornaments into</w:t>
      </w:r>
      <w:r>
        <w:t xml:space="preserve"> </w:t>
      </w:r>
      <w:r>
        <w:t xml:space="preserve">Taiwan</w:t>
      </w:r>
      <w:r>
        <w:t xml:space="preserve"> </w:t>
      </w:r>
      <w:r>
        <w:t xml:space="preserve">circa the seventeenth century: A new phase of exchange]. Taida Journal of Art History 22, 51–83.</w:t>
      </w:r>
    </w:p>
    <w:bookmarkEnd w:id="68"/>
    <w:bookmarkStart w:id="69" w:name="ref-Wasserman1994"/>
    <w:p>
      <w:pPr>
        <w:pStyle w:val="Bibliography"/>
      </w:pPr>
      <w:r>
        <w:t xml:space="preserve">Wasserman, S., Faust, K., 1994. Social network analysis: Methods and applications. Cambridge university press.</w:t>
      </w:r>
    </w:p>
    <w:bookmarkEnd w:id="69"/>
    <w:bookmarkEnd w:id="70"/>
    <w:bookmarkStart w:id="71" w:name="pagebreak"/>
    <w:p>
      <w:pPr>
        <w:pStyle w:val="Heading5"/>
      </w:pPr>
      <w:r>
        <w:rPr>
          <w:rStyle w:val="SectionNumber"/>
        </w:rPr>
        <w:t xml:space="preserve">0.0.0.0.1</w:t>
      </w:r>
      <w:r>
        <w:tab/>
      </w:r>
      <w:r>
        <w:t xml:space="preserve">pagebreak</w:t>
      </w:r>
    </w:p>
    <w:bookmarkEnd w:id="71"/>
    <w:bookmarkStart w:id="72" w:name="colophon"/>
    <w:p>
      <w:pPr>
        <w:pStyle w:val="Heading3"/>
      </w:pPr>
      <w:r>
        <w:t xml:space="preserve">Colophon</w:t>
      </w:r>
    </w:p>
    <w:p>
      <w:pPr>
        <w:pStyle w:val="FirstParagraph"/>
      </w:pPr>
      <w:r>
        <w:t xml:space="preserve">This report was generated on 2021-08-23 21:35:30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2021-08-23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4.0.2)</w:t>
      </w:r>
      <w:r>
        <w:br/>
      </w:r>
      <w:r>
        <w:rPr>
          <w:rStyle w:val="VerbatimChar"/>
        </w:rPr>
        <w:t xml:space="preserve">#&gt;  P backports     1.2.1   2020-12-09 [?] CRAN (R 4.0.2)</w:t>
      </w:r>
      <w:r>
        <w:br/>
      </w:r>
      <w:r>
        <w:rPr>
          <w:rStyle w:val="VerbatimChar"/>
        </w:rPr>
        <w:t xml:space="preserve">#&gt;  P base64enc     0.1-3   2015-07-28 [?] CRAN (R 4.0.2)</w:t>
      </w:r>
      <w:r>
        <w:br/>
      </w:r>
      <w:r>
        <w:rPr>
          <w:rStyle w:val="VerbatimChar"/>
        </w:rPr>
        <w:t xml:space="preserve">#&gt;    bookdown      0.22    2021-04-22 [1] CRAN (R 4.0.2)</w:t>
      </w:r>
      <w:r>
        <w:br/>
      </w:r>
      <w:r>
        <w:rPr>
          <w:rStyle w:val="VerbatimChar"/>
        </w:rPr>
        <w:t xml:space="preserve">#&gt;  P broom         0.7.3   2020-12-16 [?] CRAN (R 4.0.2)</w:t>
      </w:r>
      <w:r>
        <w:br/>
      </w:r>
      <w:r>
        <w:rPr>
          <w:rStyle w:val="VerbatimChar"/>
        </w:rPr>
        <w:t xml:space="preserve">#&gt;    cachem        1.0.5   2021-05-15 [1] CRAN (R 4.0.2)</w:t>
      </w:r>
      <w:r>
        <w:br/>
      </w:r>
      <w:r>
        <w:rPr>
          <w:rStyle w:val="VerbatimChar"/>
        </w:rPr>
        <w:t xml:space="preserve">#&gt;    callr         3.7.0   2021-04-20 [1] CRAN (R 4.0.2)</w:t>
      </w:r>
      <w:r>
        <w:br/>
      </w:r>
      <w:r>
        <w:rPr>
          <w:rStyle w:val="VerbatimChar"/>
        </w:rPr>
        <w:t xml:space="preserve">#&gt;  P cellranger    1.1.0   2016-07-27 [?] CRAN (R 4.0.2)</w:t>
      </w:r>
      <w:r>
        <w:br/>
      </w:r>
      <w:r>
        <w:rPr>
          <w:rStyle w:val="VerbatimChar"/>
        </w:rPr>
        <w:t xml:space="preserve">#&gt;    cli           2.5.0   2021-04-26 [1] CRAN (R 4.0.2)</w:t>
      </w:r>
      <w:r>
        <w:br/>
      </w:r>
      <w:r>
        <w:rPr>
          <w:rStyle w:val="VerbatimChar"/>
        </w:rPr>
        <w:t xml:space="preserve">#&gt;  P coda          0.19-4  2020-09-30 [?] CRAN (R 4.0.2)</w:t>
      </w:r>
      <w:r>
        <w:br/>
      </w:r>
      <w:r>
        <w:rPr>
          <w:rStyle w:val="VerbatimChar"/>
        </w:rPr>
        <w:t xml:space="preserve">#&gt;  P colorspace    2.0-0   2020-11-11 [?] CRAN (R 4.0.2)</w:t>
      </w:r>
      <w:r>
        <w:br/>
      </w:r>
      <w:r>
        <w:rPr>
          <w:rStyle w:val="VerbatimChar"/>
        </w:rPr>
        <w:t xml:space="preserve">#&gt;    crayon        1.4.1   2021-02-08 [1] CRAN (R 4.0.2)</w:t>
      </w:r>
      <w:r>
        <w:br/>
      </w:r>
      <w:r>
        <w:rPr>
          <w:rStyle w:val="VerbatimChar"/>
        </w:rPr>
        <w:t xml:space="preserve">#&gt;  P data.table    1.13.6  2020-12-30 [?] CRAN (R 4.0.2)</w:t>
      </w:r>
      <w:r>
        <w:br/>
      </w:r>
      <w:r>
        <w:rPr>
          <w:rStyle w:val="VerbatimChar"/>
        </w:rPr>
        <w:t xml:space="preserve">#&gt;  P DBI           1.1.1   2021-01-15 [?] CRAN (R 4.0.2)</w:t>
      </w:r>
      <w:r>
        <w:br/>
      </w:r>
      <w:r>
        <w:rPr>
          <w:rStyle w:val="VerbatimChar"/>
        </w:rPr>
        <w:t xml:space="preserve">#&gt;  P dbplyr        2.0.0   2020-11-03 [?] CRAN (R 4.0.2)</w:t>
      </w:r>
      <w:r>
        <w:br/>
      </w:r>
      <w:r>
        <w:rPr>
          <w:rStyle w:val="VerbatimChar"/>
        </w:rPr>
        <w:t xml:space="preserve">#&gt;    desc          1.3.0   2021-03-05 [1] CRAN (R 4.0.2)</w:t>
      </w:r>
      <w:r>
        <w:br/>
      </w:r>
      <w:r>
        <w:rPr>
          <w:rStyle w:val="VerbatimChar"/>
        </w:rPr>
        <w:t xml:space="preserve">#&gt;    devtools      2.4.1   2021-05-05 [1] CRAN (R 4.0.2)</w:t>
      </w:r>
      <w:r>
        <w:br/>
      </w:r>
      <w:r>
        <w:rPr>
          <w:rStyle w:val="VerbatimChar"/>
        </w:rPr>
        <w:t xml:space="preserve">#&gt;  P digest        0.6.27  2020-10-24 [?] CRAN (R 4.0.2)</w:t>
      </w:r>
      <w:r>
        <w:br/>
      </w:r>
      <w:r>
        <w:rPr>
          <w:rStyle w:val="VerbatimChar"/>
        </w:rPr>
        <w:t xml:space="preserve">#&gt;  P dplyr       * 1.0.3   2021-01-15 [?] CRAN (R 4.0.2)</w:t>
      </w:r>
      <w:r>
        <w:br/>
      </w:r>
      <w:r>
        <w:rPr>
          <w:rStyle w:val="VerbatimChar"/>
        </w:rPr>
        <w:t xml:space="preserve">#&gt;    ellipsis      0.3.2   2021-04-29 [1] CRAN (R 4.0.2)</w:t>
      </w:r>
      <w:r>
        <w:br/>
      </w:r>
      <w:r>
        <w:rPr>
          <w:rStyle w:val="VerbatimChar"/>
        </w:rPr>
        <w:t xml:space="preserve">#&gt;  P evaluate      0.14    2019-05-28 [?] CRAN (R 4.0.1)</w:t>
      </w:r>
      <w:r>
        <w:br/>
      </w:r>
      <w:r>
        <w:rPr>
          <w:rStyle w:val="VerbatimChar"/>
        </w:rPr>
        <w:t xml:space="preserve">#&gt;    fansi         0.4.2   2021-01-15 [1] CRAN (R 4.0.2)</w:t>
      </w:r>
      <w:r>
        <w:br/>
      </w:r>
      <w:r>
        <w:rPr>
          <w:rStyle w:val="VerbatimChar"/>
        </w:rPr>
        <w:t xml:space="preserve">#&gt;    fastmap       1.1.0   2021-01-25 [1] CRAN (R 4.0.2)</w:t>
      </w:r>
      <w:r>
        <w:br/>
      </w:r>
      <w:r>
        <w:rPr>
          <w:rStyle w:val="VerbatimChar"/>
        </w:rPr>
        <w:t xml:space="preserve">#&gt;  P flextable   * 0.6.2   2021-01-25 [?] CRAN (R 4.0.2)</w:t>
      </w:r>
      <w:r>
        <w:br/>
      </w:r>
      <w:r>
        <w:rPr>
          <w:rStyle w:val="VerbatimChar"/>
        </w:rPr>
        <w:t xml:space="preserve">#&gt;    forcats     * 0.5.1   2021-01-27 [1] CRAN (R 4.0.3)</w:t>
      </w:r>
      <w:r>
        <w:br/>
      </w:r>
      <w:r>
        <w:rPr>
          <w:rStyle w:val="VerbatimChar"/>
        </w:rPr>
        <w:t xml:space="preserve">#&gt;  P fs            1.5.0   2020-07-31 [?] CRAN (R 4.0.2)</w:t>
      </w:r>
      <w:r>
        <w:br/>
      </w:r>
      <w:r>
        <w:rPr>
          <w:rStyle w:val="VerbatimChar"/>
        </w:rPr>
        <w:t xml:space="preserve">#&gt;  P gdtools       0.2.3   2021-01-06 [?] CRAN (R 4.0.2)</w:t>
      </w:r>
      <w:r>
        <w:br/>
      </w:r>
      <w:r>
        <w:rPr>
          <w:rStyle w:val="VerbatimChar"/>
        </w:rPr>
        <w:t xml:space="preserve">#&gt;  P generics      0.1.0   2020-10-31 [?] CRAN (R 4.0.2)</w:t>
      </w:r>
      <w:r>
        <w:br/>
      </w:r>
      <w:r>
        <w:rPr>
          <w:rStyle w:val="VerbatimChar"/>
        </w:rPr>
        <w:t xml:space="preserve">#&gt;  P ggplot2     * 3.3.3   2020-12-30 [?] CRAN (R 4.0.2)</w:t>
      </w:r>
      <w:r>
        <w:br/>
      </w:r>
      <w:r>
        <w:rPr>
          <w:rStyle w:val="VerbatimChar"/>
        </w:rPr>
        <w:t xml:space="preserve">#&gt;  P ggridges      0.5.3   2021-01-08 [?] CRAN (R 4.0.2)</w:t>
      </w:r>
      <w:r>
        <w:br/>
      </w:r>
      <w:r>
        <w:rPr>
          <w:rStyle w:val="VerbatimChar"/>
        </w:rPr>
        <w:t xml:space="preserve">#&gt;  P glue          1.4.2   2020-08-27 [?] CRAN (R 4.0.2)</w:t>
      </w:r>
      <w:r>
        <w:br/>
      </w:r>
      <w:r>
        <w:rPr>
          <w:rStyle w:val="VerbatimChar"/>
        </w:rPr>
        <w:t xml:space="preserve">#&gt;  P gtable        0.3.0   2019-03-25 [?] CRAN (R 4.0.2)</w:t>
      </w:r>
      <w:r>
        <w:br/>
      </w:r>
      <w:r>
        <w:rPr>
          <w:rStyle w:val="VerbatimChar"/>
        </w:rPr>
        <w:t xml:space="preserve">#&gt;  P haven         2.3.1   2020-06-01 [?] CRAN (R 4.0.2)</w:t>
      </w:r>
      <w:r>
        <w:br/>
      </w:r>
      <w:r>
        <w:rPr>
          <w:rStyle w:val="VerbatimChar"/>
        </w:rPr>
        <w:t xml:space="preserve">#&gt;  P here          1.0.1   2020-12-13 [?] CRAN (R 4.0.2)</w:t>
      </w:r>
      <w:r>
        <w:br/>
      </w:r>
      <w:r>
        <w:rPr>
          <w:rStyle w:val="VerbatimChar"/>
        </w:rPr>
        <w:t xml:space="preserve">#&gt;    highr         0.9     2021-04-16 [1] CRAN (R 4.0.2)</w:t>
      </w:r>
      <w:r>
        <w:br/>
      </w:r>
      <w:r>
        <w:rPr>
          <w:rStyle w:val="VerbatimChar"/>
        </w:rPr>
        <w:t xml:space="preserve">#&gt;  P hms           1.0.0   2021-01-13 [?] CRAN (R 4.0.2)</w:t>
      </w:r>
      <w:r>
        <w:br/>
      </w:r>
      <w:r>
        <w:rPr>
          <w:rStyle w:val="VerbatimChar"/>
        </w:rPr>
        <w:t xml:space="preserve">#&gt;    htmltools     0.5.1.1 2021-01-22 [1] CRAN (R 4.0.2)</w:t>
      </w:r>
      <w:r>
        <w:br/>
      </w:r>
      <w:r>
        <w:rPr>
          <w:rStyle w:val="VerbatimChar"/>
        </w:rPr>
        <w:t xml:space="preserve">#&gt;  P httr          1.4.2   2020-07-20 [?] CRAN (R 4.0.2)</w:t>
      </w:r>
      <w:r>
        <w:br/>
      </w:r>
      <w:r>
        <w:rPr>
          <w:rStyle w:val="VerbatimChar"/>
        </w:rPr>
        <w:t xml:space="preserve">#&gt;  P jsonlite      1.7.2   2020-12-09 [?] CRAN (R 4.0.2)</w:t>
      </w:r>
      <w:r>
        <w:br/>
      </w:r>
      <w:r>
        <w:rPr>
          <w:rStyle w:val="VerbatimChar"/>
        </w:rPr>
        <w:t xml:space="preserve">#&gt;    knitr         1.33    2021-04-24 [1] CRAN (R 4.0.2)</w:t>
      </w:r>
      <w:r>
        <w:br/>
      </w:r>
      <w:r>
        <w:rPr>
          <w:rStyle w:val="VerbatimChar"/>
        </w:rPr>
        <w:t xml:space="preserve">#&gt;  P lattice       0.20-41 2020-04-02 [3] CRAN (R 4.0.3)</w:t>
      </w:r>
      <w:r>
        <w:br/>
      </w:r>
      <w:r>
        <w:rPr>
          <w:rStyle w:val="VerbatimChar"/>
        </w:rPr>
        <w:t xml:space="preserve">#&gt;    lifecycle     1.0.0   2021-02-15 [1] CRAN (R 4.0.2)</w:t>
      </w:r>
      <w:r>
        <w:br/>
      </w:r>
      <w:r>
        <w:rPr>
          <w:rStyle w:val="VerbatimChar"/>
        </w:rPr>
        <w:t xml:space="preserve">#&gt;  P lubridate     1.7.9.2 2020-11-13 [?] CRAN (R 4.0.2)</w:t>
      </w:r>
      <w:r>
        <w:br/>
      </w:r>
      <w:r>
        <w:rPr>
          <w:rStyle w:val="VerbatimChar"/>
        </w:rPr>
        <w:t xml:space="preserve">#&gt;  P magrittr      2.0.1   2020-11-17 [?] CRAN (R 4.0.2)</w:t>
      </w:r>
      <w:r>
        <w:br/>
      </w:r>
      <w:r>
        <w:rPr>
          <w:rStyle w:val="VerbatimChar"/>
        </w:rPr>
        <w:t xml:space="preserve">#&gt;    memoise       2.0.0   2021-01-26 [1] CRAN (R 4.0.2)</w:t>
      </w:r>
      <w:r>
        <w:br/>
      </w:r>
      <w:r>
        <w:rPr>
          <w:rStyle w:val="VerbatimChar"/>
        </w:rPr>
        <w:t xml:space="preserve">#&gt;  P modelr        0.1.8   2020-05-19 [?] CRAN (R 4.0.2)</w:t>
      </w:r>
      <w:r>
        <w:br/>
      </w:r>
      <w:r>
        <w:rPr>
          <w:rStyle w:val="VerbatimChar"/>
        </w:rPr>
        <w:t xml:space="preserve">#&gt;  P munsell       0.5.0   2018-06-12 [?] CRAN (R 4.0.2)</w:t>
      </w:r>
      <w:r>
        <w:br/>
      </w:r>
      <w:r>
        <w:rPr>
          <w:rStyle w:val="VerbatimChar"/>
        </w:rPr>
        <w:t xml:space="preserve">#&gt;  P officer       0.3.16  2021-01-04 [?] CRAN (R 4.0.2)</w:t>
      </w:r>
      <w:r>
        <w:br/>
      </w:r>
      <w:r>
        <w:rPr>
          <w:rStyle w:val="VerbatimChar"/>
        </w:rPr>
        <w:t xml:space="preserve">#&gt;    pillar        1.6.1   2021-05-16 [1] CRAN (R 4.0.2)</w:t>
      </w:r>
      <w:r>
        <w:br/>
      </w:r>
      <w:r>
        <w:rPr>
          <w:rStyle w:val="VerbatimChar"/>
        </w:rPr>
        <w:t xml:space="preserve">#&gt;  P pkgbuild      1.2.0   2020-12-15 [?] CRAN (R 4.0.2)</w:t>
      </w:r>
      <w:r>
        <w:br/>
      </w:r>
      <w:r>
        <w:rPr>
          <w:rStyle w:val="VerbatimChar"/>
        </w:rPr>
        <w:t xml:space="preserve">#&gt;  P pkgconfig     2.0.3   2019-09-22 [?] CRAN (R 4.0.2)</w:t>
      </w:r>
      <w:r>
        <w:br/>
      </w:r>
      <w:r>
        <w:rPr>
          <w:rStyle w:val="VerbatimChar"/>
        </w:rPr>
        <w:t xml:space="preserve">#&gt;    pkgload       1.2.1   2021-04-06 [1] CRAN (R 4.0.2)</w:t>
      </w:r>
      <w:r>
        <w:br/>
      </w:r>
      <w:r>
        <w:rPr>
          <w:rStyle w:val="VerbatimChar"/>
        </w:rPr>
        <w:t xml:space="preserve">#&gt;  P plyr          1.8.6   2020-03-03 [?] CRAN (R 4.0.2)</w:t>
      </w:r>
      <w:r>
        <w:br/>
      </w:r>
      <w:r>
        <w:rPr>
          <w:rStyle w:val="VerbatimChar"/>
        </w:rPr>
        <w:t xml:space="preserve">#&gt;  P png           0.1-7   2013-12-03 [?] CRAN (R 4.0.2)</w:t>
      </w:r>
      <w:r>
        <w:br/>
      </w:r>
      <w:r>
        <w:rPr>
          <w:rStyle w:val="VerbatimChar"/>
        </w:rPr>
        <w:t xml:space="preserve">#&gt;  P prettyunits   1.1.1   2020-01-24 [?] CRAN (R 4.0.2)</w:t>
      </w:r>
      <w:r>
        <w:br/>
      </w:r>
      <w:r>
        <w:rPr>
          <w:rStyle w:val="VerbatimChar"/>
        </w:rPr>
        <w:t xml:space="preserve">#&gt;    processx      3.5.2   2021-04-30 [1] CRAN (R 4.0.2)</w:t>
      </w:r>
      <w:r>
        <w:br/>
      </w:r>
      <w:r>
        <w:rPr>
          <w:rStyle w:val="VerbatimChar"/>
        </w:rPr>
        <w:t xml:space="preserve">#&gt;    ps            1.6.0   2021-02-28 [1] CRAN (R 4.0.2)</w:t>
      </w:r>
      <w:r>
        <w:br/>
      </w:r>
      <w:r>
        <w:rPr>
          <w:rStyle w:val="VerbatimChar"/>
        </w:rPr>
        <w:t xml:space="preserve">#&gt;  P purrr       * 0.3.4   2020-04-17 [?] CRAN (R 4.0.2)</w:t>
      </w:r>
      <w:r>
        <w:br/>
      </w:r>
      <w:r>
        <w:rPr>
          <w:rStyle w:val="VerbatimChar"/>
        </w:rPr>
        <w:t xml:space="preserve">#&gt;  P R6            2.5.0   2020-10-28 [?] CRAN (R 4.0.2)</w:t>
      </w:r>
      <w:r>
        <w:br/>
      </w:r>
      <w:r>
        <w:rPr>
          <w:rStyle w:val="VerbatimChar"/>
        </w:rPr>
        <w:t xml:space="preserve">#&gt;  P Rcpp          1.0.6   2021-01-15 [?] CRAN (R 4.0.2)</w:t>
      </w:r>
      <w:r>
        <w:br/>
      </w:r>
      <w:r>
        <w:rPr>
          <w:rStyle w:val="VerbatimChar"/>
        </w:rPr>
        <w:t xml:space="preserve">#&gt;  P readr       * 1.4.0   2020-10-05 [?] CRAN (R 4.0.2)</w:t>
      </w:r>
      <w:r>
        <w:br/>
      </w:r>
      <w:r>
        <w:rPr>
          <w:rStyle w:val="VerbatimChar"/>
        </w:rPr>
        <w:t xml:space="preserve">#&gt;  P readxl        1.3.1   2019-03-13 [?] CRAN (R 4.0.2)</w:t>
      </w:r>
      <w:r>
        <w:br/>
      </w:r>
      <w:r>
        <w:rPr>
          <w:rStyle w:val="VerbatimChar"/>
        </w:rPr>
        <w:t xml:space="preserve">#&gt;    remotes       2.3.0   2021-04-01 [1] CRAN (R 4.0.2)</w:t>
      </w:r>
      <w:r>
        <w:br/>
      </w:r>
      <w:r>
        <w:rPr>
          <w:rStyle w:val="VerbatimChar"/>
        </w:rPr>
        <w:t xml:space="preserve">#&gt;  P reprex        0.3.0   2019-05-16 [?] CRAN (R 4.0.2)</w:t>
      </w:r>
      <w:r>
        <w:br/>
      </w:r>
      <w:r>
        <w:rPr>
          <w:rStyle w:val="VerbatimChar"/>
        </w:rPr>
        <w:t xml:space="preserve">#&gt;    rlang         0.4.11  2021-04-30 [1] CRAN (R 4.0.2)</w:t>
      </w:r>
      <w:r>
        <w:br/>
      </w:r>
      <w:r>
        <w:rPr>
          <w:rStyle w:val="VerbatimChar"/>
        </w:rPr>
        <w:t xml:space="preserve">#&gt;    rmarkdown     2.8     2021-05-07 [1]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scales        1.1.1   2020-05-11 [?] CRAN (R 4.0.2)</w:t>
      </w:r>
      <w:r>
        <w:br/>
      </w:r>
      <w:r>
        <w:rPr>
          <w:rStyle w:val="VerbatimChar"/>
        </w:rPr>
        <w:t xml:space="preserve">#&gt;  P sessioninfo   1.1.1   2018-11-05 [?] CRAN (R 4.0.2)</w:t>
      </w:r>
      <w:r>
        <w:br/>
      </w:r>
      <w:r>
        <w:rPr>
          <w:rStyle w:val="VerbatimChar"/>
        </w:rPr>
        <w:t xml:space="preserve">#&gt;    stringi       1.6.2   2021-05-17 [1] CRAN (R 4.0.2)</w:t>
      </w:r>
      <w:r>
        <w:br/>
      </w:r>
      <w:r>
        <w:rPr>
          <w:rStyle w:val="VerbatimChar"/>
        </w:rPr>
        <w:t xml:space="preserve">#&gt;  P stringr     * 1.4.0   2019-02-10 [?] CRAN (R 4.0.2)</w:t>
      </w:r>
      <w:r>
        <w:br/>
      </w:r>
      <w:r>
        <w:rPr>
          <w:rStyle w:val="VerbatimChar"/>
        </w:rPr>
        <w:t xml:space="preserve">#&gt;  P systemfonts   0.3.2   2020-09-29 [?] CRAN (R 4.0.2)</w:t>
      </w:r>
      <w:r>
        <w:br/>
      </w:r>
      <w:r>
        <w:rPr>
          <w:rStyle w:val="VerbatimChar"/>
        </w:rPr>
        <w:t xml:space="preserve">#&gt;    testthat      3.0.2   2021-02-14 [1] CRAN (R 4.0.2)</w:t>
      </w:r>
      <w:r>
        <w:br/>
      </w:r>
      <w:r>
        <w:rPr>
          <w:rStyle w:val="VerbatimChar"/>
        </w:rPr>
        <w:t xml:space="preserve">#&gt;    tibble      * 3.1.2   2021-05-16 [1] CRAN (R 4.0.2)</w:t>
      </w:r>
      <w:r>
        <w:br/>
      </w:r>
      <w:r>
        <w:rPr>
          <w:rStyle w:val="VerbatimChar"/>
        </w:rPr>
        <w:t xml:space="preserve">#&gt;  P tidyr       * 1.1.2   2020-08-27 [?] CRAN (R 4.0.2)</w:t>
      </w:r>
      <w:r>
        <w:br/>
      </w:r>
      <w:r>
        <w:rPr>
          <w:rStyle w:val="VerbatimChar"/>
        </w:rPr>
        <w:t xml:space="preserve">#&gt;  P tidyselect    1.1.0   2020-05-11 [?] CRAN (R 4.0.2)</w:t>
      </w:r>
      <w:r>
        <w:br/>
      </w:r>
      <w:r>
        <w:rPr>
          <w:rStyle w:val="VerbatimChar"/>
        </w:rPr>
        <w:t xml:space="preserve">#&gt;  P tidyverse   * 1.3.0   2019-11-21 [?] CRAN (R 4.0.2)</w:t>
      </w:r>
      <w:r>
        <w:br/>
      </w:r>
      <w:r>
        <w:rPr>
          <w:rStyle w:val="VerbatimChar"/>
        </w:rPr>
        <w:t xml:space="preserve">#&gt;    usethis       2.0.1   2021-02-10 [1] CRAN (R 4.0.2)</w:t>
      </w:r>
      <w:r>
        <w:br/>
      </w:r>
      <w:r>
        <w:rPr>
          <w:rStyle w:val="VerbatimChar"/>
        </w:rPr>
        <w:t xml:space="preserve">#&gt;    utf8          1.2.1   2021-03-12 [1] CRAN (R 4.0.2)</w:t>
      </w:r>
      <w:r>
        <w:br/>
      </w:r>
      <w:r>
        <w:rPr>
          <w:rStyle w:val="VerbatimChar"/>
        </w:rPr>
        <w:t xml:space="preserve">#&gt;  P uuid          0.1-4   2020-02-26 [?] CRAN (R 4.0.2)</w:t>
      </w:r>
      <w:r>
        <w:br/>
      </w:r>
      <w:r>
        <w:rPr>
          <w:rStyle w:val="VerbatimChar"/>
        </w:rPr>
        <w:t xml:space="preserve">#&gt;    vctrs         0.3.8   2021-04-29 [1] CRAN (R 4.0.2)</w:t>
      </w:r>
      <w:r>
        <w:br/>
      </w:r>
      <w:r>
        <w:rPr>
          <w:rStyle w:val="VerbatimChar"/>
        </w:rPr>
        <w:t xml:space="preserve">#&gt;    withr         2.4.2   2021-04-18 [1] CRAN (R 4.0.2)</w:t>
      </w:r>
      <w:r>
        <w:br/>
      </w:r>
      <w:r>
        <w:rPr>
          <w:rStyle w:val="VerbatimChar"/>
        </w:rPr>
        <w:t xml:space="preserve">#&gt;    xfun          0.23    2021-05-15 [1] CRAN (R 4.0.2)</w:t>
      </w:r>
      <w:r>
        <w:br/>
      </w:r>
      <w:r>
        <w:rPr>
          <w:rStyle w:val="VerbatimChar"/>
        </w:rPr>
        <w:t xml:space="preserve">#&gt;  P xml2          1.3.2   2020-04-23 [?] CRAN (R 4.0.2)</w:t>
      </w:r>
      <w:r>
        <w:br/>
      </w:r>
      <w:r>
        <w:rPr>
          <w:rStyle w:val="VerbatimChar"/>
        </w:rPr>
        <w:t xml:space="preserve">#&gt;  P yaml          2.2.1   2020-02-01 [?] CRAN (R 4.0.2)</w:t>
      </w:r>
      <w:r>
        <w:br/>
      </w:r>
      <w:r>
        <w:rPr>
          <w:rStyle w:val="VerbatimChar"/>
        </w:rPr>
        <w:t xml:space="preserve">#&gt;  P zip           2.1.1   2020-08-27 [?] CRAN (R 4.0.2)</w:t>
      </w:r>
      <w:r>
        <w:br/>
      </w:r>
      <w:r>
        <w:rPr>
          <w:rStyle w:val="VerbatimChar"/>
        </w:rPr>
        <w:t xml:space="preserve">#&gt; </w:t>
      </w:r>
      <w:r>
        <w:br/>
      </w:r>
      <w:r>
        <w:rPr>
          <w:rStyle w:val="VerbatimChar"/>
        </w:rPr>
        <w:t xml:space="preserve">#&gt; [1] /Users/EmilyWang/Desktop/School document/LW-Papers/kwl-burials-2020/renv/library/R-4.0/x86_64-apple-darwin17.0</w:t>
      </w:r>
      <w:r>
        <w:br/>
      </w:r>
      <w:r>
        <w:rPr>
          <w:rStyle w:val="VerbatimChar"/>
        </w:rPr>
        <w:t xml:space="preserve">#&gt; [2] /private/var/folders/gd/flx6648926xgtkrpp55bl7200000gn/T/RtmpXwi7gU/renv-system-library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(git@github.com:LiYingWang/kwlburials.git)</w:t>
      </w:r>
      <w:r>
        <w:br/>
      </w:r>
      <w:r>
        <w:rPr>
          <w:rStyle w:val="VerbatimChar"/>
        </w:rPr>
        <w:t xml:space="preserve">#&gt; Head:     [f31f415] 2021-08-24: fix a citation in the rmd and knit</w:t>
      </w:r>
    </w:p>
    <w:p>
      <w:pPr>
        <w:pStyle w:val="FirstParagraph"/>
      </w:pPr>
      <w:r>
        <w:t xml:space="preserve">Word count: 2150</w:t>
      </w:r>
    </w:p>
    <w:bookmarkEnd w:id="72"/>
    <w:bookmarkEnd w:id="73"/>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A Bayesian networks approach to infer social changes from burials in northeastern Taiwan during the European colonization period</dc:title>
  <dc:creator>Li-Ying Wang; Ben Marwick</dc:creator>
  <cp:keywords/>
  <dcterms:created xsi:type="dcterms:W3CDTF">2021-08-24T04:35:38Z</dcterms:created>
  <dcterms:modified xsi:type="dcterms:W3CDTF">2021-08-24T04:35:38Z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../templates/journal-of-archaeological-science.csl</vt:lpwstr>
  </property>
  <property fmtid="{D5CDD505-2E9C-101B-9397-08002B2CF9AE}" pid="4" name="date">
    <vt:lpwstr>23 August, 2021</vt:lpwstr>
  </property>
  <property fmtid="{D5CDD505-2E9C-101B-9397-08002B2CF9AE}" pid="5" name="output">
    <vt:lpwstr/>
  </property>
</Properties>
</file>