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27</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colonization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are clustered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Although the northeastern Taiwan forms a circumscribed environment due to the surrounding mountains and sea, the sea provides a way through which indigenous people could interact with other groups from different regions, including other native indigenous groups in northern and southern Taiwan, foreign traders such as the Han people of China, and Europeans. This local exchange network of northeastern Taiwan had global connections after the 16th century because of its location on shipping routes between China and Japan (Chen 2005; Wang and Liu 2007). The groups involved in the exchange network consisted by the Chinese traders, indigenous groups called Basay in northern Taiwan, and indigenous groups, Kavalan, in northeastern Taiwan. Historical records indicate that the Kavalan people were one of the Basay’s trading partners, and they exchanged rice, deer skin, and gold for metal tools or ornaments, beads, and Chinese ceramics (Chen 2005; Hsieh 2009a; Li and Wu 2006).</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w:t>
      </w:r>
      <w:r>
        <w:t xml:space="preserve"> </w:t>
      </w:r>
      <w:r>
        <w:t xml:space="preserve">(</w:t>
      </w:r>
      <w:r>
        <w:rPr>
          <w:b/>
        </w:rPr>
        <w:t xml:space="preserve">???</w:t>
      </w:r>
      <w:r>
        <w:t xml:space="preserve">)</w:t>
      </w:r>
      <w:r>
        <w:t xml:space="preserve">. Other records mention that the female shamans (majuorbol) in the tribe used agate beads for healing ceremonies in rituals</w:t>
      </w:r>
      <w:r>
        <w:t xml:space="preserve"> </w:t>
      </w:r>
      <w:r>
        <w:t xml:space="preserve">(</w:t>
      </w:r>
      <w:r>
        <w:rPr>
          <w:b/>
        </w:rPr>
        <w:t xml:space="preserve">???</w:t>
      </w:r>
      <w:r>
        <w:t xml:space="preserve"> </w:t>
      </w:r>
      <w:r>
        <w:t xml:space="preserve">122, 143, 151)</w:t>
      </w:r>
      <w:r>
        <w:t xml:space="preserve">.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w:t>
      </w:r>
      <w:r>
        <w:t xml:space="preserve"> </w:t>
      </w:r>
      <w:r>
        <w:t xml:space="preserve">(</w:t>
      </w:r>
      <w:r>
        <w:rPr>
          <w:b/>
        </w:rPr>
        <w:t xml:space="preserve">???</w:t>
      </w:r>
      <w:r>
        <w:t xml:space="preserve"> </w:t>
      </w:r>
      <w:r>
        <w:t xml:space="preserve">153)</w:t>
      </w:r>
      <w:r>
        <w:t xml:space="preserve">.</w:t>
      </w:r>
    </w:p>
    <w:p>
      <w:pPr>
        <w:pStyle w:val="BodyText"/>
      </w:pPr>
      <w:r>
        <w:t xml:space="preserve">Documents from the Qing dynasty usually describe the decorative purposes of the ornaments. In the Kavalan Subprefecture Gazetteer</w:t>
      </w:r>
      <w:r>
        <w:t xml:space="preserve"> </w:t>
      </w:r>
      <w:r>
        <w:t xml:space="preserve">(</w:t>
      </w:r>
      <w:r>
        <w:rPr>
          <w:b/>
        </w:rPr>
        <w:t xml:space="preserve">???</w:t>
      </w:r>
      <w:r>
        <w:t xml:space="preserve">[1852]: 308)</w:t>
      </w:r>
      <w:r>
        <w:t xml:space="preserve">, the Kavalan Zhi Lue [</w:t>
      </w:r>
      <w:r>
        <w:t xml:space="preserve">(</w:t>
      </w:r>
      <w:r>
        <w:rPr>
          <w:b/>
        </w:rPr>
        <w:t xml:space="preserve">???</w:t>
      </w:r>
      <w:r>
        <w:t xml:space="preserve">)</w:t>
      </w:r>
      <w:r>
        <w:t xml:space="preserve">: 11, 126) and the Dong Cha Ji Lue</w:t>
      </w:r>
      <w:r>
        <w:t xml:space="preserve"> </w:t>
      </w:r>
      <w:r>
        <w:t xml:space="preserve">(</w:t>
      </w:r>
      <w:r>
        <w:rPr>
          <w:b/>
        </w:rPr>
        <w:t xml:space="preserve">???</w:t>
      </w:r>
      <w:r>
        <w:t xml:space="preserve">[1829]: 77)</w:t>
      </w:r>
      <w:r>
        <w:t xml:space="preserve">,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w:t>
      </w:r>
      <w:r>
        <w:t xml:space="preserve"> </w:t>
      </w:r>
      <w:r>
        <w:t xml:space="preserve">(</w:t>
      </w:r>
      <w:r>
        <w:rPr>
          <w:b/>
        </w:rPr>
        <w:t xml:space="preserve">???</w:t>
      </w:r>
      <w:r>
        <w:t xml:space="preserve"> </w:t>
      </w:r>
      <w:r>
        <w:t xml:space="preserve">227-232)</w:t>
      </w:r>
      <w:r>
        <w:t xml:space="preserve"> </w:t>
      </w:r>
      <w:r>
        <w:t xml:space="preserve">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w:t>
      </w:r>
      <w:r>
        <w:t xml:space="preserve"> </w:t>
      </w:r>
      <w:r>
        <w:t xml:space="preserve">(</w:t>
      </w:r>
      <w:r>
        <w:rPr>
          <w:b/>
        </w:rPr>
        <w:t xml:space="preserve">???</w:t>
      </w:r>
      <w:r>
        <w:t xml:space="preserve"> </w:t>
      </w:r>
      <w:r>
        <w:t xml:space="preserve">133-134)</w:t>
      </w:r>
      <w:r>
        <w:t xml:space="preserve">.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w:t>
      </w:r>
      <w:r>
        <w:t xml:space="preserve"> </w:t>
      </w:r>
      <w:r>
        <w:t xml:space="preserve">(</w:t>
      </w:r>
      <w:r>
        <w:rPr>
          <w:b/>
        </w:rPr>
        <w:t xml:space="preserve">???</w:t>
      </w:r>
      <w:r>
        <w:t xml:space="preserve"> </w:t>
      </w:r>
      <w:r>
        <w:t xml:space="preserve">22)</w:t>
      </w:r>
      <w:r>
        <w:t xml:space="preserve"> </w:t>
      </w:r>
      <w:r>
        <w:t xml:space="preserve">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Heading2"/>
      </w:pPr>
      <w:bookmarkStart w:id="37" w:name="spatial-distribution"/>
      <w:r>
        <w:t xml:space="preserve">Spatial distribution</w:t>
      </w:r>
      <w:bookmarkEnd w:id="37"/>
    </w:p>
    <w:p>
      <w:pPr>
        <w:pStyle w:val="FirstParagraph"/>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ornaments way more significant during the European contact period that might indicate some extent of control of ornaments.</w:t>
      </w:r>
    </w:p>
    <w:p>
      <w:pPr>
        <w:pStyle w:val="Heading1"/>
      </w:pPr>
      <w:bookmarkStart w:id="39" w:name="discussion"/>
      <w:r>
        <w:t xml:space="preserve">Discussion</w:t>
      </w:r>
      <w:bookmarkEnd w:id="39"/>
    </w:p>
    <w:p>
      <w:pPr>
        <w:pStyle w:val="FirstParagraph"/>
      </w:pPr>
      <w:r>
        <w:t xml:space="preserve">The introduction of ornaments to Northeastern Taiwan during different periods could inform how local indigenous people perceive and distribute the trading goods in different contexts of culture contacts by examining their frequency and spatial distribution across space. Taiwan island had been involved in regional exchange networks of Southeast Asia since Neolithic period, a global trade network during the European contact period in the early 17th century, and later intense but smaller scale network with Han Chinese communities since 19th century</w:t>
      </w:r>
      <w:r>
        <w:t xml:space="preserve"> </w:t>
      </w:r>
      <w:r>
        <w:t xml:space="preserve">(</w:t>
      </w:r>
      <w:r>
        <w:rPr>
          <w:b/>
        </w:rPr>
        <w:t xml:space="preserve">???</w:t>
      </w:r>
      <w:r>
        <w:t xml:space="preserve">)</w:t>
      </w:r>
      <w:r>
        <w:t xml:space="preserve">. Kiwulan demonstrates continuous occupation from the late Iron Age to one hundred years ago over 600 years that covers these three different culture contacts that enables a comparative research to explore the indirect influence of culture contact especially in the global colonial context. These three analytic chronology at Kiwulan represent different scale of exchange network and intensity of culture contact. For the scale of trade network, Pre-European contact can be defined as a middle scale represented by the prehistoric regional trade network in Southeast Asia. International trade network during the European contact presents a global scale, while local trade network during the Chinese contact presents a small scale. For the intensity of culture contact, both pre-European contact and European contact period could be defined as indirect contact, but the colonial power underlying the contact with the Europeans should be also considered. The culture contact during the Chinese period is more direct due to the migration of Han Chinese to Kiwulan.</w:t>
      </w:r>
    </w:p>
    <w:p>
      <w:pPr>
        <w:pStyle w:val="BodyText"/>
      </w:pPr>
      <w:r>
        <w:t xml:space="preserve">The results show there was a greater diversity of ornaments types and materials at Kiwulan during European contact. This might result from the large scale exchange network that stimulate the circulation of different ornaments classes. Among those ornaments, agate beads and metal rings have greater quantity and variety of shapes compared to copper bell and glass beads, which might indicate the diverse origins. However, the frequency of overall ornaments and each subtype declines significantly during the Chinese contact period. The reason could be related to smaller scale of network and the overall decline of Kiwulan population at that time. The spatial pattern of ornaments shows that there were some clusters appeared since pre-European and European contact period. The hypothesis testing for spatial pattern further indicate more concentration of ornaments during European contact. Because trade ornaments had been viewed as prestige goods in local cultural context in the prehistoric Northeastern Taiwan, this differentiation could reflect some level of social inequality appeared before European contact and then it was reinforced during European period.</w:t>
      </w:r>
    </w:p>
    <w:p>
      <w:pPr>
        <w:pStyle w:val="BodyText"/>
      </w:pPr>
      <w:r>
        <w:t xml:space="preserve">Q: Is the difference in the frequency of ornaments related to the intensity of contact, does it show any spatial pattern at Kiwulan that indicate the appearance of social inequality.</w:t>
      </w:r>
    </w:p>
    <w:p>
      <w:pPr>
        <w:pStyle w:val="BodyText"/>
      </w:pPr>
      <w:r>
        <w:t xml:space="preserve">Q: Is the difference in the frequency of ornaments related to the scale of exchange network, does it show any spatial pattern at Kiwulan that indicate the appearance of social inequality.</w:t>
      </w:r>
    </w:p>
    <w:p>
      <w:pPr>
        <w:pStyle w:val="Heading1"/>
      </w:pPr>
      <w:bookmarkStart w:id="40" w:name="conclusion"/>
      <w:r>
        <w:t xml:space="preserve">Conclusion</w:t>
      </w:r>
      <w:bookmarkEnd w:id="40"/>
    </w:p>
    <w:p>
      <w:pPr>
        <w:pStyle w:val="FirstParagraph"/>
      </w:pPr>
      <w:r>
        <w:t xml:space="preserve">Indirect influence of colonialism has been proposed recently and some studies reveal how peripheral areas had been influenced by the colonial activities or involved in the colonial economy centered in the major European colonies</w:t>
      </w:r>
      <w:r>
        <w:t xml:space="preserve"> </w:t>
      </w:r>
      <w:r>
        <w:t xml:space="preserve">(</w:t>
      </w:r>
      <w:r>
        <w:rPr>
          <w:b/>
        </w:rPr>
        <w:t xml:space="preserve">???</w:t>
      </w:r>
      <w:r>
        <w:t xml:space="preserve">)</w:t>
      </w:r>
      <w:r>
        <w:t xml:space="preserve">. Kiwulan in Northeastern Taiwan is an especially important case study where the location was relatively isolated and peripheral that can provide valuable insight into the discussion of influence of indirect colonial contacts. Foreign trade ornaments were viewed as prestige goods and played an important role in the cultural context of indigenous societies in northeastern Taiwan according to the use context as grave goods and historical documents written by foreign record keeper. As a status marker, the frequency and spatial distribution of body ornaments at Kiwulan present three distinct patterns during different culture contact periods. Greater amount and diversity ornament types during the European contact period reflects the international stimulation of exchange in a colonial context. Those ornaments may convey different meaning with exotic and colonizer image that increases more competitions between aggrandized individuals for prestige and wealth accumulation, which might result in a increasing social inequality. The spatial pattern of ornaments at Kiwulan during European contact presents multiple clusters that is significantly different from a random distribution pattern. This study demonstrate that foreign trade ornaments could be a proxy to detect the indirect colonial influence on local indigenous populations and give insights into the emergence of social inequality stimulated by the European colonization. It also shows the agency of indigenous people to incorporate and recontextualize the ornaments into their culture system. During the Chinese contact period, the decreasing frequency and diversity of ornaments showing a decline in the production, use and discard of ornaments at Kiwulan, which might be related to the smaller scale of exchange network with limited sources of ornaments or the overall decline of Kiwalan population. This is a case study that focuses on trade ornaments and more studies can be done to have a comparison with other archaeological evidence. Further studies to explore the extent of social inequality and the shift in social organization could be conducted by examining multiple line of evidence from Kiwulan, including pottery production and mortuary practices.</w:t>
      </w:r>
    </w:p>
    <w:p>
      <w:pPr>
        <w:pStyle w:val="Heading1"/>
      </w:pPr>
      <w:bookmarkStart w:id="41" w:name="acknowledgements"/>
      <w:r>
        <w:t xml:space="preserve">Acknowledgements</w:t>
      </w:r>
      <w:bookmarkEnd w:id="41"/>
    </w:p>
    <w:p>
      <w:pPr>
        <w:pStyle w:val="Heading5"/>
      </w:pPr>
      <w:bookmarkStart w:id="42" w:name="pagebreak"/>
      <w:r>
        <w:t xml:space="preserve">pagebreak</w:t>
      </w:r>
      <w:bookmarkEnd w:id="42"/>
    </w:p>
    <w:p>
      <w:pPr>
        <w:pStyle w:val="Heading1"/>
      </w:pPr>
      <w:bookmarkStart w:id="43" w:name="references"/>
      <w:r>
        <w:t xml:space="preserve">References</w:t>
      </w:r>
      <w:bookmarkEnd w:id="43"/>
    </w:p>
    <w:bookmarkStart w:id="44" w:name="refs"/>
    <w:bookmarkEnd w:id="44"/>
    <w:p>
      <w:pPr>
        <w:pStyle w:val="Heading5"/>
      </w:pPr>
      <w:bookmarkStart w:id="45" w:name="pagebreak-1"/>
      <w:r>
        <w:t xml:space="preserve">pagebreak</w:t>
      </w:r>
      <w:bookmarkEnd w:id="45"/>
    </w:p>
    <w:p>
      <w:pPr>
        <w:pStyle w:val="Heading3"/>
      </w:pPr>
      <w:bookmarkStart w:id="46" w:name="colophon"/>
      <w:r>
        <w:t xml:space="preserve">Colophon</w:t>
      </w:r>
      <w:bookmarkEnd w:id="46"/>
    </w:p>
    <w:p>
      <w:pPr>
        <w:pStyle w:val="FirstParagraph"/>
      </w:pPr>
      <w:r>
        <w:t xml:space="preserve">This report was generated on 2019-06-27 16:27:41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0.2.0   2019-06-20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3.2.0   2019-06-16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3.1-140 2019-05-12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2.1.0   2019-06-24 [1] CRAN (R 3.6.0)</w:t>
      </w:r>
      <w:r>
        <w:br w:type="textWrapping"/>
      </w:r>
      <w:r>
        <w:rPr>
          <w:rStyle w:val="VerbatimChar"/>
        </w:rPr>
        <w:t xml:space="preserve">#&gt;  rgeos            0.4-3   2019-04-24 [1] CRAN (R 3.6.0)</w:t>
      </w:r>
      <w:r>
        <w:br w:type="textWrapping"/>
      </w:r>
      <w:r>
        <w:rPr>
          <w:rStyle w:val="VerbatimChar"/>
        </w:rPr>
        <w:t xml:space="preserve">#&gt;  rlang            0.4.0   2019-06-25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1.60-1  2019-06-23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0.8     2019-06-25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[2690d45] 2019-06-26: update ggplot2 and fix the errors</w:t>
      </w:r>
    </w:p>
    <w:p>
      <w:pPr>
        <w:pStyle w:val="FirstParagraph"/>
      </w:pPr>
      <w:r>
        <w:t xml:space="preserve">Word count: 4458</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2019-06-27T23:27:47Z</dcterms:created>
  <dcterms:modified xsi:type="dcterms:W3CDTF">2019-06-27T23:27:47Z</dcterms:modified>
</cp:coreProperties>
</file>