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24.png" ContentType="image/png"/>
  <Override PartName="/word/media/rId29.png" ContentType="image/png"/>
  <Override PartName="/word/media/rId27.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26</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and-research-question"/>
      <w:r>
        <w:t xml:space="preserve">Introduction and Research Question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appeared in Taiwan around 1,800 years ago through the regional exchange network in Southeast Asia</w:t>
      </w:r>
      <w:r>
        <w:t xml:space="preserve"> </w:t>
      </w:r>
      <w:r>
        <w:t xml:space="preserve">(</w:t>
      </w:r>
      <w:r>
        <w:rPr>
          <w:b/>
        </w:rPr>
        <w:t xml:space="preserve">???</w:t>
      </w:r>
      <w:r>
        <w:t xml:space="preserve">)</w:t>
      </w:r>
      <w:r>
        <w:t xml:space="preserve">. Those new types of ornaments gradually replaced the earlier jade ornamental system in Taiwan since the transition of Late Neolithic and the Iron Age. We observed a greater quantity and variety of foreign goods in the early 17th century during the European canonization period that involved the whole island in an international trade network on a large scale. Foreign trade goods introduced into local indigenous societies in a colonial or imperial contexts usually had an impact on local societies in many parts of the world that might cause transformations of indigenous economic, cultural, and socio-political systems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 Contrary to as passive receptors of imperial power, the agency of indigenous people in the colonial contexts has been broadly discussed that emphasize the ability of active adoptions of foreign materials, negotiation between colonized and colonizer, and resistance of indigenous people through daily cultural practices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p>
    <w:p>
      <w:pPr>
        <w:pStyle w:val="BodyText"/>
      </w:pPr>
      <w:r>
        <w:t xml:space="preserve">Compared to other places in Asia and Oceania, the impact of European colonialism on indigenous communities in East Asia appears to have been much less pronounced. Direct colonial rule was rare and limited, but the question of long-lasting indirect impacts on local communities remains unanswered. Indirect effects of colonialism is addressed recently to discuss the impact on the local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Yilan, is an especially unique example for exploring indirect effects due to its physically isolated location that made it not easily accessible to the Europeans and the colonial control was less compared to other parts of this region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Prior to the contact with the Europeans, there were small-scale regional exchange networks between China and Taiwan since in the Neolithic period. Also, northern Taiwan had been involved in long-distance networks of East Asia since 14th century, and encountered a large wave of Han Chinese migration in the 19th century. Northeastern Taiwan can provide a good example to explore the indirect impacts on indigenous societies caused by different foreign groups in different periods by taking a long-term perspective research.</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due to the large scale exchange network. We hypothesize that after Chinese contact there was a decline in the production, use and discard of ornaments at Kiwulan. We hypothesize that there are clustered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&lt;–Add a paragraph about exchange network before European contact–&gt;</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w:t>
      </w:r>
      <w:r>
        <w:t xml:space="preserve"> </w:t>
      </w:r>
      <w:r>
        <w:t xml:space="preserve">(</w:t>
      </w:r>
      <w:r>
        <w:rPr>
          <w:b/>
        </w:rPr>
        <w:t xml:space="preserve">???</w:t>
      </w:r>
      <w:r>
        <w:t xml:space="preserve">)</w:t>
      </w:r>
      <w:r>
        <w:t xml:space="preserve">. Other records mention that the female shamans (majuorbol) in the tribe used agate beads for healing ceremonies in rituals</w:t>
      </w:r>
      <w:r>
        <w:t xml:space="preserve"> </w:t>
      </w:r>
      <w:r>
        <w:t xml:space="preserve">(</w:t>
      </w:r>
      <w:r>
        <w:rPr>
          <w:b/>
        </w:rPr>
        <w:t xml:space="preserve">???</w:t>
      </w:r>
      <w:r>
        <w:t xml:space="preserve"> </w:t>
      </w:r>
      <w:r>
        <w:t xml:space="preserve">122, 143, 151)</w:t>
      </w:r>
      <w:r>
        <w:t xml:space="preserve">.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w:t>
      </w:r>
      <w:r>
        <w:t xml:space="preserve"> </w:t>
      </w:r>
      <w:r>
        <w:t xml:space="preserve">(</w:t>
      </w:r>
      <w:r>
        <w:rPr>
          <w:b/>
        </w:rPr>
        <w:t xml:space="preserve">???</w:t>
      </w:r>
      <w:r>
        <w:t xml:space="preserve"> </w:t>
      </w:r>
      <w:r>
        <w:t xml:space="preserve">153)</w:t>
      </w:r>
      <w:r>
        <w:t xml:space="preserve">.</w:t>
      </w:r>
    </w:p>
    <w:p>
      <w:pPr>
        <w:pStyle w:val="BodyText"/>
      </w:pPr>
      <w:r>
        <w:t xml:space="preserve">Documents from the Qing dynasty usually describe the decorative purposes of the ornaments. In the Kavalan Subprefecture Gazetteer</w:t>
      </w:r>
      <w:r>
        <w:t xml:space="preserve"> </w:t>
      </w:r>
      <w:r>
        <w:t xml:space="preserve">(</w:t>
      </w:r>
      <w:r>
        <w:rPr>
          <w:b/>
        </w:rPr>
        <w:t xml:space="preserve">???</w:t>
      </w:r>
      <w:r>
        <w:t xml:space="preserve">[1852]: 308)</w:t>
      </w:r>
      <w:r>
        <w:t xml:space="preserve">, the Kavalan Zhi Lue [</w:t>
      </w:r>
      <w:r>
        <w:t xml:space="preserve">(</w:t>
      </w:r>
      <w:r>
        <w:rPr>
          <w:b/>
        </w:rPr>
        <w:t xml:space="preserve">???</w:t>
      </w:r>
      <w:r>
        <w:t xml:space="preserve">)</w:t>
      </w:r>
      <w:r>
        <w:t xml:space="preserve">: 11, 126) and the Dong Cha Ji Lue</w:t>
      </w:r>
      <w:r>
        <w:t xml:space="preserve"> </w:t>
      </w:r>
      <w:r>
        <w:t xml:space="preserve">(</w:t>
      </w:r>
      <w:r>
        <w:rPr>
          <w:b/>
        </w:rPr>
        <w:t xml:space="preserve">???</w:t>
      </w:r>
      <w:r>
        <w:t xml:space="preserve">[1829]: 77)</w:t>
      </w:r>
      <w:r>
        <w:t xml:space="preserve">,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w:t>
      </w:r>
      <w:r>
        <w:t xml:space="preserve"> </w:t>
      </w:r>
      <w:r>
        <w:t xml:space="preserve">(</w:t>
      </w:r>
      <w:r>
        <w:rPr>
          <w:b/>
        </w:rPr>
        <w:t xml:space="preserve">???</w:t>
      </w:r>
      <w:r>
        <w:t xml:space="preserve"> </w:t>
      </w:r>
      <w:r>
        <w:t xml:space="preserve">227-232)</w:t>
      </w:r>
      <w:r>
        <w:t xml:space="preserve"> </w:t>
      </w:r>
      <w:r>
        <w:t xml:space="preserve">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w:t>
      </w:r>
      <w:r>
        <w:t xml:space="preserve"> </w:t>
      </w:r>
      <w:r>
        <w:t xml:space="preserve">(</w:t>
      </w:r>
      <w:r>
        <w:rPr>
          <w:b/>
        </w:rPr>
        <w:t xml:space="preserve">???</w:t>
      </w:r>
      <w:r>
        <w:t xml:space="preserve"> </w:t>
      </w:r>
      <w:r>
        <w:t xml:space="preserve">133-134)</w:t>
      </w:r>
      <w:r>
        <w:t xml:space="preserve">.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w:t>
      </w:r>
      <w:r>
        <w:t xml:space="preserve"> </w:t>
      </w:r>
      <w:r>
        <w:t xml:space="preserve">(</w:t>
      </w:r>
      <w:r>
        <w:rPr>
          <w:b/>
        </w:rPr>
        <w:t xml:space="preserve">???</w:t>
      </w:r>
      <w:r>
        <w:t xml:space="preserve"> </w:t>
      </w:r>
      <w:r>
        <w:t xml:space="preserve">22)</w:t>
      </w:r>
      <w:r>
        <w:t xml:space="preserve"> </w:t>
      </w:r>
      <w:r>
        <w:t xml:space="preserve">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w:t>
      </w:r>
    </w:p>
    <w:p>
      <w:pPr>
        <w:pStyle w:val="BodyText"/>
      </w:pPr>
      <w:r>
        <w:t xml:space="preserve">The ornaments studied in this paper came from 40 adjacent 4m x 4m units out of 262 units in the middle part of excavation.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&lt;–add a graph of 40 units and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Heading1"/>
      </w:pPr>
      <w:bookmarkStart w:id="23" w:name="samples-and-methods"/>
      <w:r>
        <w:t xml:space="preserve">Samples and Methods</w:t>
      </w:r>
      <w:bookmarkEnd w:id="23"/>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s-by-period-2.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2: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28" w:name="frequency-between-time-periods"/>
      <w:r>
        <w:t xml:space="preserve">Frequency between time periods</w:t>
      </w:r>
      <w:bookmarkEnd w:id="28"/>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1</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w:t>
      </w:r>
      <w:r>
        <w:rPr>
          <w:b/>
        </w:rPr>
        <w:t xml:space="preserve">???</w:t>
      </w:r>
      <w:r>
        <w:t xml:space="preserve">)</w:t>
      </w:r>
      <w:r>
        <w:t xml:space="preserve">.</w:t>
      </w:r>
    </w:p>
    <w:p>
      <w:pPr>
        <w:pStyle w:val="CaptionedFigure"/>
      </w:pPr>
      <w:r>
        <w:drawing>
          <wp:inline>
            <wp:extent cx="5943600" cy="4754880"/>
            <wp:effectExtent b="0" l="0" r="0" t="0"/>
            <wp:docPr descr="Figure 3: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pattern-each-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2.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3.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4.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5.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35" w:name="frequency-for-spatial-pattern"/>
      <w:r>
        <w:t xml:space="preserve">Frequency for spatial pattern</w:t>
      </w:r>
      <w:bookmarkEnd w:id="35"/>
    </w:p>
    <w:p>
      <w:pPr>
        <w:pStyle w:val="FirstParagraph"/>
      </w:pPr>
      <w:r>
        <w:t xml:space="preserve">Figure</w:t>
      </w:r>
      <w:r>
        <w:t xml:space="preserve"> </w:t>
      </w:r>
      <w:r>
        <w:t xml:space="preserve">3</w:t>
      </w:r>
      <w:r>
        <w:t xml:space="preserve"> </w:t>
      </w:r>
      <w:r>
        <w:t xml:space="preserve">presents the spatial distribution of all classes of ornaments for each time period. It shows that one square unearthed more ornaments than others in the pre-European contact. During the European contact period, the presence of ornaments is more ubiquitous with some clusters on northern part, and more randomly distributed during the Chinese contact period. When looking at the distribution for each major class individually, it shows that some clusters of different class of ornaments across the area during the European contact period, including golden bead, agate bead, metal ring, and bell. However, it seems no clear consistent pattern of concentration for those ornaments. Each class shows its own pattern that squares with higher number of ornaments distributed separately and independently. For example, the cluster of golden bead were found at the northern part, while the cluster of agate bead were found in the middle part. In contrast, there are more than one cluster of metal rings that distribute separately across the research area. Copper bells were usually found solely and seem randomly across the area. Before European contact, the map shows greater amount of glass beads were found at the northern and middle part of the research area, and more widespread during the European contact period. In the Chinese Contact period, both the amount and density of different classes of ornaments decreases that they were only found in a few squares, for example, golden bead and glass bead were only found in a couple squares at the middle part.</w:t>
      </w:r>
    </w:p>
    <w:p>
      <w:pPr>
        <w:pStyle w:val="CaptionedFigure"/>
      </w:pPr>
      <w:r>
        <w:drawing>
          <wp:inline>
            <wp:extent cx="5943600" cy="4754880"/>
            <wp:effectExtent b="0" l="0" r="0" t="0"/>
            <wp:docPr descr="Figure 4: Kernal density map" title="" id="1" name="Picture"/>
            <a:graphic>
              <a:graphicData uri="http://schemas.openxmlformats.org/drawingml/2006/picture">
                <pic:pic>
                  <pic:nvPicPr>
                    <pic:cNvPr descr="../figures/plot-all-densities-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 Kernal density map</w:t>
      </w:r>
    </w:p>
    <w:p>
      <w:pPr>
        <w:pStyle w:val="Heading2"/>
      </w:pPr>
      <w:bookmarkStart w:id="37" w:name="spatial-distribution"/>
      <w:r>
        <w:t xml:space="preserve">Spatial distribution</w:t>
      </w:r>
      <w:bookmarkEnd w:id="37"/>
    </w:p>
    <w:p>
      <w:pPr>
        <w:pStyle w:val="FirstParagraph"/>
      </w:pPr>
      <w:r>
        <w:t xml:space="preserve">Point pattern analysis is a way to assess whether the distribution of ornaments presents some spatial pattern that can indicate the changes during culture contact period. The location where ornaments from were square-based recorded, thus we took the intensity approach that focuses on the average density of points across space to explore their distribution. We randomly assigned points, here the location of ornaments, for each square according to the data, subset three groups for three time periods, and compute the kernal density for each time period for comparison. Kernal density estimations (KDE) can estimate the probability of the density of events across space by creating a continuous, smooth density surface across space. Here we use KDE to visualize the event of the presence of ornaments that were represents by maps on which we are able to see core areas and surrounding neighborhoods</w:t>
      </w:r>
      <w:r>
        <w:t xml:space="preserve"> </w:t>
      </w:r>
      <w:r>
        <w:t xml:space="preserve">(</w:t>
      </w:r>
      <w:r>
        <w:rPr>
          <w:b/>
        </w:rPr>
        <w:t xml:space="preserve">???</w:t>
      </w:r>
      <w:r>
        <w:t xml:space="preserve">)</w:t>
      </w:r>
      <w:r>
        <w:t xml:space="preserve">. Density value is assigned to each cell, of which the unit is meter. The results</w:t>
      </w:r>
      <w:r>
        <w:t xml:space="preserve"> </w:t>
      </w:r>
      <w:r>
        <w:t xml:space="preserve">4</w:t>
      </w:r>
      <w:r>
        <w:t xml:space="preserve"> </w:t>
      </w:r>
      <w:r>
        <w:t xml:space="preserve">show that there is one major core area during the pre-European contact period, multiple core areas during European contact period, and a single core during the Chinese contact period. Those maps present three consistent sub-region with shifting core area over time. The distribution might indicate different social groups who own more ornaments, and the multiple groups during European contact period might reflect a more corporate mode of social organization. However, the generation of core areas might be biased due to small sample size, for example, a few ornaments found at one single square during the Chinese period could create obvious core area. Next step is to test whether the distribution of ornaments is randomly distributed to understand the underlying social indication related to ornaments.</w:t>
      </w:r>
    </w:p>
    <w:p>
      <w:pPr>
        <w:pStyle w:val="CaptionedFigure"/>
      </w:pPr>
      <w:r>
        <w:drawing>
          <wp:inline>
            <wp:extent cx="5943600" cy="4754880"/>
            <wp:effectExtent b="0" l="0" r="0" t="0"/>
            <wp:docPr descr="Figure 5: Histogram of simulated ANN values" title="" id="1" name="Picture"/>
            <a:graphic>
              <a:graphicData uri="http://schemas.openxmlformats.org/drawingml/2006/picture">
                <pic:pic>
                  <pic:nvPicPr>
                    <pic:cNvPr descr="../figures/hypo-test-distrubution-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 Histogram of simulated ANN values</w:t>
      </w:r>
    </w:p>
    <w:p>
      <w:pPr>
        <w:pStyle w:val="BodyText"/>
      </w:pPr>
      <w:r>
        <w:t xml:space="preserve">Here we use Monte Carlo method to test for the complete spatial randomness of spatial events based on the average nearest-neighbor distance method. We hypothesize that the distribution of ornaments is consistent with a completely random process, and then simulate the presence of ornaments across the space for one thousand times for each time periods. We compare our data to the random pattern generated by simulated processes to see if the our data is randomly distributed or not. The results</w:t>
      </w:r>
      <w:r>
        <w:t xml:space="preserve"> </w:t>
      </w:r>
      <w:r>
        <w:t xml:space="preserve">5</w:t>
      </w:r>
      <w:r>
        <w:t xml:space="preserve"> </w:t>
      </w:r>
      <w:r>
        <w:t xml:space="preserve">are represented by histogram showing one thousand simulation with the blue line indicating our observed value. The results show that 100% of the simulated values are much more greater than our observed ANN value during the European contact period, which means the ornaments are clustered distributed. Similar result are also observed during the pre-European period but less extreme. The distribution of ornaments was random during the Chinese contact period and about one third of the simulated values are greater than our observed ANN value. This testing explains that the distribution of ornaments during the pre-European and European contact period might reflect the presence of different social groups. Moreover, the cluster of ornaments way more significant during the European contact period that might indicate some extent of control of ornaments.</w:t>
      </w:r>
    </w:p>
    <w:p>
      <w:pPr>
        <w:pStyle w:val="Heading1"/>
      </w:pPr>
      <w:bookmarkStart w:id="39" w:name="discussion"/>
      <w:r>
        <w:t xml:space="preserve">Discussion</w:t>
      </w:r>
      <w:bookmarkEnd w:id="39"/>
    </w:p>
    <w:p>
      <w:pPr>
        <w:pStyle w:val="FirstParagraph"/>
      </w:pPr>
      <w:r>
        <w:t xml:space="preserve">The introduction of ornaments to Northeastern Taiwan during different periods could inform how local indigenous people perceive and distribute the trading goods in different contexts of culture contacts by examining their frequency and spatial distribution across space. Taiwan island had been involved in regional exchange networks of Southeast Asia since Neolithic period, a global trade network during the European contact period in the early 17th century, and later intense but smaller scale network with Han Chinese communities since 19th century</w:t>
      </w:r>
      <w:r>
        <w:t xml:space="preserve"> </w:t>
      </w:r>
      <w:r>
        <w:t xml:space="preserve">(</w:t>
      </w:r>
      <w:r>
        <w:rPr>
          <w:b/>
        </w:rPr>
        <w:t xml:space="preserve">???</w:t>
      </w:r>
      <w:r>
        <w:t xml:space="preserve">)</w:t>
      </w:r>
      <w:r>
        <w:t xml:space="preserve">. Kiwulan demonstrates continuous occupation from the late Iron Age to one hundred years ago over 600 years that covers these three different culture contacts that enables a comparative research to explore the indirect influence of culture contact especially in the global colonial context. These three analytic chronology at Kiwulan represent different scale of exchange network and intensity of culture contact. For the scale of trade network, Pre-European contact can be defined as a middle scale represented by the prehistoric regional trade network in Southeast Asia. International trade network during the European contact presents a global scale, while local trade network during the Chinese contact presents a small scale. For the intensity of culture contact, both pre-European contact and European contact period could be defined as indirect contact, but the colonial power underlying the contact with the Europeans should be also considered. The culture contact during the Chinese period is more direct due to the migration of Han Chinese to Kiwulan.</w:t>
      </w:r>
    </w:p>
    <w:p>
      <w:pPr>
        <w:pStyle w:val="BodyText"/>
      </w:pPr>
      <w:r>
        <w:t xml:space="preserve">The results show there was a greater diversity of ornaments types and materials at Kiwulan during European contact. This might result from the large scale exchange network that stimulate the circulation of different ornaments classes. Among those ornaments, agate beads and metal rings have greater quantity and variety of shapes compared to copper bell and glass beads, which might indicate the diverse origins. However, the frequency of overall ornaments and each subtype declines significantly during the Chinese contact period. The reason could be related to smaller scale of network and the overall decline of Kiwulan population at that time. The spatial pattern of ornaments shows that there were some clusters appeared since pre-European and European contact period. The hypothesis testing for spatial pattern further indicate more concentration of ornaments during European contact. Because trade ornaments had been viewed as prestige goods in local cultural context in the prehistoric Northeastern Taiwan, this differentiation could reflect some level of social inequality appeared before European contact and then it was reinforced during European period.</w:t>
      </w:r>
    </w:p>
    <w:p>
      <w:pPr>
        <w:pStyle w:val="BodyText"/>
      </w:pPr>
      <w:r>
        <w:t xml:space="preserve">Q: Is the difference in the frequency of ornaments related to the intensity of contact, does it show any spatial pattern at Kiwulan that indicate the appearance of social inequality.</w:t>
      </w:r>
    </w:p>
    <w:p>
      <w:pPr>
        <w:pStyle w:val="BodyText"/>
      </w:pPr>
      <w:r>
        <w:t xml:space="preserve">Q: Is the difference in the frequency of ornaments related to the scale of exchange network, does it show any spatial pattern at Kiwulan that indicate the appearance of social inequality.</w:t>
      </w:r>
    </w:p>
    <w:p>
      <w:pPr>
        <w:pStyle w:val="Heading1"/>
      </w:pPr>
      <w:bookmarkStart w:id="40" w:name="conclusion"/>
      <w:r>
        <w:t xml:space="preserve">Conclusion</w:t>
      </w:r>
      <w:bookmarkEnd w:id="40"/>
    </w:p>
    <w:p>
      <w:pPr>
        <w:pStyle w:val="FirstParagraph"/>
      </w:pPr>
      <w:r>
        <w:t xml:space="preserve">Indirect influence of colonialism has been proposed recently and some students in many parts of the world</w:t>
      </w:r>
      <w:r>
        <w:t xml:space="preserve"> </w:t>
      </w:r>
      <w:r>
        <w:t xml:space="preserve">(</w:t>
      </w:r>
      <w:r>
        <w:rPr>
          <w:b/>
        </w:rPr>
        <w:t xml:space="preserve">???</w:t>
      </w:r>
      <w:r>
        <w:t xml:space="preserve">)</w:t>
      </w:r>
      <w:r>
        <w:t xml:space="preserve">. Kiwulan in Northeastern Taiwan is an especially important case study where the location was relatively isolated and peripheral that can provide valuable insight into the discussion of influence of indirect colonial contacts.</w:t>
      </w:r>
    </w:p>
    <w:p>
      <w:pPr>
        <w:pStyle w:val="Heading1"/>
      </w:pPr>
      <w:bookmarkStart w:id="41" w:name="acknowledgements"/>
      <w:r>
        <w:t xml:space="preserve">Acknowledgements</w:t>
      </w:r>
      <w:bookmarkEnd w:id="41"/>
    </w:p>
    <w:p>
      <w:pPr>
        <w:pStyle w:val="Heading5"/>
      </w:pPr>
      <w:bookmarkStart w:id="42" w:name="pagebreak"/>
      <w:r>
        <w:t xml:space="preserve">pagebreak</w:t>
      </w:r>
      <w:bookmarkEnd w:id="42"/>
    </w:p>
    <w:p>
      <w:pPr>
        <w:pStyle w:val="Heading1"/>
      </w:pPr>
      <w:bookmarkStart w:id="43" w:name="references"/>
      <w:r>
        <w:t xml:space="preserve">References</w:t>
      </w:r>
      <w:bookmarkEnd w:id="43"/>
    </w:p>
    <w:bookmarkStart w:id="44" w:name="refs"/>
    <w:bookmarkEnd w:id="44"/>
    <w:p>
      <w:pPr>
        <w:pStyle w:val="Heading5"/>
      </w:pPr>
      <w:bookmarkStart w:id="45" w:name="pagebreak-1"/>
      <w:r>
        <w:t xml:space="preserve">pagebreak</w:t>
      </w:r>
      <w:bookmarkEnd w:id="45"/>
    </w:p>
    <w:p>
      <w:pPr>
        <w:pStyle w:val="Heading3"/>
      </w:pPr>
      <w:bookmarkStart w:id="46" w:name="colophon"/>
      <w:r>
        <w:t xml:space="preserve">Colophon</w:t>
      </w:r>
      <w:bookmarkEnd w:id="46"/>
    </w:p>
    <w:p>
      <w:pPr>
        <w:pStyle w:val="FirstParagraph"/>
      </w:pPr>
      <w:r>
        <w:t xml:space="preserve">This report was generated on 2019-06-26 15:31:51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2019-06-26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abind            1.4-5   2016-07-21 [1] CRAN (R 3.6.0)</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codetools        0.2-16  2018-12-24 [1] CRAN (R 3.6.0)</w:t>
      </w:r>
      <w:r>
        <w:br w:type="textWrapping"/>
      </w:r>
      <w:r>
        <w:rPr>
          <w:rStyle w:val="VerbatimChar"/>
        </w:rPr>
        <w:t xml:space="preserve">#&gt;  colorspace       1.4-1   2019-03-18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deldir           0.1-21  2019-06-15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0.2.0   2019-06-20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foreign          0.8-71  2018-07-20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ggplot2        * 3.2.0   2019-06-16 [1] CRAN (R 3.6.0)</w:t>
      </w:r>
      <w:r>
        <w:br w:type="textWrapping"/>
      </w:r>
      <w:r>
        <w:rPr>
          <w:rStyle w:val="VerbatimChar"/>
        </w:rPr>
        <w:t xml:space="preserve">#&gt;  glue             1.3.1   2019-03-12 [1] CRAN (R 3.6.0)</w:t>
      </w:r>
      <w:r>
        <w:br w:type="textWrapping"/>
      </w:r>
      <w:r>
        <w:rPr>
          <w:rStyle w:val="VerbatimChar"/>
        </w:rPr>
        <w:t xml:space="preserve">#&gt;  goftest          1.1-1   2017-04-03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maptools       * 0.9-5   2019-02-18 [1] CRAN (R 3.6.0)</w:t>
      </w:r>
      <w:r>
        <w:br w:type="textWrapping"/>
      </w:r>
      <w:r>
        <w:rPr>
          <w:rStyle w:val="VerbatimChar"/>
        </w:rPr>
        <w:t xml:space="preserve">#&gt;  Matrix           1.2-17  2019-03-22 [1] CRAN (R 3.6.0)</w:t>
      </w:r>
      <w:r>
        <w:br w:type="textWrapping"/>
      </w:r>
      <w:r>
        <w:rPr>
          <w:rStyle w:val="VerbatimChar"/>
        </w:rPr>
        <w:t xml:space="preserve">#&gt;  memoise          1.1.0   2017-04-21 [1] CRAN (R 3.6.0)</w:t>
      </w:r>
      <w:r>
        <w:br w:type="textWrapping"/>
      </w:r>
      <w:r>
        <w:rPr>
          <w:rStyle w:val="VerbatimChar"/>
        </w:rPr>
        <w:t xml:space="preserve">#&gt;  mgcv             1.8-28  2019-03-21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 3.1-140 2019-05-12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polyclip         1.10-0  2019-03-14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raster         * 2.9-5   2019-05-14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2.1.0   2019-06-24 [1] CRAN (R 3.6.0)</w:t>
      </w:r>
      <w:r>
        <w:br w:type="textWrapping"/>
      </w:r>
      <w:r>
        <w:rPr>
          <w:rStyle w:val="VerbatimChar"/>
        </w:rPr>
        <w:t xml:space="preserve">#&gt;  rgeos            0.4-3   2019-04-24 [1] CRAN (R 3.6.0)</w:t>
      </w:r>
      <w:r>
        <w:br w:type="textWrapping"/>
      </w:r>
      <w:r>
        <w:rPr>
          <w:rStyle w:val="VerbatimChar"/>
        </w:rPr>
        <w:t xml:space="preserve">#&gt;  rlang            0.4.0   2019-06-25 [1] CRAN (R 3.6.0)</w:t>
      </w:r>
      <w:r>
        <w:br w:type="textWrapping"/>
      </w:r>
      <w:r>
        <w:rPr>
          <w:rStyle w:val="VerbatimChar"/>
        </w:rPr>
        <w:t xml:space="preserve">#&gt;  rmarkdown        1.13    2019-05-22 [1] CRAN (R 3.6.0)</w:t>
      </w:r>
      <w:r>
        <w:br w:type="textWrapping"/>
      </w:r>
      <w:r>
        <w:rPr>
          <w:rStyle w:val="VerbatimChar"/>
        </w:rPr>
        <w:t xml:space="preserve">#&gt;  rpart          * 4.1-15  2019-04-12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 1.3-1   2018-06-05 [1] CRAN (R 3.6.0)</w:t>
      </w:r>
      <w:r>
        <w:br w:type="textWrapping"/>
      </w:r>
      <w:r>
        <w:rPr>
          <w:rStyle w:val="VerbatimChar"/>
        </w:rPr>
        <w:t xml:space="preserve">#&gt;  spatstat       * 1.60-1  2019-06-23 [1] CRAN (R 3.6.0)</w:t>
      </w:r>
      <w:r>
        <w:br w:type="textWrapping"/>
      </w:r>
      <w:r>
        <w:rPr>
          <w:rStyle w:val="VerbatimChar"/>
        </w:rPr>
        <w:t xml:space="preserve">#&gt;  spatstat.data  * 1.4-0   2018-10-04 [1] CRAN (R 3.6.0)</w:t>
      </w:r>
      <w:r>
        <w:br w:type="textWrapping"/>
      </w:r>
      <w:r>
        <w:rPr>
          <w:rStyle w:val="VerbatimChar"/>
        </w:rPr>
        <w:t xml:space="preserve">#&gt;  spatstat.utils   1.13-0  2018-10-31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tensor           1.5     2012-05-05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0.8     2019-06-25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[7d3a5ce] 2019-06-26: can knit</w:t>
      </w:r>
    </w:p>
    <w:p>
      <w:pPr>
        <w:pStyle w:val="FirstParagraph"/>
      </w:pPr>
      <w:r>
        <w:t xml:space="preserve">Word count: 4001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2019-06-26T22:31:56Z</dcterms:created>
  <dcterms:modified xsi:type="dcterms:W3CDTF">2019-06-26T22:31:56Z</dcterms:modified>
</cp:coreProperties>
</file>