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479" w:rsidRDefault="00DA5635">
      <w:pPr>
        <w:pStyle w:val="Title"/>
      </w:pPr>
      <w:r>
        <w:t>Ornaments as indicators of social change before and after European arrival at Kiwulan, Northeastern Taiwan</w:t>
      </w:r>
    </w:p>
    <w:p w:rsidR="00706479" w:rsidRDefault="00DA5635">
      <w:pPr>
        <w:pStyle w:val="Author"/>
      </w:pPr>
      <w:r>
        <w:t>Li-Ying Wang</w:t>
      </w:r>
    </w:p>
    <w:p w:rsidR="00706479" w:rsidRDefault="00DA5635">
      <w:pPr>
        <w:pStyle w:val="Date"/>
      </w:pPr>
      <w:r>
        <w:t>22 September, 2019</w:t>
      </w:r>
    </w:p>
    <w:p w:rsidR="00706479" w:rsidRDefault="00DA5635">
      <w:pPr>
        <w:pStyle w:val="Abstract"/>
      </w:pPr>
      <w:r>
        <w:t xml:space="preserve">Long-lasting indirect impacts on indigenous peoples in the periphery of colonial control are poorly </w:t>
      </w:r>
      <w:r>
        <w:t>understood, especially in East Asia. Trade ornaments from Kiwulan (1400-1900 AD) in northeastern Taiwan show the indirect impacts of European colonial activities on local societies. The diversity of ornaments was greater during the period of European prese</w:t>
      </w:r>
      <w:r>
        <w:t>nce compared to previous periods, and their spatial distribution was more clustered. This hints at increasing social inequality resulting from a colonial influence. Ornaments give insights into the increasing social inequality stimulated by European coloni</w:t>
      </w:r>
      <w:r>
        <w:t>sation, and show the agency of indigenous people to incorporate ornaments into their social system.</w:t>
      </w:r>
    </w:p>
    <w:p w:rsidR="00706479" w:rsidRDefault="00DA5635">
      <w:pPr>
        <w:pStyle w:val="Heading1"/>
      </w:pPr>
      <w:bookmarkStart w:id="0" w:name="introduction"/>
      <w:r>
        <w:t>Introduction</w:t>
      </w:r>
      <w:bookmarkEnd w:id="0"/>
    </w:p>
    <w:p w:rsidR="00706479" w:rsidRDefault="00DA5635">
      <w:pPr>
        <w:pStyle w:val="FirstParagraph"/>
      </w:pPr>
      <w:r>
        <w:t xml:space="preserve">The direct impacts of European colonialism on indigenous communities in East Asia were much less conspicuous than in island Southeast Asia and </w:t>
      </w:r>
      <w:r>
        <w:t xml:space="preserve">Oceania. Direct European colonial rule throughout East Asia was rare and limited, and the question of long-lasting indirect impacts on local indigenous communities remains largely unanswered. Understanding the indirect effects of colonialism are important </w:t>
      </w:r>
      <w:r>
        <w:t>for detecting colonial impacts on indigenous peoples in the periphery of colonial control (Trabert 2017). In many parts of the world, the introduction of foreign trade goods by colonial traders into local indigenous societies caused substantial transformat</w:t>
      </w:r>
      <w:r>
        <w:t>ions of indigenous economic, cultural, and socio-political systems (Dietler 2005; Dietler 1997; Junker 1993; Silliman 2005). Consumption patterns of foreign goods can give insights into negotiations between colonized and colonizer, and the resistance and a</w:t>
      </w:r>
      <w:r>
        <w:t xml:space="preserve">ccommodations of indigenous people through their daily cultural practices (Dietler 2015; Given 2004; Mullins 2011; Scaramelli &amp; Scaramelli 2005; Silliman 2001; Torrence &amp; Clarke 2000; Voss 2005). Northeastern Taiwan is an ideal context to study peripheral </w:t>
      </w:r>
      <w:r>
        <w:t>colonial influence because although there was a prominent Spanish and Dutch colonial presence in Taiwan, the northeast region was isolated from intensive direct contact by the Xueshan Mountains.</w:t>
      </w:r>
    </w:p>
    <w:p w:rsidR="00706479" w:rsidRDefault="00DA5635">
      <w:pPr>
        <w:pStyle w:val="BodyText"/>
      </w:pPr>
      <w:r>
        <w:t>This article describes ornaments excavated from Kiwulan (700-</w:t>
      </w:r>
      <w:r>
        <w:t>1900 AD), the largest Iron Age settlement on the Yilan plain in northeast Taiwan. The first recorded European presence in Yilan was a Spanish revenge attack on indigenous villages in 1632 (Borao 2001: 163). In 1647 the Dutch attacked villages and forced th</w:t>
      </w:r>
      <w:r>
        <w:t>em to accept colonial rules and pay an annual tribute (Andrade 2007). According to Dutch census reports in 1650, Kiwulan was the largest indigenous settlement in the plain, with a population of 840 adults (Nakamura 1938: 12). Following defeat of Dutch by t</w:t>
      </w:r>
      <w:r>
        <w:t>he Chinese general Koxinga in 1661-2, the Dutch abandoned northern Taiwan. Direct contact with Han Chinese is indicated by Qing dynasty census reports mentioning Yilan villages in 1821 (Yao 1996).</w:t>
      </w:r>
    </w:p>
    <w:p w:rsidR="00706479" w:rsidRDefault="00DA5635">
      <w:pPr>
        <w:pStyle w:val="BodyText"/>
      </w:pPr>
      <w:r>
        <w:lastRenderedPageBreak/>
        <w:t>One of the most commonly traded types of object in this reg</w:t>
      </w:r>
      <w:r>
        <w:t>ion were personal ornaments such as glass and stone beads (Chen 2007; Li &amp; Chiu 2014; National Musuem of Taiwan History 2005). Personal adornments in the archaeological record are useful as signal of an individual’s status (Joyce 2005; Scaramelli &amp; Scarame</w:t>
      </w:r>
      <w:r>
        <w:t xml:space="preserve">lli 2005). For example, the consumption of stone beads in Southeast Asia during Iron Age is often associated with increasing social stratification or socio-political complexity (Bellina 2014; Carter 2016; Francis 2002; Theunissen </w:t>
      </w:r>
      <w:r>
        <w:rPr>
          <w:i/>
        </w:rPr>
        <w:t>et al.</w:t>
      </w:r>
      <w:r>
        <w:t xml:space="preserve"> 2000; Kenoyer 2000)</w:t>
      </w:r>
      <w:r>
        <w:t>. In this paper, I explore archaeological ornaments from Kiwulan spanning the pre-European contact period, the period of Spanish and Dutch presence, and the period of Chinese presence. I address the question of whether indirect colonial influences on the i</w:t>
      </w:r>
      <w:r>
        <w:t>ndigenous populations can be detected through the ornament assemblages.</w:t>
      </w:r>
    </w:p>
    <w:p w:rsidR="00706479" w:rsidRDefault="00DA5635">
      <w:pPr>
        <w:pStyle w:val="Heading1"/>
      </w:pPr>
      <w:bookmarkStart w:id="1" w:name="cultural-context-of-ornaments-in-yilan-n"/>
      <w:r>
        <w:t>Cultural context of ornaments in Yilan, northeastern Taiwan</w:t>
      </w:r>
      <w:bookmarkEnd w:id="1"/>
    </w:p>
    <w:p w:rsidR="00706479" w:rsidRDefault="00DA5635">
      <w:pPr>
        <w:pStyle w:val="FirstParagraph"/>
      </w:pPr>
      <w:r>
        <w:t>The Spanish founded Fort San Salvador at Keelung in 1626 and Fort San Domingo in 1629 at Tamsui, and sent missionaries to lo</w:t>
      </w:r>
      <w:r>
        <w:t>cal indigenous settlements in this region for religious purposes (Blussé &amp; Everts 2000: 343). A report by a Dominican priest in 1632 mentioned that the Taparri, an indigenous tribe from northern Taiwan, exchanged agate beads with other indigenous groups. T</w:t>
      </w:r>
      <w:r>
        <w:t>his form of exchange was widespread and even the Spanish soldiers learned to use agate as bargaining chips for gambling (Li &amp; Wu 2006: 132–49). The use of beads as prestige goods is indicated by their role in bride price payments, and compensation to resol</w:t>
      </w:r>
      <w:r>
        <w:t>ve disputes (Li &amp; Wu 2006: 132–49). Other records mention that the female shamans (majuorbol) in the tribe would use agate beads as magical items in ritual practice for body healing (Borao 2009: 122–51). Records of an indigenous funeral process document th</w:t>
      </w:r>
      <w:r>
        <w:t>e use of agate beads in ritual contexts, with more agate beads, pottery, and cloth placed into the graves of more influential people to indicate a family’s higher prestige (Li &amp; Wu 2006: 153). These historical accounts indicate that agate beads were alread</w:t>
      </w:r>
      <w:r>
        <w:t>y treated as prestige goods in Yilan before the arrival of Europeans.</w:t>
      </w:r>
    </w:p>
    <w:p w:rsidR="00706479" w:rsidRDefault="00DA5635">
      <w:pPr>
        <w:pStyle w:val="BodyText"/>
      </w:pPr>
      <w:r>
        <w:t>In 1642, the Dutch Vereenigde Oostindische Compagnie (VOC) defeated the Spanish and took over their forts in northern Taiwan. They introduced a feudal system in an attempt to control the</w:t>
      </w:r>
      <w:r>
        <w:t xml:space="preserve"> indigenous communities by asking indigenous leaders to attend an annual ceremony for demonstrating their loyalty (Andrade 2007, ch. 9; Kang 2016, ch. 4). The Dutch provided beads and other goods based on the demands of Indigenous people to secure alliance</w:t>
      </w:r>
      <w:r>
        <w:t>s in the annual ceremony or during travelling (Kang 2016, ch. 6). We might predict that the Dutch feudal system resulted in an increase in the amount and diversity of ornaments in northeastern indigenous communities during this period.</w:t>
      </w:r>
    </w:p>
    <w:p w:rsidR="00706479" w:rsidRDefault="00DA5635">
      <w:pPr>
        <w:pStyle w:val="BodyText"/>
      </w:pPr>
      <w:r>
        <w:t>Chinese historical r</w:t>
      </w:r>
      <w:r>
        <w:t xml:space="preserve">ecords from 1829, 1837, and 1852 during the Qing dynasty (1616-1911) contain some notes on the purposes of ornaments from Yilan (Chen 1963: 228, 308; Ke 1993: 11, 126; Yao 1996: 77). According to those records, indigenous people in Yilan wore ornaments in </w:t>
      </w:r>
      <w:r>
        <w:t>ceremonial contexts to display their wealth and status. Among those ornaments, golden fish-shaped necklaces made of copper threads had high value due to their delicacy and the materials invested in production. These were usually possessed by wealthy people</w:t>
      </w:r>
      <w:r>
        <w:t xml:space="preserve">. Other people wore agate beads or glass beads on their head or neck to participate in ceremonies. In 1895, at the beginning of Japanese colonisation, an academic </w:t>
      </w:r>
      <w:r>
        <w:lastRenderedPageBreak/>
        <w:t>field survey for plains indigenous groups reported that golden necklaces were not used in Yil</w:t>
      </w:r>
      <w:r>
        <w:t>an at that time, but elderly people still used beads (Ino 1996: 227–32).</w:t>
      </w:r>
    </w:p>
    <w:p w:rsidR="00706479" w:rsidRDefault="00DA5635">
      <w:pPr>
        <w:pStyle w:val="BodyText"/>
      </w:pPr>
      <w:r>
        <w:t xml:space="preserve">Recent ethnographic research with the members of the Kavalan tribe, the contemporary indigenous people of the Yilan plain, describes how agate beads were used in divination practices </w:t>
      </w:r>
      <w:r>
        <w:t>by female shamans (Liu 2008: 133–34). Interview records mention agate beads as valuable objects that are usually passed down from mother to daughter as heirlooms in shaman families. When not in use, beads were often hidden in safe places, such as on the ro</w:t>
      </w:r>
      <w:r>
        <w:t>of beams. Despite most Kavalan people today not knowing the specific origin of their agate beads, the high value of beads is still indicated in oral history. In sum, we find multiple sources describing how ornaments represent high status or specialised soc</w:t>
      </w:r>
      <w:r>
        <w:t>ial roles in indigenous communities in Yilan. However, compared to the European period, there are fewer mentions of beads in Chinese period and the descriptions are limited to clothing, but generally confirm the role of beads as status markers.</w:t>
      </w:r>
    </w:p>
    <w:p w:rsidR="00706479" w:rsidRDefault="00DA5635">
      <w:pPr>
        <w:pStyle w:val="Heading1"/>
      </w:pPr>
      <w:bookmarkStart w:id="2" w:name="excavations-at-kiwulan-in-northeast-taiw"/>
      <w:r>
        <w:t>Excavations</w:t>
      </w:r>
      <w:r>
        <w:t xml:space="preserve"> at Kiwulan in northeast Taiwan</w:t>
      </w:r>
      <w:bookmarkEnd w:id="2"/>
    </w:p>
    <w:p w:rsidR="00706479" w:rsidRDefault="00706479"/>
    <w:p w:rsidR="00706479" w:rsidRDefault="00706479"/>
    <w:p w:rsidR="00706479" w:rsidRDefault="00DA5635">
      <w:pPr>
        <w:pStyle w:val="BodyText"/>
      </w:pPr>
      <w:proofErr w:type="spellStart"/>
      <w:r>
        <w:t>Kiwulan</w:t>
      </w:r>
      <w:proofErr w:type="spellEnd"/>
      <w:r>
        <w:t xml:space="preserve"> (Figure 1) was a rescue archaeology project that carried out from 2001 to 2004 in adv</w:t>
      </w:r>
      <w:r>
        <w:t>ance of water diversion project and construction of a road bridge. The total area includes eight open area sections of 262 excavation squares (4 m by 4 m) reaching 3,814 m</w:t>
      </w:r>
      <w:r>
        <w:rPr>
          <w:vertAlign w:val="superscript"/>
        </w:rPr>
        <w:t>2</w:t>
      </w:r>
      <w:r>
        <w:t xml:space="preserve"> in total (Chen 2007). The archaeological evidence includes a large amount of artefa</w:t>
      </w:r>
      <w:r>
        <w:t>cts, burials, middens, post holes, wooden pillars, and stone structures, all of which indicates it was a settlement. Most ornaments were found in situ while digging and some were collected through screens with 2 mm and 1.5 mm mesh. The ornaments studied in</w:t>
      </w:r>
      <w:r>
        <w:t xml:space="preserve"> this paper were found from 40 adjacent squares in the largest open area, located in the middle part of the excavation, see Figure 2. They were sampled because those units were stratigraphically intact with the least disturbance by modern construction acti</w:t>
      </w:r>
      <w:r>
        <w:t>vity, compared to excavation squares on the periphery of the site.</w:t>
      </w:r>
    </w:p>
    <w:p w:rsidR="00706479" w:rsidRDefault="00DA5635">
      <w:pPr>
        <w:pStyle w:val="BodyText"/>
      </w:pPr>
      <w:r>
        <w:t xml:space="preserve">The chronology of Kiwulan can be divided into two phases represented by a Lower Layer Culture (700-1200 AD) and a Upper Layer Culture (1400-1900 AD) separated by a sterile. This chronology </w:t>
      </w:r>
      <w:r>
        <w:t>is based on the stratigraphy and a series of 32 radiocarbon dates previously published by Chen (2007). This paper focuses on the Upper Layer Culture because this has a sequence spanning pre-European contact, European presence, and Chinese presence. Previou</w:t>
      </w:r>
      <w:r>
        <w:t>s researchers divided the Upper Layer Culture component into six layers spanning from the 14th century to the 19th century with hundred year intervals according to the radiocarbon dates, excavation depth, consistency of contexts, and types of diagnostic po</w:t>
      </w:r>
      <w:r>
        <w:t>rcelains such as blue and white porcelains (Hsieh 2009; Wang 2011). Due to ambiguities in the previous chronology, I re-examined the excavation records to produce a new chronology for the sampled squares. For each sampled square I separated excavation unit</w:t>
      </w:r>
      <w:r>
        <w:t>s into three episodes of time: pre-European period, European period, and Chinese period to indicate the dominant foreign influence and cultural interaction for different time periods.</w:t>
      </w:r>
    </w:p>
    <w:p w:rsidR="00706479" w:rsidRDefault="00DA5635">
      <w:pPr>
        <w:pStyle w:val="BodyText"/>
      </w:pPr>
      <w:r>
        <w:lastRenderedPageBreak/>
        <w:t xml:space="preserve">The archaeological indicators of the start of the European influence at </w:t>
      </w:r>
      <w:r>
        <w:t>Kiwulan are the appearance of An-ping jars and stonewares (martavans/martaban) that were introduced to Taiwan during the early 17th century. They are frequently found in European shipwrecks from this period for transporting water, wine or other fluids on t</w:t>
      </w:r>
      <w:r>
        <w:t xml:space="preserve">he long voyages. The jar shapes found at Kiwulan are typical of those found elsewhere in VOC sites occupied during the 17th century (Berrocal </w:t>
      </w:r>
      <w:r>
        <w:rPr>
          <w:i/>
        </w:rPr>
        <w:t>et al.</w:t>
      </w:r>
      <w:r>
        <w:t xml:space="preserve"> 2018: 917; Cort 2017: 282; Grave &amp; McNiven 2013; Ketel 2011; Klose &amp; Schrire 2018: 131). I used the presenc</w:t>
      </w:r>
      <w:r>
        <w:t>e and absence of An-ping jars and stonewares, together with the radiocarbon dates, to identify excavation units associated with the pre-European and post-European periods.</w:t>
      </w:r>
    </w:p>
    <w:p w:rsidR="00706479" w:rsidRDefault="00DA5635">
      <w:pPr>
        <w:pStyle w:val="BodyText"/>
      </w:pPr>
      <w:r>
        <w:t xml:space="preserve">The European colonial presence in northern Taiwan ended in 1662 when the Dutch were </w:t>
      </w:r>
      <w:r>
        <w:t>defeated by the kingdom of Tungning founded by Koxinga from China. Later in 1683, the Qing dynasty ruled over Taiwan and a large wave of Han Chinese migrated to Yilan during the late 18th century. The archaeological signature of the Chinese period at Kiwul</w:t>
      </w:r>
      <w:r>
        <w:t>an is the large amount and diversity of Chinese porcelains, clay stoves. Other indicators include opium pipe-bowls and distinctive architectural bricks and tiles (Hsieh 2009). Chinese migrations to Yilan were also recorded in official Chinese records writt</w:t>
      </w:r>
      <w:r>
        <w:t>en in the early 19th century (Chen 1963; Ke 1993).</w:t>
      </w:r>
    </w:p>
    <w:p w:rsidR="00706479" w:rsidRDefault="00DA5635">
      <w:pPr>
        <w:pStyle w:val="Heading1"/>
      </w:pPr>
      <w:bookmarkStart w:id="3" w:name="the-ornaments"/>
      <w:r>
        <w:t>The ornaments</w:t>
      </w:r>
      <w:bookmarkEnd w:id="3"/>
    </w:p>
    <w:p w:rsidR="00706479" w:rsidRDefault="00706479"/>
    <w:p w:rsidR="00706479" w:rsidRDefault="00DA5635">
      <w:pPr>
        <w:pStyle w:val="TableCaption"/>
      </w:pPr>
      <w:r>
        <w:t>Table 1: Ornament subtype at Kiwulan. The numbers represent artefact counts</w:t>
      </w:r>
    </w:p>
    <w:tbl>
      <w:tblPr>
        <w:tblW w:w="0" w:type="pct"/>
        <w:tblLook w:val="07E0" w:firstRow="1" w:lastRow="1" w:firstColumn="1" w:lastColumn="1" w:noHBand="1" w:noVBand="1"/>
        <w:tblCaption w:val="Table 1: Ornament subtype at Kiwulan. The numbers represent artefact counts"/>
      </w:tblPr>
      <w:tblGrid>
        <w:gridCol w:w="1442"/>
        <w:gridCol w:w="1807"/>
        <w:gridCol w:w="2381"/>
        <w:gridCol w:w="1946"/>
        <w:gridCol w:w="1784"/>
      </w:tblGrid>
      <w:tr w:rsidR="00706479">
        <w:tc>
          <w:tcPr>
            <w:tcW w:w="0" w:type="auto"/>
            <w:tcBorders>
              <w:bottom w:val="single" w:sz="0" w:space="0" w:color="auto"/>
            </w:tcBorders>
            <w:vAlign w:val="bottom"/>
          </w:tcPr>
          <w:p w:rsidR="00706479" w:rsidRDefault="00DA5635">
            <w:pPr>
              <w:pStyle w:val="Compact"/>
            </w:pPr>
            <w:r>
              <w:t>Categories</w:t>
            </w:r>
          </w:p>
        </w:tc>
        <w:tc>
          <w:tcPr>
            <w:tcW w:w="0" w:type="auto"/>
            <w:tcBorders>
              <w:bottom w:val="single" w:sz="0" w:space="0" w:color="auto"/>
            </w:tcBorders>
            <w:vAlign w:val="bottom"/>
          </w:tcPr>
          <w:p w:rsidR="00706479" w:rsidRDefault="00DA5635">
            <w:pPr>
              <w:pStyle w:val="Compact"/>
            </w:pPr>
            <w:r>
              <w:t>Type</w:t>
            </w:r>
          </w:p>
        </w:tc>
        <w:tc>
          <w:tcPr>
            <w:tcW w:w="0" w:type="auto"/>
            <w:tcBorders>
              <w:bottom w:val="single" w:sz="0" w:space="0" w:color="auto"/>
            </w:tcBorders>
            <w:vAlign w:val="bottom"/>
          </w:tcPr>
          <w:p w:rsidR="00706479" w:rsidRDefault="00DA5635">
            <w:pPr>
              <w:pStyle w:val="Compact"/>
              <w:jc w:val="right"/>
            </w:pPr>
            <w:r>
              <w:t>Before European Contact</w:t>
            </w:r>
          </w:p>
        </w:tc>
        <w:tc>
          <w:tcPr>
            <w:tcW w:w="0" w:type="auto"/>
            <w:tcBorders>
              <w:bottom w:val="single" w:sz="0" w:space="0" w:color="auto"/>
            </w:tcBorders>
            <w:vAlign w:val="bottom"/>
          </w:tcPr>
          <w:p w:rsidR="00706479" w:rsidRDefault="00DA5635">
            <w:pPr>
              <w:pStyle w:val="Compact"/>
              <w:jc w:val="right"/>
            </w:pPr>
            <w:r>
              <w:t>European Presence</w:t>
            </w:r>
          </w:p>
        </w:tc>
        <w:tc>
          <w:tcPr>
            <w:tcW w:w="0" w:type="auto"/>
            <w:tcBorders>
              <w:bottom w:val="single" w:sz="0" w:space="0" w:color="auto"/>
            </w:tcBorders>
            <w:vAlign w:val="bottom"/>
          </w:tcPr>
          <w:p w:rsidR="00706479" w:rsidRDefault="00DA5635">
            <w:pPr>
              <w:pStyle w:val="Compact"/>
              <w:jc w:val="right"/>
            </w:pPr>
            <w:r>
              <w:t>Chinese Presence</w:t>
            </w:r>
          </w:p>
        </w:tc>
      </w:tr>
      <w:tr w:rsidR="00706479">
        <w:tc>
          <w:tcPr>
            <w:tcW w:w="0" w:type="auto"/>
          </w:tcPr>
          <w:p w:rsidR="00706479" w:rsidRDefault="00DA5635">
            <w:pPr>
              <w:pStyle w:val="Compact"/>
            </w:pPr>
            <w:r>
              <w:t>Agate bead</w:t>
            </w:r>
          </w:p>
        </w:tc>
        <w:tc>
          <w:tcPr>
            <w:tcW w:w="0" w:type="auto"/>
          </w:tcPr>
          <w:p w:rsidR="00706479" w:rsidRDefault="00DA5635">
            <w:pPr>
              <w:pStyle w:val="Compact"/>
            </w:pPr>
            <w:r>
              <w:t>hexagonal</w:t>
            </w:r>
          </w:p>
        </w:tc>
        <w:tc>
          <w:tcPr>
            <w:tcW w:w="0" w:type="auto"/>
          </w:tcPr>
          <w:p w:rsidR="00706479" w:rsidRDefault="00DA5635">
            <w:pPr>
              <w:pStyle w:val="Compact"/>
              <w:jc w:val="right"/>
            </w:pPr>
            <w:r>
              <w:t>6</w:t>
            </w:r>
          </w:p>
        </w:tc>
        <w:tc>
          <w:tcPr>
            <w:tcW w:w="0" w:type="auto"/>
          </w:tcPr>
          <w:p w:rsidR="00706479" w:rsidRDefault="00DA5635">
            <w:pPr>
              <w:pStyle w:val="Compact"/>
              <w:jc w:val="right"/>
            </w:pPr>
            <w:r>
              <w:t>17</w:t>
            </w:r>
          </w:p>
        </w:tc>
        <w:tc>
          <w:tcPr>
            <w:tcW w:w="0" w:type="auto"/>
          </w:tcPr>
          <w:p w:rsidR="00706479" w:rsidRDefault="00DA5635">
            <w:pPr>
              <w:pStyle w:val="Compact"/>
              <w:jc w:val="right"/>
            </w:pPr>
            <w:r>
              <w:t>5</w:t>
            </w:r>
          </w:p>
        </w:tc>
      </w:tr>
      <w:tr w:rsidR="00706479">
        <w:tc>
          <w:tcPr>
            <w:tcW w:w="0" w:type="auto"/>
          </w:tcPr>
          <w:p w:rsidR="00706479" w:rsidRDefault="00DA5635">
            <w:pPr>
              <w:pStyle w:val="Compact"/>
            </w:pPr>
            <w:r>
              <w:t>Agate bead</w:t>
            </w:r>
          </w:p>
        </w:tc>
        <w:tc>
          <w:tcPr>
            <w:tcW w:w="0" w:type="auto"/>
          </w:tcPr>
          <w:p w:rsidR="00706479" w:rsidRDefault="00DA5635">
            <w:pPr>
              <w:pStyle w:val="Compact"/>
            </w:pPr>
            <w:r>
              <w:t>waxy oval</w:t>
            </w:r>
          </w:p>
        </w:tc>
        <w:tc>
          <w:tcPr>
            <w:tcW w:w="0" w:type="auto"/>
          </w:tcPr>
          <w:p w:rsidR="00706479" w:rsidRDefault="00DA5635">
            <w:pPr>
              <w:pStyle w:val="Compact"/>
              <w:jc w:val="right"/>
            </w:pPr>
            <w:r>
              <w:t>0</w:t>
            </w:r>
          </w:p>
        </w:tc>
        <w:tc>
          <w:tcPr>
            <w:tcW w:w="0" w:type="auto"/>
          </w:tcPr>
          <w:p w:rsidR="00706479" w:rsidRDefault="00DA5635">
            <w:pPr>
              <w:pStyle w:val="Compact"/>
              <w:jc w:val="right"/>
            </w:pPr>
            <w:r>
              <w:t>4</w:t>
            </w:r>
          </w:p>
        </w:tc>
        <w:tc>
          <w:tcPr>
            <w:tcW w:w="0" w:type="auto"/>
          </w:tcPr>
          <w:p w:rsidR="00706479" w:rsidRDefault="00DA5635">
            <w:pPr>
              <w:pStyle w:val="Compact"/>
              <w:jc w:val="right"/>
            </w:pPr>
            <w:r>
              <w:t>0</w:t>
            </w:r>
          </w:p>
        </w:tc>
      </w:tr>
      <w:tr w:rsidR="00706479">
        <w:tc>
          <w:tcPr>
            <w:tcW w:w="0" w:type="auto"/>
          </w:tcPr>
          <w:p w:rsidR="00706479" w:rsidRDefault="00DA5635">
            <w:pPr>
              <w:pStyle w:val="Compact"/>
            </w:pPr>
            <w:r>
              <w:t>Agate bead</w:t>
            </w:r>
          </w:p>
        </w:tc>
        <w:tc>
          <w:tcPr>
            <w:tcW w:w="0" w:type="auto"/>
          </w:tcPr>
          <w:p w:rsidR="00706479" w:rsidRDefault="00DA5635">
            <w:pPr>
              <w:pStyle w:val="Compact"/>
            </w:pPr>
            <w:r>
              <w:t>small oval</w:t>
            </w:r>
          </w:p>
        </w:tc>
        <w:tc>
          <w:tcPr>
            <w:tcW w:w="0" w:type="auto"/>
          </w:tcPr>
          <w:p w:rsidR="00706479" w:rsidRDefault="00DA5635">
            <w:pPr>
              <w:pStyle w:val="Compact"/>
              <w:jc w:val="right"/>
            </w:pPr>
            <w:r>
              <w:t>3</w:t>
            </w:r>
          </w:p>
        </w:tc>
        <w:tc>
          <w:tcPr>
            <w:tcW w:w="0" w:type="auto"/>
          </w:tcPr>
          <w:p w:rsidR="00706479" w:rsidRDefault="00DA5635">
            <w:pPr>
              <w:pStyle w:val="Compact"/>
              <w:jc w:val="right"/>
            </w:pPr>
            <w:r>
              <w:t>3</w:t>
            </w:r>
          </w:p>
        </w:tc>
        <w:tc>
          <w:tcPr>
            <w:tcW w:w="0" w:type="auto"/>
          </w:tcPr>
          <w:p w:rsidR="00706479" w:rsidRDefault="00DA5635">
            <w:pPr>
              <w:pStyle w:val="Compact"/>
              <w:jc w:val="right"/>
            </w:pPr>
            <w:r>
              <w:t>0</w:t>
            </w:r>
          </w:p>
        </w:tc>
      </w:tr>
      <w:tr w:rsidR="00706479">
        <w:tc>
          <w:tcPr>
            <w:tcW w:w="0" w:type="auto"/>
          </w:tcPr>
          <w:p w:rsidR="00706479" w:rsidRDefault="00DA5635">
            <w:pPr>
              <w:pStyle w:val="Compact"/>
            </w:pPr>
            <w:r>
              <w:t>Agate bead</w:t>
            </w:r>
          </w:p>
        </w:tc>
        <w:tc>
          <w:tcPr>
            <w:tcW w:w="0" w:type="auto"/>
          </w:tcPr>
          <w:p w:rsidR="00706479" w:rsidRDefault="00DA5635">
            <w:pPr>
              <w:pStyle w:val="Compact"/>
            </w:pPr>
            <w:r>
              <w:t>globular</w:t>
            </w:r>
          </w:p>
        </w:tc>
        <w:tc>
          <w:tcPr>
            <w:tcW w:w="0" w:type="auto"/>
          </w:tcPr>
          <w:p w:rsidR="00706479" w:rsidRDefault="00DA5635">
            <w:pPr>
              <w:pStyle w:val="Compact"/>
              <w:jc w:val="right"/>
            </w:pPr>
            <w:r>
              <w:t>0</w:t>
            </w:r>
          </w:p>
        </w:tc>
        <w:tc>
          <w:tcPr>
            <w:tcW w:w="0" w:type="auto"/>
          </w:tcPr>
          <w:p w:rsidR="00706479" w:rsidRDefault="00DA5635">
            <w:pPr>
              <w:pStyle w:val="Compact"/>
              <w:jc w:val="right"/>
            </w:pPr>
            <w:r>
              <w:t>1</w:t>
            </w:r>
          </w:p>
        </w:tc>
        <w:tc>
          <w:tcPr>
            <w:tcW w:w="0" w:type="auto"/>
          </w:tcPr>
          <w:p w:rsidR="00706479" w:rsidRDefault="00DA5635">
            <w:pPr>
              <w:pStyle w:val="Compact"/>
              <w:jc w:val="right"/>
            </w:pPr>
            <w:r>
              <w:t>0</w:t>
            </w:r>
          </w:p>
        </w:tc>
      </w:tr>
      <w:tr w:rsidR="00706479">
        <w:tc>
          <w:tcPr>
            <w:tcW w:w="0" w:type="auto"/>
          </w:tcPr>
          <w:p w:rsidR="00706479" w:rsidRDefault="00DA5635">
            <w:pPr>
              <w:pStyle w:val="Compact"/>
            </w:pPr>
            <w:r>
              <w:t>Agate bead</w:t>
            </w:r>
          </w:p>
        </w:tc>
        <w:tc>
          <w:tcPr>
            <w:tcW w:w="0" w:type="auto"/>
          </w:tcPr>
          <w:p w:rsidR="00706479" w:rsidRDefault="00DA5635">
            <w:pPr>
              <w:pStyle w:val="Compact"/>
            </w:pPr>
            <w:r>
              <w:t>pentagonal</w:t>
            </w:r>
          </w:p>
        </w:tc>
        <w:tc>
          <w:tcPr>
            <w:tcW w:w="0" w:type="auto"/>
          </w:tcPr>
          <w:p w:rsidR="00706479" w:rsidRDefault="00DA5635">
            <w:pPr>
              <w:pStyle w:val="Compact"/>
              <w:jc w:val="right"/>
            </w:pPr>
            <w:r>
              <w:t>0</w:t>
            </w:r>
          </w:p>
        </w:tc>
        <w:tc>
          <w:tcPr>
            <w:tcW w:w="0" w:type="auto"/>
          </w:tcPr>
          <w:p w:rsidR="00706479" w:rsidRDefault="00DA5635">
            <w:pPr>
              <w:pStyle w:val="Compact"/>
              <w:jc w:val="right"/>
            </w:pPr>
            <w:r>
              <w:t>1</w:t>
            </w:r>
          </w:p>
        </w:tc>
        <w:tc>
          <w:tcPr>
            <w:tcW w:w="0" w:type="auto"/>
          </w:tcPr>
          <w:p w:rsidR="00706479" w:rsidRDefault="00DA5635">
            <w:pPr>
              <w:pStyle w:val="Compact"/>
              <w:jc w:val="right"/>
            </w:pPr>
            <w:r>
              <w:t>0</w:t>
            </w:r>
          </w:p>
        </w:tc>
      </w:tr>
      <w:tr w:rsidR="00706479">
        <w:tc>
          <w:tcPr>
            <w:tcW w:w="0" w:type="auto"/>
          </w:tcPr>
          <w:p w:rsidR="00706479" w:rsidRDefault="00DA5635">
            <w:pPr>
              <w:pStyle w:val="Compact"/>
            </w:pPr>
            <w:r>
              <w:t>Agate bead</w:t>
            </w:r>
          </w:p>
        </w:tc>
        <w:tc>
          <w:tcPr>
            <w:tcW w:w="0" w:type="auto"/>
          </w:tcPr>
          <w:p w:rsidR="00706479" w:rsidRDefault="00DA5635">
            <w:pPr>
              <w:pStyle w:val="Compact"/>
            </w:pPr>
            <w:r>
              <w:t>big oval</w:t>
            </w:r>
          </w:p>
        </w:tc>
        <w:tc>
          <w:tcPr>
            <w:tcW w:w="0" w:type="auto"/>
          </w:tcPr>
          <w:p w:rsidR="00706479" w:rsidRDefault="00DA5635">
            <w:pPr>
              <w:pStyle w:val="Compact"/>
              <w:jc w:val="right"/>
            </w:pPr>
            <w:r>
              <w:t>0</w:t>
            </w:r>
          </w:p>
        </w:tc>
        <w:tc>
          <w:tcPr>
            <w:tcW w:w="0" w:type="auto"/>
          </w:tcPr>
          <w:p w:rsidR="00706479" w:rsidRDefault="00DA5635">
            <w:pPr>
              <w:pStyle w:val="Compact"/>
              <w:jc w:val="right"/>
            </w:pPr>
            <w:r>
              <w:t>0</w:t>
            </w:r>
          </w:p>
        </w:tc>
        <w:tc>
          <w:tcPr>
            <w:tcW w:w="0" w:type="auto"/>
          </w:tcPr>
          <w:p w:rsidR="00706479" w:rsidRDefault="00DA5635">
            <w:pPr>
              <w:pStyle w:val="Compact"/>
              <w:jc w:val="right"/>
            </w:pPr>
            <w:r>
              <w:t>1</w:t>
            </w:r>
          </w:p>
        </w:tc>
      </w:tr>
      <w:tr w:rsidR="00706479">
        <w:tc>
          <w:tcPr>
            <w:tcW w:w="0" w:type="auto"/>
          </w:tcPr>
          <w:p w:rsidR="00706479" w:rsidRDefault="00DA5635">
            <w:pPr>
              <w:pStyle w:val="Compact"/>
            </w:pPr>
            <w:r>
              <w:t>Agate bead</w:t>
            </w:r>
          </w:p>
        </w:tc>
        <w:tc>
          <w:tcPr>
            <w:tcW w:w="0" w:type="auto"/>
          </w:tcPr>
          <w:p w:rsidR="00706479" w:rsidRDefault="00DA5635">
            <w:pPr>
              <w:pStyle w:val="Compact"/>
            </w:pPr>
            <w:r>
              <w:t>long bicone</w:t>
            </w:r>
          </w:p>
        </w:tc>
        <w:tc>
          <w:tcPr>
            <w:tcW w:w="0" w:type="auto"/>
          </w:tcPr>
          <w:p w:rsidR="00706479" w:rsidRDefault="00DA5635">
            <w:pPr>
              <w:pStyle w:val="Compact"/>
              <w:jc w:val="right"/>
            </w:pPr>
            <w:r>
              <w:t>0</w:t>
            </w:r>
          </w:p>
        </w:tc>
        <w:tc>
          <w:tcPr>
            <w:tcW w:w="0" w:type="auto"/>
          </w:tcPr>
          <w:p w:rsidR="00706479" w:rsidRDefault="00DA5635">
            <w:pPr>
              <w:pStyle w:val="Compact"/>
              <w:jc w:val="right"/>
            </w:pPr>
            <w:r>
              <w:t>0</w:t>
            </w:r>
          </w:p>
        </w:tc>
        <w:tc>
          <w:tcPr>
            <w:tcW w:w="0" w:type="auto"/>
          </w:tcPr>
          <w:p w:rsidR="00706479" w:rsidRDefault="00DA5635">
            <w:pPr>
              <w:pStyle w:val="Compact"/>
              <w:jc w:val="right"/>
            </w:pPr>
            <w:r>
              <w:t>1</w:t>
            </w:r>
          </w:p>
        </w:tc>
      </w:tr>
      <w:tr w:rsidR="00706479">
        <w:tc>
          <w:tcPr>
            <w:tcW w:w="0" w:type="auto"/>
          </w:tcPr>
          <w:p w:rsidR="00706479" w:rsidRDefault="00DA5635">
            <w:pPr>
              <w:pStyle w:val="Compact"/>
            </w:pPr>
            <w:r>
              <w:t>Agate bead</w:t>
            </w:r>
          </w:p>
        </w:tc>
        <w:tc>
          <w:tcPr>
            <w:tcW w:w="0" w:type="auto"/>
          </w:tcPr>
          <w:p w:rsidR="00706479" w:rsidRDefault="00DA5635">
            <w:pPr>
              <w:pStyle w:val="Compact"/>
            </w:pPr>
            <w:r>
              <w:t>octagonal</w:t>
            </w:r>
          </w:p>
        </w:tc>
        <w:tc>
          <w:tcPr>
            <w:tcW w:w="0" w:type="auto"/>
          </w:tcPr>
          <w:p w:rsidR="00706479" w:rsidRDefault="00DA5635">
            <w:pPr>
              <w:pStyle w:val="Compact"/>
              <w:jc w:val="right"/>
            </w:pPr>
            <w:r>
              <w:t>0</w:t>
            </w:r>
          </w:p>
        </w:tc>
        <w:tc>
          <w:tcPr>
            <w:tcW w:w="0" w:type="auto"/>
          </w:tcPr>
          <w:p w:rsidR="00706479" w:rsidRDefault="00DA5635">
            <w:pPr>
              <w:pStyle w:val="Compact"/>
              <w:jc w:val="right"/>
            </w:pPr>
            <w:r>
              <w:t>0</w:t>
            </w:r>
          </w:p>
        </w:tc>
        <w:tc>
          <w:tcPr>
            <w:tcW w:w="0" w:type="auto"/>
          </w:tcPr>
          <w:p w:rsidR="00706479" w:rsidRDefault="00DA5635">
            <w:pPr>
              <w:pStyle w:val="Compact"/>
              <w:jc w:val="right"/>
            </w:pPr>
            <w:r>
              <w:t>1</w:t>
            </w:r>
          </w:p>
        </w:tc>
      </w:tr>
      <w:tr w:rsidR="00706479">
        <w:tc>
          <w:tcPr>
            <w:tcW w:w="0" w:type="auto"/>
          </w:tcPr>
          <w:p w:rsidR="00706479" w:rsidRDefault="00DA5635">
            <w:pPr>
              <w:pStyle w:val="Compact"/>
            </w:pPr>
            <w:r>
              <w:t>Bell</w:t>
            </w:r>
          </w:p>
        </w:tc>
        <w:tc>
          <w:tcPr>
            <w:tcW w:w="0" w:type="auto"/>
          </w:tcPr>
          <w:p w:rsidR="00706479" w:rsidRDefault="00DA5635">
            <w:pPr>
              <w:pStyle w:val="Compact"/>
            </w:pPr>
            <w:r>
              <w:t>large</w:t>
            </w:r>
          </w:p>
        </w:tc>
        <w:tc>
          <w:tcPr>
            <w:tcW w:w="0" w:type="auto"/>
          </w:tcPr>
          <w:p w:rsidR="00706479" w:rsidRDefault="00DA5635">
            <w:pPr>
              <w:pStyle w:val="Compact"/>
              <w:jc w:val="right"/>
            </w:pPr>
            <w:r>
              <w:t>3</w:t>
            </w:r>
          </w:p>
        </w:tc>
        <w:tc>
          <w:tcPr>
            <w:tcW w:w="0" w:type="auto"/>
          </w:tcPr>
          <w:p w:rsidR="00706479" w:rsidRDefault="00DA5635">
            <w:pPr>
              <w:pStyle w:val="Compact"/>
              <w:jc w:val="right"/>
            </w:pPr>
            <w:r>
              <w:t>8</w:t>
            </w:r>
          </w:p>
        </w:tc>
        <w:tc>
          <w:tcPr>
            <w:tcW w:w="0" w:type="auto"/>
          </w:tcPr>
          <w:p w:rsidR="00706479" w:rsidRDefault="00DA5635">
            <w:pPr>
              <w:pStyle w:val="Compact"/>
              <w:jc w:val="right"/>
            </w:pPr>
            <w:r>
              <w:t>3</w:t>
            </w:r>
          </w:p>
        </w:tc>
      </w:tr>
      <w:tr w:rsidR="00706479">
        <w:tc>
          <w:tcPr>
            <w:tcW w:w="0" w:type="auto"/>
          </w:tcPr>
          <w:p w:rsidR="00706479" w:rsidRDefault="00DA5635">
            <w:pPr>
              <w:pStyle w:val="Compact"/>
            </w:pPr>
            <w:r>
              <w:t>Bell</w:t>
            </w:r>
          </w:p>
        </w:tc>
        <w:tc>
          <w:tcPr>
            <w:tcW w:w="0" w:type="auto"/>
          </w:tcPr>
          <w:p w:rsidR="00706479" w:rsidRDefault="00DA5635">
            <w:pPr>
              <w:pStyle w:val="Compact"/>
            </w:pPr>
            <w:r>
              <w:t>plain small</w:t>
            </w:r>
          </w:p>
        </w:tc>
        <w:tc>
          <w:tcPr>
            <w:tcW w:w="0" w:type="auto"/>
          </w:tcPr>
          <w:p w:rsidR="00706479" w:rsidRDefault="00DA5635">
            <w:pPr>
              <w:pStyle w:val="Compact"/>
              <w:jc w:val="right"/>
            </w:pPr>
            <w:r>
              <w:t>0</w:t>
            </w:r>
          </w:p>
        </w:tc>
        <w:tc>
          <w:tcPr>
            <w:tcW w:w="0" w:type="auto"/>
          </w:tcPr>
          <w:p w:rsidR="00706479" w:rsidRDefault="00DA5635">
            <w:pPr>
              <w:pStyle w:val="Compact"/>
              <w:jc w:val="right"/>
            </w:pPr>
            <w:r>
              <w:t>4</w:t>
            </w:r>
          </w:p>
        </w:tc>
        <w:tc>
          <w:tcPr>
            <w:tcW w:w="0" w:type="auto"/>
          </w:tcPr>
          <w:p w:rsidR="00706479" w:rsidRDefault="00DA5635">
            <w:pPr>
              <w:pStyle w:val="Compact"/>
              <w:jc w:val="right"/>
            </w:pPr>
            <w:r>
              <w:t>1</w:t>
            </w:r>
          </w:p>
        </w:tc>
      </w:tr>
      <w:tr w:rsidR="00706479">
        <w:tc>
          <w:tcPr>
            <w:tcW w:w="0" w:type="auto"/>
          </w:tcPr>
          <w:p w:rsidR="00706479" w:rsidRDefault="00DA5635">
            <w:pPr>
              <w:pStyle w:val="Compact"/>
            </w:pPr>
            <w:r>
              <w:t>Bell</w:t>
            </w:r>
          </w:p>
        </w:tc>
        <w:tc>
          <w:tcPr>
            <w:tcW w:w="0" w:type="auto"/>
          </w:tcPr>
          <w:p w:rsidR="00706479" w:rsidRDefault="00DA5635">
            <w:pPr>
              <w:pStyle w:val="Compact"/>
            </w:pPr>
            <w:r>
              <w:t>thin small</w:t>
            </w:r>
          </w:p>
        </w:tc>
        <w:tc>
          <w:tcPr>
            <w:tcW w:w="0" w:type="auto"/>
          </w:tcPr>
          <w:p w:rsidR="00706479" w:rsidRDefault="00DA5635">
            <w:pPr>
              <w:pStyle w:val="Compact"/>
              <w:jc w:val="right"/>
            </w:pPr>
            <w:r>
              <w:t>0</w:t>
            </w:r>
          </w:p>
        </w:tc>
        <w:tc>
          <w:tcPr>
            <w:tcW w:w="0" w:type="auto"/>
          </w:tcPr>
          <w:p w:rsidR="00706479" w:rsidRDefault="00DA5635">
            <w:pPr>
              <w:pStyle w:val="Compact"/>
              <w:jc w:val="right"/>
            </w:pPr>
            <w:r>
              <w:t>1</w:t>
            </w:r>
          </w:p>
        </w:tc>
        <w:tc>
          <w:tcPr>
            <w:tcW w:w="0" w:type="auto"/>
          </w:tcPr>
          <w:p w:rsidR="00706479" w:rsidRDefault="00DA5635">
            <w:pPr>
              <w:pStyle w:val="Compact"/>
              <w:jc w:val="right"/>
            </w:pPr>
            <w:r>
              <w:t>1</w:t>
            </w:r>
          </w:p>
        </w:tc>
      </w:tr>
      <w:tr w:rsidR="00706479">
        <w:tc>
          <w:tcPr>
            <w:tcW w:w="0" w:type="auto"/>
          </w:tcPr>
          <w:p w:rsidR="00706479" w:rsidRDefault="00DA5635">
            <w:pPr>
              <w:pStyle w:val="Compact"/>
            </w:pPr>
            <w:r>
              <w:t>Glass bead</w:t>
            </w:r>
          </w:p>
        </w:tc>
        <w:tc>
          <w:tcPr>
            <w:tcW w:w="0" w:type="auto"/>
          </w:tcPr>
          <w:p w:rsidR="00706479" w:rsidRDefault="00DA5635">
            <w:pPr>
              <w:pStyle w:val="Compact"/>
            </w:pPr>
            <w:r>
              <w:t>small bead</w:t>
            </w:r>
          </w:p>
        </w:tc>
        <w:tc>
          <w:tcPr>
            <w:tcW w:w="0" w:type="auto"/>
          </w:tcPr>
          <w:p w:rsidR="00706479" w:rsidRDefault="00DA5635">
            <w:pPr>
              <w:pStyle w:val="Compact"/>
              <w:jc w:val="right"/>
            </w:pPr>
            <w:r>
              <w:t>60</w:t>
            </w:r>
          </w:p>
        </w:tc>
        <w:tc>
          <w:tcPr>
            <w:tcW w:w="0" w:type="auto"/>
          </w:tcPr>
          <w:p w:rsidR="00706479" w:rsidRDefault="00DA5635">
            <w:pPr>
              <w:pStyle w:val="Compact"/>
              <w:jc w:val="right"/>
            </w:pPr>
            <w:r>
              <w:t>37</w:t>
            </w:r>
          </w:p>
        </w:tc>
        <w:tc>
          <w:tcPr>
            <w:tcW w:w="0" w:type="auto"/>
          </w:tcPr>
          <w:p w:rsidR="00706479" w:rsidRDefault="00DA5635">
            <w:pPr>
              <w:pStyle w:val="Compact"/>
              <w:jc w:val="right"/>
            </w:pPr>
            <w:r>
              <w:t>1</w:t>
            </w:r>
          </w:p>
        </w:tc>
      </w:tr>
      <w:tr w:rsidR="00706479">
        <w:tc>
          <w:tcPr>
            <w:tcW w:w="0" w:type="auto"/>
          </w:tcPr>
          <w:p w:rsidR="00706479" w:rsidRDefault="00DA5635">
            <w:pPr>
              <w:pStyle w:val="Compact"/>
            </w:pPr>
            <w:r>
              <w:t>Glass bead</w:t>
            </w:r>
          </w:p>
        </w:tc>
        <w:tc>
          <w:tcPr>
            <w:tcW w:w="0" w:type="auto"/>
          </w:tcPr>
          <w:p w:rsidR="00706479" w:rsidRDefault="00DA5635">
            <w:pPr>
              <w:pStyle w:val="Compact"/>
            </w:pPr>
            <w:r>
              <w:t>medium bead</w:t>
            </w:r>
          </w:p>
        </w:tc>
        <w:tc>
          <w:tcPr>
            <w:tcW w:w="0" w:type="auto"/>
          </w:tcPr>
          <w:p w:rsidR="00706479" w:rsidRDefault="00DA5635">
            <w:pPr>
              <w:pStyle w:val="Compact"/>
              <w:jc w:val="right"/>
            </w:pPr>
            <w:r>
              <w:t>8</w:t>
            </w:r>
          </w:p>
        </w:tc>
        <w:tc>
          <w:tcPr>
            <w:tcW w:w="0" w:type="auto"/>
          </w:tcPr>
          <w:p w:rsidR="00706479" w:rsidRDefault="00DA5635">
            <w:pPr>
              <w:pStyle w:val="Compact"/>
              <w:jc w:val="right"/>
            </w:pPr>
            <w:r>
              <w:t>15</w:t>
            </w:r>
          </w:p>
        </w:tc>
        <w:tc>
          <w:tcPr>
            <w:tcW w:w="0" w:type="auto"/>
          </w:tcPr>
          <w:p w:rsidR="00706479" w:rsidRDefault="00DA5635">
            <w:pPr>
              <w:pStyle w:val="Compact"/>
              <w:jc w:val="right"/>
            </w:pPr>
            <w:r>
              <w:t>0</w:t>
            </w:r>
          </w:p>
        </w:tc>
      </w:tr>
      <w:tr w:rsidR="00706479">
        <w:tc>
          <w:tcPr>
            <w:tcW w:w="0" w:type="auto"/>
          </w:tcPr>
          <w:p w:rsidR="00706479" w:rsidRDefault="00DA5635">
            <w:pPr>
              <w:pStyle w:val="Compact"/>
            </w:pPr>
            <w:r>
              <w:t>Golden bead</w:t>
            </w:r>
          </w:p>
        </w:tc>
        <w:tc>
          <w:tcPr>
            <w:tcW w:w="0" w:type="auto"/>
          </w:tcPr>
          <w:p w:rsidR="00706479" w:rsidRDefault="00DA5635">
            <w:pPr>
              <w:pStyle w:val="Compact"/>
            </w:pPr>
            <w:r>
              <w:t>NA</w:t>
            </w:r>
          </w:p>
        </w:tc>
        <w:tc>
          <w:tcPr>
            <w:tcW w:w="0" w:type="auto"/>
          </w:tcPr>
          <w:p w:rsidR="00706479" w:rsidRDefault="00DA5635">
            <w:pPr>
              <w:pStyle w:val="Compact"/>
              <w:jc w:val="right"/>
            </w:pPr>
            <w:r>
              <w:t>48</w:t>
            </w:r>
          </w:p>
        </w:tc>
        <w:tc>
          <w:tcPr>
            <w:tcW w:w="0" w:type="auto"/>
          </w:tcPr>
          <w:p w:rsidR="00706479" w:rsidRDefault="00DA5635">
            <w:pPr>
              <w:pStyle w:val="Compact"/>
              <w:jc w:val="right"/>
            </w:pPr>
            <w:r>
              <w:t>93</w:t>
            </w:r>
          </w:p>
        </w:tc>
        <w:tc>
          <w:tcPr>
            <w:tcW w:w="0" w:type="auto"/>
          </w:tcPr>
          <w:p w:rsidR="00706479" w:rsidRDefault="00DA5635">
            <w:pPr>
              <w:pStyle w:val="Compact"/>
              <w:jc w:val="right"/>
            </w:pPr>
            <w:r>
              <w:t>2</w:t>
            </w:r>
          </w:p>
        </w:tc>
      </w:tr>
      <w:tr w:rsidR="00706479">
        <w:tc>
          <w:tcPr>
            <w:tcW w:w="0" w:type="auto"/>
          </w:tcPr>
          <w:p w:rsidR="00706479" w:rsidRDefault="00DA5635">
            <w:pPr>
              <w:pStyle w:val="Compact"/>
            </w:pPr>
            <w:r>
              <w:t>Metal ring</w:t>
            </w:r>
          </w:p>
        </w:tc>
        <w:tc>
          <w:tcPr>
            <w:tcW w:w="0" w:type="auto"/>
          </w:tcPr>
          <w:p w:rsidR="00706479" w:rsidRDefault="00DA5635">
            <w:pPr>
              <w:pStyle w:val="Compact"/>
            </w:pPr>
            <w:r>
              <w:t>wide small</w:t>
            </w:r>
          </w:p>
        </w:tc>
        <w:tc>
          <w:tcPr>
            <w:tcW w:w="0" w:type="auto"/>
          </w:tcPr>
          <w:p w:rsidR="00706479" w:rsidRDefault="00DA5635">
            <w:pPr>
              <w:pStyle w:val="Compact"/>
              <w:jc w:val="right"/>
            </w:pPr>
            <w:r>
              <w:t>1</w:t>
            </w:r>
          </w:p>
        </w:tc>
        <w:tc>
          <w:tcPr>
            <w:tcW w:w="0" w:type="auto"/>
          </w:tcPr>
          <w:p w:rsidR="00706479" w:rsidRDefault="00DA5635">
            <w:pPr>
              <w:pStyle w:val="Compact"/>
              <w:jc w:val="right"/>
            </w:pPr>
            <w:r>
              <w:t>9</w:t>
            </w:r>
          </w:p>
        </w:tc>
        <w:tc>
          <w:tcPr>
            <w:tcW w:w="0" w:type="auto"/>
          </w:tcPr>
          <w:p w:rsidR="00706479" w:rsidRDefault="00DA5635">
            <w:pPr>
              <w:pStyle w:val="Compact"/>
              <w:jc w:val="right"/>
            </w:pPr>
            <w:r>
              <w:t>1</w:t>
            </w:r>
          </w:p>
        </w:tc>
      </w:tr>
      <w:tr w:rsidR="00706479">
        <w:tc>
          <w:tcPr>
            <w:tcW w:w="0" w:type="auto"/>
          </w:tcPr>
          <w:p w:rsidR="00706479" w:rsidRDefault="00DA5635">
            <w:pPr>
              <w:pStyle w:val="Compact"/>
            </w:pPr>
            <w:r>
              <w:lastRenderedPageBreak/>
              <w:t>Metal ring</w:t>
            </w:r>
          </w:p>
        </w:tc>
        <w:tc>
          <w:tcPr>
            <w:tcW w:w="0" w:type="auto"/>
          </w:tcPr>
          <w:p w:rsidR="00706479" w:rsidRDefault="00DA5635">
            <w:pPr>
              <w:pStyle w:val="Compact"/>
            </w:pPr>
            <w:r>
              <w:t>thin large</w:t>
            </w:r>
          </w:p>
        </w:tc>
        <w:tc>
          <w:tcPr>
            <w:tcW w:w="0" w:type="auto"/>
          </w:tcPr>
          <w:p w:rsidR="00706479" w:rsidRDefault="00DA5635">
            <w:pPr>
              <w:pStyle w:val="Compact"/>
              <w:jc w:val="right"/>
            </w:pPr>
            <w:r>
              <w:t>4</w:t>
            </w:r>
          </w:p>
        </w:tc>
        <w:tc>
          <w:tcPr>
            <w:tcW w:w="0" w:type="auto"/>
          </w:tcPr>
          <w:p w:rsidR="00706479" w:rsidRDefault="00DA5635">
            <w:pPr>
              <w:pStyle w:val="Compact"/>
              <w:jc w:val="right"/>
            </w:pPr>
            <w:r>
              <w:t>5</w:t>
            </w:r>
          </w:p>
        </w:tc>
        <w:tc>
          <w:tcPr>
            <w:tcW w:w="0" w:type="auto"/>
          </w:tcPr>
          <w:p w:rsidR="00706479" w:rsidRDefault="00DA5635">
            <w:pPr>
              <w:pStyle w:val="Compact"/>
              <w:jc w:val="right"/>
            </w:pPr>
            <w:r>
              <w:t>2</w:t>
            </w:r>
          </w:p>
        </w:tc>
      </w:tr>
      <w:tr w:rsidR="00706479">
        <w:tc>
          <w:tcPr>
            <w:tcW w:w="0" w:type="auto"/>
          </w:tcPr>
          <w:p w:rsidR="00706479" w:rsidRDefault="00DA5635">
            <w:pPr>
              <w:pStyle w:val="Compact"/>
            </w:pPr>
            <w:r>
              <w:t>Metal ring</w:t>
            </w:r>
          </w:p>
        </w:tc>
        <w:tc>
          <w:tcPr>
            <w:tcW w:w="0" w:type="auto"/>
          </w:tcPr>
          <w:p w:rsidR="00706479" w:rsidRDefault="00DA5635">
            <w:pPr>
              <w:pStyle w:val="Compact"/>
            </w:pPr>
            <w:r>
              <w:t>wide large</w:t>
            </w:r>
          </w:p>
        </w:tc>
        <w:tc>
          <w:tcPr>
            <w:tcW w:w="0" w:type="auto"/>
          </w:tcPr>
          <w:p w:rsidR="00706479" w:rsidRDefault="00DA5635">
            <w:pPr>
              <w:pStyle w:val="Compact"/>
              <w:jc w:val="right"/>
            </w:pPr>
            <w:r>
              <w:t>0</w:t>
            </w:r>
          </w:p>
        </w:tc>
        <w:tc>
          <w:tcPr>
            <w:tcW w:w="0" w:type="auto"/>
          </w:tcPr>
          <w:p w:rsidR="00706479" w:rsidRDefault="00DA5635">
            <w:pPr>
              <w:pStyle w:val="Compact"/>
              <w:jc w:val="right"/>
            </w:pPr>
            <w:r>
              <w:t>5</w:t>
            </w:r>
          </w:p>
        </w:tc>
        <w:tc>
          <w:tcPr>
            <w:tcW w:w="0" w:type="auto"/>
          </w:tcPr>
          <w:p w:rsidR="00706479" w:rsidRDefault="00DA5635">
            <w:pPr>
              <w:pStyle w:val="Compact"/>
              <w:jc w:val="right"/>
            </w:pPr>
            <w:r>
              <w:t>0</w:t>
            </w:r>
          </w:p>
        </w:tc>
      </w:tr>
      <w:tr w:rsidR="00706479">
        <w:tc>
          <w:tcPr>
            <w:tcW w:w="0" w:type="auto"/>
          </w:tcPr>
          <w:p w:rsidR="00706479" w:rsidRDefault="00DA5635">
            <w:pPr>
              <w:pStyle w:val="Compact"/>
            </w:pPr>
            <w:r>
              <w:t>Metal ring</w:t>
            </w:r>
          </w:p>
        </w:tc>
        <w:tc>
          <w:tcPr>
            <w:tcW w:w="0" w:type="auto"/>
          </w:tcPr>
          <w:p w:rsidR="00706479" w:rsidRDefault="00DA5635">
            <w:pPr>
              <w:pStyle w:val="Compact"/>
            </w:pPr>
            <w:r>
              <w:t>overlapped</w:t>
            </w:r>
          </w:p>
        </w:tc>
        <w:tc>
          <w:tcPr>
            <w:tcW w:w="0" w:type="auto"/>
          </w:tcPr>
          <w:p w:rsidR="00706479" w:rsidRDefault="00DA5635">
            <w:pPr>
              <w:pStyle w:val="Compact"/>
              <w:jc w:val="right"/>
            </w:pPr>
            <w:r>
              <w:t>0</w:t>
            </w:r>
          </w:p>
        </w:tc>
        <w:tc>
          <w:tcPr>
            <w:tcW w:w="0" w:type="auto"/>
          </w:tcPr>
          <w:p w:rsidR="00706479" w:rsidRDefault="00DA5635">
            <w:pPr>
              <w:pStyle w:val="Compact"/>
              <w:jc w:val="right"/>
            </w:pPr>
            <w:r>
              <w:t>2</w:t>
            </w:r>
          </w:p>
        </w:tc>
        <w:tc>
          <w:tcPr>
            <w:tcW w:w="0" w:type="auto"/>
          </w:tcPr>
          <w:p w:rsidR="00706479" w:rsidRDefault="00DA5635">
            <w:pPr>
              <w:pStyle w:val="Compact"/>
              <w:jc w:val="right"/>
            </w:pPr>
            <w:r>
              <w:t>0</w:t>
            </w:r>
          </w:p>
        </w:tc>
      </w:tr>
      <w:tr w:rsidR="00706479">
        <w:tc>
          <w:tcPr>
            <w:tcW w:w="0" w:type="auto"/>
          </w:tcPr>
          <w:p w:rsidR="00706479" w:rsidRDefault="00DA5635">
            <w:pPr>
              <w:pStyle w:val="Compact"/>
            </w:pPr>
            <w:r>
              <w:t>Metal ring</w:t>
            </w:r>
          </w:p>
        </w:tc>
        <w:tc>
          <w:tcPr>
            <w:tcW w:w="0" w:type="auto"/>
          </w:tcPr>
          <w:p w:rsidR="00706479" w:rsidRDefault="00DA5635">
            <w:pPr>
              <w:pStyle w:val="Compact"/>
            </w:pPr>
            <w:r>
              <w:t>braid</w:t>
            </w:r>
          </w:p>
        </w:tc>
        <w:tc>
          <w:tcPr>
            <w:tcW w:w="0" w:type="auto"/>
          </w:tcPr>
          <w:p w:rsidR="00706479" w:rsidRDefault="00DA5635">
            <w:pPr>
              <w:pStyle w:val="Compact"/>
              <w:jc w:val="right"/>
            </w:pPr>
            <w:r>
              <w:t>0</w:t>
            </w:r>
          </w:p>
        </w:tc>
        <w:tc>
          <w:tcPr>
            <w:tcW w:w="0" w:type="auto"/>
          </w:tcPr>
          <w:p w:rsidR="00706479" w:rsidRDefault="00DA5635">
            <w:pPr>
              <w:pStyle w:val="Compact"/>
              <w:jc w:val="right"/>
            </w:pPr>
            <w:r>
              <w:t>1</w:t>
            </w:r>
          </w:p>
        </w:tc>
        <w:tc>
          <w:tcPr>
            <w:tcW w:w="0" w:type="auto"/>
          </w:tcPr>
          <w:p w:rsidR="00706479" w:rsidRDefault="00DA5635">
            <w:pPr>
              <w:pStyle w:val="Compact"/>
              <w:jc w:val="right"/>
            </w:pPr>
            <w:r>
              <w:t>0</w:t>
            </w:r>
          </w:p>
        </w:tc>
      </w:tr>
      <w:tr w:rsidR="00706479">
        <w:tc>
          <w:tcPr>
            <w:tcW w:w="0" w:type="auto"/>
          </w:tcPr>
          <w:p w:rsidR="00706479" w:rsidRDefault="00DA5635">
            <w:pPr>
              <w:pStyle w:val="Compact"/>
            </w:pPr>
            <w:r>
              <w:t>Metal ring</w:t>
            </w:r>
          </w:p>
        </w:tc>
        <w:tc>
          <w:tcPr>
            <w:tcW w:w="0" w:type="auto"/>
          </w:tcPr>
          <w:p w:rsidR="00706479" w:rsidRDefault="00DA5635">
            <w:pPr>
              <w:pStyle w:val="Compact"/>
            </w:pPr>
            <w:r>
              <w:t>entwined</w:t>
            </w:r>
          </w:p>
        </w:tc>
        <w:tc>
          <w:tcPr>
            <w:tcW w:w="0" w:type="auto"/>
          </w:tcPr>
          <w:p w:rsidR="00706479" w:rsidRDefault="00DA5635">
            <w:pPr>
              <w:pStyle w:val="Compact"/>
              <w:jc w:val="right"/>
            </w:pPr>
            <w:r>
              <w:t>1</w:t>
            </w:r>
          </w:p>
        </w:tc>
        <w:tc>
          <w:tcPr>
            <w:tcW w:w="0" w:type="auto"/>
          </w:tcPr>
          <w:p w:rsidR="00706479" w:rsidRDefault="00DA5635">
            <w:pPr>
              <w:pStyle w:val="Compact"/>
              <w:jc w:val="right"/>
            </w:pPr>
            <w:r>
              <w:t>1</w:t>
            </w:r>
          </w:p>
        </w:tc>
        <w:tc>
          <w:tcPr>
            <w:tcW w:w="0" w:type="auto"/>
          </w:tcPr>
          <w:p w:rsidR="00706479" w:rsidRDefault="00DA5635">
            <w:pPr>
              <w:pStyle w:val="Compact"/>
              <w:jc w:val="right"/>
            </w:pPr>
            <w:r>
              <w:t>0</w:t>
            </w:r>
          </w:p>
        </w:tc>
      </w:tr>
      <w:tr w:rsidR="00706479">
        <w:tc>
          <w:tcPr>
            <w:tcW w:w="0" w:type="auto"/>
          </w:tcPr>
          <w:p w:rsidR="00706479" w:rsidRDefault="00DA5635">
            <w:pPr>
              <w:pStyle w:val="Compact"/>
            </w:pPr>
            <w:r>
              <w:t>Metal ring</w:t>
            </w:r>
          </w:p>
        </w:tc>
        <w:tc>
          <w:tcPr>
            <w:tcW w:w="0" w:type="auto"/>
          </w:tcPr>
          <w:p w:rsidR="00706479" w:rsidRDefault="00DA5635">
            <w:pPr>
              <w:pStyle w:val="Compact"/>
            </w:pPr>
            <w:r>
              <w:t>flat</w:t>
            </w:r>
          </w:p>
        </w:tc>
        <w:tc>
          <w:tcPr>
            <w:tcW w:w="0" w:type="auto"/>
          </w:tcPr>
          <w:p w:rsidR="00706479" w:rsidRDefault="00DA5635">
            <w:pPr>
              <w:pStyle w:val="Compact"/>
              <w:jc w:val="right"/>
            </w:pPr>
            <w:r>
              <w:t>0</w:t>
            </w:r>
          </w:p>
        </w:tc>
        <w:tc>
          <w:tcPr>
            <w:tcW w:w="0" w:type="auto"/>
          </w:tcPr>
          <w:p w:rsidR="00706479" w:rsidRDefault="00DA5635">
            <w:pPr>
              <w:pStyle w:val="Compact"/>
              <w:jc w:val="right"/>
            </w:pPr>
            <w:r>
              <w:t>1</w:t>
            </w:r>
          </w:p>
        </w:tc>
        <w:tc>
          <w:tcPr>
            <w:tcW w:w="0" w:type="auto"/>
          </w:tcPr>
          <w:p w:rsidR="00706479" w:rsidRDefault="00DA5635">
            <w:pPr>
              <w:pStyle w:val="Compact"/>
              <w:jc w:val="right"/>
            </w:pPr>
            <w:r>
              <w:t>0</w:t>
            </w:r>
          </w:p>
        </w:tc>
      </w:tr>
      <w:tr w:rsidR="00706479">
        <w:tc>
          <w:tcPr>
            <w:tcW w:w="0" w:type="auto"/>
          </w:tcPr>
          <w:p w:rsidR="00706479" w:rsidRDefault="00DA5635">
            <w:pPr>
              <w:pStyle w:val="Compact"/>
            </w:pPr>
            <w:r>
              <w:t>Metal ring</w:t>
            </w:r>
          </w:p>
        </w:tc>
        <w:tc>
          <w:tcPr>
            <w:tcW w:w="0" w:type="auto"/>
          </w:tcPr>
          <w:p w:rsidR="00706479" w:rsidRDefault="00DA5635">
            <w:pPr>
              <w:pStyle w:val="Compact"/>
            </w:pPr>
            <w:r>
              <w:t>large thick string</w:t>
            </w:r>
          </w:p>
        </w:tc>
        <w:tc>
          <w:tcPr>
            <w:tcW w:w="0" w:type="auto"/>
          </w:tcPr>
          <w:p w:rsidR="00706479" w:rsidRDefault="00DA5635">
            <w:pPr>
              <w:pStyle w:val="Compact"/>
              <w:jc w:val="right"/>
            </w:pPr>
            <w:r>
              <w:t>0</w:t>
            </w:r>
          </w:p>
        </w:tc>
        <w:tc>
          <w:tcPr>
            <w:tcW w:w="0" w:type="auto"/>
          </w:tcPr>
          <w:p w:rsidR="00706479" w:rsidRDefault="00DA5635">
            <w:pPr>
              <w:pStyle w:val="Compact"/>
              <w:jc w:val="right"/>
            </w:pPr>
            <w:r>
              <w:t>1</w:t>
            </w:r>
          </w:p>
        </w:tc>
        <w:tc>
          <w:tcPr>
            <w:tcW w:w="0" w:type="auto"/>
          </w:tcPr>
          <w:p w:rsidR="00706479" w:rsidRDefault="00DA5635">
            <w:pPr>
              <w:pStyle w:val="Compact"/>
              <w:jc w:val="right"/>
            </w:pPr>
            <w:r>
              <w:t>0</w:t>
            </w:r>
          </w:p>
        </w:tc>
      </w:tr>
      <w:tr w:rsidR="00706479">
        <w:tc>
          <w:tcPr>
            <w:tcW w:w="0" w:type="auto"/>
          </w:tcPr>
          <w:p w:rsidR="00706479" w:rsidRDefault="00DA5635">
            <w:pPr>
              <w:pStyle w:val="Compact"/>
            </w:pPr>
            <w:r>
              <w:t>Metal ring</w:t>
            </w:r>
          </w:p>
        </w:tc>
        <w:tc>
          <w:tcPr>
            <w:tcW w:w="0" w:type="auto"/>
          </w:tcPr>
          <w:p w:rsidR="00706479" w:rsidRDefault="00DA5635">
            <w:pPr>
              <w:pStyle w:val="Compact"/>
            </w:pPr>
            <w:r>
              <w:t>small thin string</w:t>
            </w:r>
          </w:p>
        </w:tc>
        <w:tc>
          <w:tcPr>
            <w:tcW w:w="0" w:type="auto"/>
          </w:tcPr>
          <w:p w:rsidR="00706479" w:rsidRDefault="00DA5635">
            <w:pPr>
              <w:pStyle w:val="Compact"/>
              <w:jc w:val="right"/>
            </w:pPr>
            <w:r>
              <w:t>0</w:t>
            </w:r>
          </w:p>
        </w:tc>
        <w:tc>
          <w:tcPr>
            <w:tcW w:w="0" w:type="auto"/>
          </w:tcPr>
          <w:p w:rsidR="00706479" w:rsidRDefault="00DA5635">
            <w:pPr>
              <w:pStyle w:val="Compact"/>
              <w:jc w:val="right"/>
            </w:pPr>
            <w:r>
              <w:t>1</w:t>
            </w:r>
          </w:p>
        </w:tc>
        <w:tc>
          <w:tcPr>
            <w:tcW w:w="0" w:type="auto"/>
          </w:tcPr>
          <w:p w:rsidR="00706479" w:rsidRDefault="00DA5635">
            <w:pPr>
              <w:pStyle w:val="Compact"/>
              <w:jc w:val="right"/>
            </w:pPr>
            <w:r>
              <w:t>0</w:t>
            </w:r>
          </w:p>
        </w:tc>
      </w:tr>
    </w:tbl>
    <w:p w:rsidR="00706479" w:rsidRDefault="00706479"/>
    <w:p w:rsidR="00706479" w:rsidRDefault="00DA5635">
      <w:pPr>
        <w:pStyle w:val="BodyText"/>
      </w:pPr>
      <w:r>
        <w:t xml:space="preserve">This study focuses on 406 ornaments from 40 sampling squares that were excavated </w:t>
      </w:r>
      <w:r>
        <w:rPr>
          <w:i/>
        </w:rPr>
        <w:t>in situ</w:t>
      </w:r>
      <w:r>
        <w:t xml:space="preserve"> from the household area of Kiwulan, indicated by numerous post-holes (Figure 2). Thirty burials containe</w:t>
      </w:r>
      <w:r>
        <w:t xml:space="preserve">d 3,173 ornaments, and 27 ornaments were recovered from middens. In the burials ornaments were in the form of bead strings that consisted of hundreds to thousands of pieces per burial. The ornaments from the burial contexts are not analysed here since few </w:t>
      </w:r>
      <w:r>
        <w:t xml:space="preserve">burials can be confidently assigned to a time period. The household area represents domestic spaces suitable for testing for changes in ornament distribution relating to social organisation. Figure 3 shows that the most common ornament are golden beads (n </w:t>
      </w:r>
      <w:r>
        <w:t>= 143), followed by glass beads (n = 121), agate beads (n = 46), metal rings (n = 35), and metal bells (n = 22, see also Figure 4). The variety of subtypes and their individual frequencies are summarized in Table 1.</w:t>
      </w:r>
    </w:p>
    <w:p w:rsidR="00706479" w:rsidRDefault="00DA5635">
      <w:pPr>
        <w:pStyle w:val="Heading1"/>
      </w:pPr>
      <w:bookmarkStart w:id="4" w:name="reproducibility-and-open-source-material"/>
      <w:r>
        <w:t>Reproducibility and open source material</w:t>
      </w:r>
      <w:r>
        <w:t>s</w:t>
      </w:r>
      <w:bookmarkEnd w:id="4"/>
    </w:p>
    <w:p w:rsidR="00706479" w:rsidRDefault="00DA5635" w:rsidP="009724B2">
      <w:pPr>
        <w:pStyle w:val="FirstParagraph"/>
      </w:pPr>
      <w:r>
        <w:t xml:space="preserve">To enable re-use of materials and improve reproducibility and transparency (Marwick 2017), the entire R code (R Core Team 2019) used for all the analysis and visualisations contained in this paper is included in </w:t>
      </w:r>
      <w:hyperlink r:id="rId7">
        <w:r>
          <w:rPr>
            <w:rStyle w:val="Hyperlink"/>
          </w:rPr>
          <w:t>http://doi.org/10.17605/OSF.IO/R8YGA</w:t>
        </w:r>
      </w:hyperlink>
      <w:r>
        <w:t xml:space="preserve">. Also in this version-controlled compendium (Marwick </w:t>
      </w:r>
      <w:r>
        <w:rPr>
          <w:i/>
        </w:rPr>
        <w:t>et al.</w:t>
      </w:r>
      <w:r>
        <w:t xml:space="preserve"> 2018) are the raw data for all the tests reported here. All of the figures, tables, and statistical test results presented here can be independen</w:t>
      </w:r>
      <w:r>
        <w:t>tly reproduced with the code and data in this repository. The code is released under the MIT license, the data as CC-0, and figures as CC-BY, to enable maximum re-use.</w:t>
      </w:r>
    </w:p>
    <w:p w:rsidR="00706479" w:rsidRDefault="00DA5635">
      <w:pPr>
        <w:pStyle w:val="Heading1"/>
      </w:pPr>
      <w:bookmarkStart w:id="5" w:name="results"/>
      <w:r>
        <w:t>R</w:t>
      </w:r>
      <w:r>
        <w:t>esults</w:t>
      </w:r>
      <w:bookmarkEnd w:id="5"/>
    </w:p>
    <w:p w:rsidR="00706479" w:rsidRDefault="00DA5635">
      <w:pPr>
        <w:pStyle w:val="Heading2"/>
      </w:pPr>
      <w:bookmarkStart w:id="6" w:name="changes-in-the-frequencies-of-ornament-t"/>
      <w:r>
        <w:t>Changes in the frequencies of ornament types over time</w:t>
      </w:r>
      <w:bookmarkEnd w:id="6"/>
    </w:p>
    <w:p w:rsidR="00706479" w:rsidRDefault="00DA5635">
      <w:pPr>
        <w:pStyle w:val="FirstParagraph"/>
      </w:pPr>
      <w:r>
        <w:t>Figure 5 shows the comparison of frequencies of the major classes of ornaments for different the time periods at Kiwulan. The difference in frequencies between the three time periods reflect significan</w:t>
      </w:r>
      <w:r>
        <w:t xml:space="preserve">t differences in the use of ornaments (chi-square = 71.82, df = 8, p-value = </w:t>
      </w:r>
      <m:oMath>
        <m:r>
          <w:rPr>
            <w:rFonts w:ascii="Cambria Math" w:hAnsi="Cambria Math"/>
          </w:rPr>
          <m:t>2.136325×</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12</m:t>
            </m:r>
          </m:sup>
        </m:sSup>
      </m:oMath>
      <w:r>
        <w:t xml:space="preserve">). Most ornament types were present before European contact. </w:t>
      </w:r>
      <w:r>
        <w:lastRenderedPageBreak/>
        <w:t>Ornament frequencies reached a peak during the European period and then dropped during the Chinese perio</w:t>
      </w:r>
      <w:r>
        <w:t>d, especially golden beads. This trend can be also seen on other ornaments including agate beads, metal rings, and bells. However, glass beads show a different pattern that indicates a higher frequency in the pre-European contact, and then a decrease in th</w:t>
      </w:r>
      <w:r>
        <w:t>e European period and a further decrease in the Chinese period.</w:t>
      </w:r>
    </w:p>
    <w:p w:rsidR="00706479" w:rsidRDefault="00DA5635" w:rsidP="009724B2">
      <w:pPr>
        <w:pStyle w:val="BodyText"/>
      </w:pPr>
      <w:r>
        <w:t>The distribution of frequencies for subtyp</w:t>
      </w:r>
      <w:r>
        <w:t xml:space="preserve">es in each major class are presented in Figure 6. Spearman’s correlation test shows that there is no significant relationship between diversity of subtypes and sample size (S = 173.16, rho = 0.39, p = </w:t>
      </w:r>
      <m:oMath>
        <m:r>
          <w:rPr>
            <w:rFonts w:ascii="Cambria Math" w:hAnsi="Cambria Math"/>
          </w:rPr>
          <m:t>0.20438</m:t>
        </m:r>
      </m:oMath>
      <w:r>
        <w:t>). This indicates that the increases in diversit</w:t>
      </w:r>
      <w:r>
        <w:t>y can be explained by the effects of culture interaction instead of effects of sample size. Agate beads and metal rings have greater quantity and variety of shapes compared to copper bell and glass beads during the European period. The greater varieties fo</w:t>
      </w:r>
      <w:r>
        <w:t xml:space="preserve">r agate beads and metal rings might indicate multiple origins due to participation in global trade networks stimulated by the European presence. In contrast, copper bells and glass beads have less variety, but glass beads have a larger number because they </w:t>
      </w:r>
      <w:r>
        <w:t>were usually found in clusters that indicate their original use as strings or necklaces. Copper bells are typically &gt;2 cm long with a wide variety of human faces as a motif, while glass beads are usually &lt;0.5 cm long Indo-Pacific beads, widespread in South</w:t>
      </w:r>
      <w:r>
        <w:t>east Asian sites since 300 BC (Francis 2002).</w:t>
      </w:r>
    </w:p>
    <w:p w:rsidR="00706479" w:rsidRDefault="00DA5635">
      <w:pPr>
        <w:pStyle w:val="Heading2"/>
      </w:pPr>
      <w:bookmarkStart w:id="7" w:name="changes-in-patterns-of-the-spatial-distr"/>
      <w:r>
        <w:t>C</w:t>
      </w:r>
      <w:r>
        <w:t>hanges in patterns o</w:t>
      </w:r>
      <w:r>
        <w:t>f the spatial distribution of ornament types</w:t>
      </w:r>
      <w:bookmarkEnd w:id="7"/>
    </w:p>
    <w:p w:rsidR="00706479" w:rsidRDefault="00DA5635" w:rsidP="009724B2">
      <w:pPr>
        <w:pStyle w:val="FirstParagraph"/>
      </w:pPr>
      <w:r>
        <w:t xml:space="preserve">Figure 7 presents the spatial distribution of all ornaments from the research area for each time period. Before the European arrival, a greater amount of ornaments were found at the northern and middle parts of </w:t>
      </w:r>
      <w:r>
        <w:t>the research area. During the European period, ornaments were more widespread, with some clusters on the northern part. During the Chinese period the distribution is more even again. Figure 8 presents the distribution for the major ornament classes individ</w:t>
      </w:r>
      <w:r>
        <w:t>ually, some clusters across the area can be observed during the European period, such as golden beads and agate beads. However, there seems to be no clear consistent pattern across those different ornaments. Each class shows its own pattern where the squar</w:t>
      </w:r>
      <w:r>
        <w:t>es with higher number of ornaments distributed separately and independently. For example, a cluster of golden beads was found at the northern part, while a cluster of agate beads was found in the middle part. In contrast, there are multiple clusters of met</w:t>
      </w:r>
      <w:r>
        <w:t>al rings that are distributed separately across the research area. Copper bells were usually found individually and appear randomly distributed across the area. In the Chinese period, both the amount and density of different classes of ornaments decreased.</w:t>
      </w:r>
    </w:p>
    <w:p w:rsidR="00706479" w:rsidRDefault="00DA5635">
      <w:pPr>
        <w:pStyle w:val="Heading2"/>
      </w:pPr>
      <w:bookmarkStart w:id="8" w:name="point-pattern-analysis-of-ornament-distr"/>
      <w:r>
        <w:t>P</w:t>
      </w:r>
      <w:r>
        <w:t>oint pattern analysis of ornament distribution</w:t>
      </w:r>
      <w:bookmarkEnd w:id="8"/>
    </w:p>
    <w:p w:rsidR="00706479" w:rsidRDefault="00DA5635">
      <w:pPr>
        <w:pStyle w:val="FirstParagraph"/>
      </w:pPr>
      <w:r>
        <w:t>Point pattern analysis can assess whether the distribution of artefacts represents hotsp</w:t>
      </w:r>
      <w:r>
        <w:t xml:space="preserve">ots produced by non-random processes (Bevan &amp; Lake 2016; Ducke 2015), such as concentrations of ornaments resulting from social inequality stimulated by a colonial presence. To prepare the ornament location data for point pattern analysis, I assigned each </w:t>
      </w:r>
      <w:r>
        <w:t xml:space="preserve">ornament to a random coordinate pair located in 4 x 4 m square it was recovered from (ornaments lack individual point provenance). The next step was to divide the ornaments </w:t>
      </w:r>
      <w:r>
        <w:lastRenderedPageBreak/>
        <w:t>into three time periods. Finally I computed the kernel densities for each time peri</w:t>
      </w:r>
      <w:r>
        <w:t>od for comparison. Kernel density estimations (KDE) compute the probability of the density of ornaments across space by creating a continuous, smooth density surface across space. Here I use KDE to visualize core areas of ornaments and surrounding neighbou</w:t>
      </w:r>
      <w:r>
        <w:t xml:space="preserve">rhoods (Bonnier </w:t>
      </w:r>
      <w:r>
        <w:rPr>
          <w:i/>
        </w:rPr>
        <w:t>et al.</w:t>
      </w:r>
      <w:r>
        <w:t xml:space="preserve"> 2019; Cortegoso </w:t>
      </w:r>
      <w:r>
        <w:rPr>
          <w:i/>
        </w:rPr>
        <w:t>et al.</w:t>
      </w:r>
      <w:r>
        <w:t xml:space="preserve"> 2016). Density values of artefacts per square meter were calculated for each cell.</w:t>
      </w:r>
    </w:p>
    <w:p w:rsidR="00706479" w:rsidRDefault="00DA5635">
      <w:pPr>
        <w:pStyle w:val="BodyText"/>
      </w:pPr>
      <w:r>
        <w:t>Figure 9 shows that there is one major core area during the pre-European period, multiple core areas during European period, an</w:t>
      </w:r>
      <w:r>
        <w:t>d a single core during the Chinese period. There are three consistent sub-regions with a core area that shifts over time. The distribution might indicate increase and decrease in the number of different household-based social groups who possessed more orna</w:t>
      </w:r>
      <w:r>
        <w:t>ments. The multiple groups during the European period might reflect more unequal consumption of ornaments across the site, relative to other periods, or random patterns resulting from bigger sample size. In addition, the generation of core areas might be b</w:t>
      </w:r>
      <w:r>
        <w:t>iased due to small sample sizes, for example, a few ornaments found at one single square during the Chinese period could create an obvious hotspot.</w:t>
      </w:r>
    </w:p>
    <w:p w:rsidR="00706479" w:rsidRDefault="00DA5635">
      <w:pPr>
        <w:pStyle w:val="BodyText"/>
      </w:pPr>
      <w:r>
        <w:t>To test for randomness in spatial locations, I used a Mon</w:t>
      </w:r>
      <w:r>
        <w:t>te Carlo method to simulate average nearest-neighbour distances (ANN). Figure 10 shows the observed ANN distances with the distributions of the ANN distances calculated on 1000 simulations of random ornament locations. The results show that 100% of the sim</w:t>
      </w:r>
      <w:r>
        <w:t>ulated values are much greater than our observed ANN value during the European period, which means the ornaments have non-randomly clustered distributions. A similar, but less extreme, result is also observed during the pre-European period. The observed di</w:t>
      </w:r>
      <w:r>
        <w:t>stribution of ornaments is more similar to the random distributions during the Chinese period, with about one third of the simulated values are greater than our observed ANN value. This testing reveals that the clustered distributions of ornaments during t</w:t>
      </w:r>
      <w:r>
        <w:t xml:space="preserve">he pre-European and European periods might reflect the presence of different social groups. Moreover, the clustering of ornaments during the European period is highly non-random, potentially indicating different degrees of access to foreign ornaments or a </w:t>
      </w:r>
      <w:r>
        <w:t>concentration of power to control the distribution of ornaments at Kiwulan.</w:t>
      </w:r>
    </w:p>
    <w:p w:rsidR="00706479" w:rsidRDefault="00DA5635">
      <w:pPr>
        <w:pStyle w:val="Heading1"/>
      </w:pPr>
      <w:bookmarkStart w:id="9" w:name="discussion"/>
      <w:r>
        <w:t>Discussion</w:t>
      </w:r>
      <w:bookmarkEnd w:id="9"/>
    </w:p>
    <w:p w:rsidR="00706479" w:rsidRDefault="00DA5635">
      <w:pPr>
        <w:pStyle w:val="FirstParagraph"/>
      </w:pPr>
      <w:r>
        <w:t>An indirect colonial presence is indicated at Kiwulan by a greater diversity of ornaments types and materials during the European period. This likely results from partic</w:t>
      </w:r>
      <w:r>
        <w:t>ipation in large scale exchange networks that stimulated the circulation of different ornament classes. However, the frequency of overall ornaments and each subtype declines significantly during the Chinese period. This may be due to a smaller scale of tra</w:t>
      </w:r>
      <w:r>
        <w:t>ding network, the overall decline of the indigenous population in Yilan, and adopting the practices of Han Chinese who did not use these kinds of beads in their dress. Since the end of the 18th century, many indigenous people moved southwards to Hualien du</w:t>
      </w:r>
      <w:r>
        <w:t>e to population pressure caused by Han Chinese immigrants (Chen 2007).</w:t>
      </w:r>
    </w:p>
    <w:p w:rsidR="00706479" w:rsidRDefault="00DA5635">
      <w:pPr>
        <w:pStyle w:val="BodyText"/>
      </w:pPr>
      <w:r>
        <w:t xml:space="preserve">Spatial patterns of ornaments shows that their distribution was clustered during the pre-European and European period. Testing for spatial patterns indicates that these clusters </w:t>
      </w:r>
      <w:r>
        <w:lastRenderedPageBreak/>
        <w:t>are non</w:t>
      </w:r>
      <w:r>
        <w:t>-random, and are most highly concentrated during the European period. Because ethnographic evidence indicates that trade ornaments were prestige goods in prehistoric Northeastern Taiwan, this spatial clustering may indicate that a degree of social inequali</w:t>
      </w:r>
      <w:r>
        <w:t>ty was present before European contact and then it was reinforced and amplified during the European period. A further indicator of increasing social inequality is a burial dated to the 17th century that included 60 golden beads, well above the average of 2</w:t>
      </w:r>
      <w:r>
        <w:t>-3 pieces in the pre-European period (Chen 2007; Cheng 2008).</w:t>
      </w:r>
    </w:p>
    <w:p w:rsidR="00706479" w:rsidRDefault="00DA5635">
      <w:pPr>
        <w:pStyle w:val="BodyText"/>
      </w:pPr>
      <w:r>
        <w:t>How might these results fit into a bigger picture of social change at periphery of colonial systems? We may get some insight into the general pathways that led to social inequality in northeaste</w:t>
      </w:r>
      <w:r>
        <w:t xml:space="preserve">rn Taiwan by considering how people have achieved and maintained power in a wide variety of societies (Drennan </w:t>
      </w:r>
      <w:r>
        <w:rPr>
          <w:i/>
        </w:rPr>
        <w:t>et al.</w:t>
      </w:r>
      <w:r>
        <w:t xml:space="preserve"> 2010; Feinman 2000; Ames 2010; Bowles </w:t>
      </w:r>
      <w:r>
        <w:rPr>
          <w:i/>
        </w:rPr>
        <w:t>et al.</w:t>
      </w:r>
      <w:r>
        <w:t xml:space="preserve"> 2010). For example, the corporate/network model proposed by Feinman (2000) expands traditiona</w:t>
      </w:r>
      <w:r>
        <w:t>l hierarchical complexity to provide a comparative basis for distinct strategies for power. In the network mode, inequality develops when individuals accumulate wealth through their individual networks and people use their wealth to attract factions, contr</w:t>
      </w:r>
      <w:r>
        <w:t>ol resources, and monopolize trade networks. In contrast, the corporate mode stresses shared power across different groups and sectors, integrative ceremonies and rituals, and large cooperative labour tasks (Feinman 2000; Siegel 1999).</w:t>
      </w:r>
    </w:p>
    <w:p w:rsidR="00706479" w:rsidRDefault="00DA5635">
      <w:pPr>
        <w:pStyle w:val="BodyText"/>
      </w:pPr>
      <w:r>
        <w:t>Yilan social organis</w:t>
      </w:r>
      <w:r>
        <w:t>ation went from corporate mode before the European arrival, then transitioned to network mode during the European presence, then back to corporate mode in the Chinese period. The small number of ornaments, and less concentrated distribution during the pre-</w:t>
      </w:r>
      <w:r>
        <w:t>European period is consistent with shared power and wealth of the corporate mode. The long-distance trade network introduced by Europeans resulted in the appearance of a network mode due to competition among ambitious individuals for prestige, wealth, or p</w:t>
      </w:r>
      <w:r>
        <w:t>ower through collecting trade goods (Brumfiel 1994; Clark &amp; Blake 1994). Because of the weak direct control from the European colonizers in northeast Taiwan, local leaders may have had the flexibility to manipulate European colonial images, expand personal</w:t>
      </w:r>
      <w:r>
        <w:t xml:space="preserve"> power, and monopolize the high-value trade goods (Kang 2012). During the Chinese period, the decreasing frequency and diversity of ornaments show a decline in the production, use and discard of ornaments at Kiwulan. This reflects the smaller scale of exch</w:t>
      </w:r>
      <w:r>
        <w:t>ange networks, with limited sources of ornaments, and limited opportunities for individuals to accumulate wealth.</w:t>
      </w:r>
    </w:p>
    <w:p w:rsidR="00706479" w:rsidRDefault="00DA5635">
      <w:pPr>
        <w:pStyle w:val="Heading1"/>
      </w:pPr>
      <w:bookmarkStart w:id="10" w:name="conclusion"/>
      <w:r>
        <w:t>Conclusion</w:t>
      </w:r>
      <w:bookmarkEnd w:id="10"/>
    </w:p>
    <w:p w:rsidR="00706479" w:rsidRDefault="00DA5635">
      <w:pPr>
        <w:pStyle w:val="FirstParagraph"/>
      </w:pPr>
      <w:r>
        <w:t>Examination of the indirect influence of colonialism can reveal how peripheral areas were influenced by colonial activities or involved in the colonial economy centred in the major European colonies (Trabert 2017). Kiwulan in northeast Taiwan is an excepti</w:t>
      </w:r>
      <w:r>
        <w:t xml:space="preserve">onal case study as an East Asian location that was relatively isolated and peripheral, and yet connected by regional and global trade networks. Kiwulan provides valuable insights into the discussion of indirect colonial influence on local societies living </w:t>
      </w:r>
      <w:r>
        <w:t>beyond the borders of direct European colonial occupation. The frequency and spatial distribution of body ornaments at Kiwulan present three distinct patterns during different dominant culture interaction periods. The greater amount and diversity of orname</w:t>
      </w:r>
      <w:r>
        <w:t xml:space="preserve">nt types during the </w:t>
      </w:r>
      <w:r>
        <w:lastRenderedPageBreak/>
        <w:t>European period reflects international exchanges in a colonial context. Ornaments were viewed as prestige goods in the local indigenous culture before European contact. After the arrival of the Europeans, the exotic and powerful image c</w:t>
      </w:r>
      <w:r>
        <w:t>arried by those ornaments may have intensified, further signalling wealth and privileged trading connections among the inhabitants of Kiwulan. These symbolic values may have stimulated more competition between aggrandizing individuals for prestige and weal</w:t>
      </w:r>
      <w:r>
        <w:t>th accumulation at Kiwulan, which might have resulted in an increase in social inequality.</w:t>
      </w:r>
    </w:p>
    <w:p w:rsidR="00706479" w:rsidRDefault="00DA5635">
      <w:pPr>
        <w:pStyle w:val="BodyText"/>
      </w:pPr>
      <w:r>
        <w:t>We are still far from understanding the full variety of colonial impacts on peripheral indigenous communities. The Kiwulan ornaments suggest that foreign ornaments c</w:t>
      </w:r>
      <w:r>
        <w:t>an be a proxy to detect indirect colonial influence on local indigenous populations. Ornaments give insights into the amplification of social inequality stimulated by European colonisation. It also shows the agency of indigenous people to incorporate ornam</w:t>
      </w:r>
      <w:r>
        <w:t>ents into their social system and use them in their daily lives to display or intensify status differences. Future work could extend this approach to studies of other trade goods such as ceramics. We have introduced here the corporate/network model for und</w:t>
      </w:r>
      <w:r>
        <w:t>erstanding the dynamics of social inequality at Kiwulan, and future tests of this should include analysis of pottery production and standardisation, and mortuary practices.</w:t>
      </w:r>
    </w:p>
    <w:p w:rsidR="00706479" w:rsidRDefault="00DA5635">
      <w:pPr>
        <w:pStyle w:val="Heading1"/>
      </w:pPr>
      <w:bookmarkStart w:id="11" w:name="acknowledgments"/>
      <w:r>
        <w:t>Acknowledgments</w:t>
      </w:r>
      <w:bookmarkEnd w:id="11"/>
    </w:p>
    <w:p w:rsidR="00706479" w:rsidRDefault="00DA5635">
      <w:pPr>
        <w:pStyle w:val="FirstParagraph"/>
      </w:pPr>
      <w:r>
        <w:t>I would like to thank the Yilan County Cultural Affairs Bureau in Taiwan for permitting access to the ornaments used in this study. I thank Shui-jin Chiu, Shu-hui Jian, Jiun-yao Lai, and the staff in archaeology lab for their invaluable assistance in prepa</w:t>
      </w:r>
      <w:r>
        <w:t>ring samples for analysis. I also thank Yu-pei Chen for the discussion regarding the site at the earliest stage of fieldwork. This work was supported in part by the Fritz Graduate Fellowship and travel grants from the Department of Anthropology at Universi</w:t>
      </w:r>
      <w:r>
        <w:t>ty of Washington. I would also like to thank Ben Fitzhugh and Peter Lape for their insightful comments on the early draft. I especially thank Ben Marwick for providing academic support during this project, helping me with polishing figures with R language,</w:t>
      </w:r>
      <w:r>
        <w:t xml:space="preserve"> and providing feedback on early drafts of this manuscript.</w:t>
      </w:r>
    </w:p>
    <w:p w:rsidR="00706479" w:rsidRDefault="00DA5635">
      <w:pPr>
        <w:pStyle w:val="Heading5"/>
      </w:pPr>
      <w:bookmarkStart w:id="12" w:name="pagebreak"/>
      <w:r>
        <w:lastRenderedPageBreak/>
        <w:t>pagebreak</w:t>
      </w:r>
      <w:bookmarkEnd w:id="12"/>
    </w:p>
    <w:p w:rsidR="00706479" w:rsidRDefault="00DA5635">
      <w:pPr>
        <w:pStyle w:val="Heading1"/>
      </w:pPr>
      <w:bookmarkStart w:id="13" w:name="references"/>
      <w:r>
        <w:t>References</w:t>
      </w:r>
      <w:bookmarkEnd w:id="13"/>
    </w:p>
    <w:p w:rsidR="00706479" w:rsidRDefault="00DA5635">
      <w:pPr>
        <w:pStyle w:val="FirstParagraph"/>
      </w:pPr>
      <w:bookmarkStart w:id="14" w:name="ref-Ames2010"/>
      <w:bookmarkStart w:id="15" w:name="refs"/>
      <w:r>
        <w:rPr>
          <w:smallCaps/>
        </w:rPr>
        <w:t>Ames</w:t>
      </w:r>
      <w:r>
        <w:t xml:space="preserve">, K.M. 2010. On the evolution of the human capacity for inequality and/or egalitarianism, in G. Feinman &amp; T.D. Price (ed.) </w:t>
      </w:r>
      <w:r>
        <w:rPr>
          <w:i/>
        </w:rPr>
        <w:t>Pathways to power: New perspectives on the emerg</w:t>
      </w:r>
      <w:r>
        <w:rPr>
          <w:i/>
        </w:rPr>
        <w:t>ence of social inequality</w:t>
      </w:r>
      <w:r>
        <w:t>: 15–44. New York: Springer.</w:t>
      </w:r>
    </w:p>
    <w:p w:rsidR="00706479" w:rsidRDefault="00DA5635">
      <w:pPr>
        <w:pStyle w:val="BodyText"/>
      </w:pPr>
      <w:bookmarkStart w:id="16" w:name="ref-Andrade2007"/>
      <w:bookmarkEnd w:id="14"/>
      <w:r>
        <w:rPr>
          <w:smallCaps/>
        </w:rPr>
        <w:t>Andrade</w:t>
      </w:r>
      <w:r>
        <w:t xml:space="preserve">, T. 2007. </w:t>
      </w:r>
      <w:r>
        <w:rPr>
          <w:i/>
        </w:rPr>
        <w:t>How Taiwan became chinese : Dutch, spanish, and han colonization in the seventeenth century</w:t>
      </w:r>
      <w:r>
        <w:t>. New York: Columbia University Press.</w:t>
      </w:r>
    </w:p>
    <w:p w:rsidR="00706479" w:rsidRDefault="00DA5635">
      <w:pPr>
        <w:pStyle w:val="BodyText"/>
      </w:pPr>
      <w:bookmarkStart w:id="17" w:name="ref-Bellina2014"/>
      <w:bookmarkEnd w:id="16"/>
      <w:r>
        <w:rPr>
          <w:smallCaps/>
        </w:rPr>
        <w:t>Bellina</w:t>
      </w:r>
      <w:r>
        <w:t>, B. 2014. Maritime silk roads’ ornament indust</w:t>
      </w:r>
      <w:r>
        <w:t xml:space="preserve">ries: Socio-political practices and cultural transfers in the south china sea </w:t>
      </w:r>
      <w:r>
        <w:rPr>
          <w:i/>
        </w:rPr>
        <w:t>Cambridge Archaeological Journal</w:t>
      </w:r>
      <w:r>
        <w:t xml:space="preserve"> 24. Cambridge University Press: 345–77.</w:t>
      </w:r>
    </w:p>
    <w:p w:rsidR="00706479" w:rsidRDefault="00DA5635">
      <w:pPr>
        <w:pStyle w:val="BodyText"/>
      </w:pPr>
      <w:bookmarkStart w:id="18" w:name="ref-Berrocal2018"/>
      <w:bookmarkEnd w:id="17"/>
      <w:r>
        <w:rPr>
          <w:smallCaps/>
        </w:rPr>
        <w:t>Berrocal</w:t>
      </w:r>
      <w:r>
        <w:t xml:space="preserve">, M.C., E.S. </w:t>
      </w:r>
      <w:r>
        <w:rPr>
          <w:smallCaps/>
        </w:rPr>
        <w:t>Herrero</w:t>
      </w:r>
      <w:r>
        <w:t xml:space="preserve">., M.G. </w:t>
      </w:r>
      <w:r>
        <w:rPr>
          <w:smallCaps/>
        </w:rPr>
        <w:t>Moret</w:t>
      </w:r>
      <w:r>
        <w:t xml:space="preserve">., A.U. </w:t>
      </w:r>
      <w:r>
        <w:rPr>
          <w:smallCaps/>
        </w:rPr>
        <w:t>González</w:t>
      </w:r>
      <w:r>
        <w:t xml:space="preserve">., M.T. </w:t>
      </w:r>
      <w:r>
        <w:rPr>
          <w:smallCaps/>
        </w:rPr>
        <w:t>Pérez</w:t>
      </w:r>
      <w:r>
        <w:t xml:space="preserve">., S.C. </w:t>
      </w:r>
      <w:r>
        <w:rPr>
          <w:smallCaps/>
        </w:rPr>
        <w:t>Rodrı'guez</w:t>
      </w:r>
      <w:r>
        <w:t xml:space="preserve">., A. </w:t>
      </w:r>
      <w:r>
        <w:rPr>
          <w:smallCaps/>
        </w:rPr>
        <w:t>Chevalier</w:t>
      </w:r>
      <w:r>
        <w:t>.,</w:t>
      </w:r>
      <w:r>
        <w:t xml:space="preserve"> F. </w:t>
      </w:r>
      <w:r>
        <w:rPr>
          <w:smallCaps/>
        </w:rPr>
        <w:t>Valentin</w:t>
      </w:r>
      <w:r>
        <w:t xml:space="preserve">. &amp; C.-h. </w:t>
      </w:r>
      <w:r>
        <w:rPr>
          <w:smallCaps/>
        </w:rPr>
        <w:t>Tsang</w:t>
      </w:r>
      <w:r>
        <w:t xml:space="preserve">. 2018. A comprised archaeological history of taiwan through the long-term record of heping dao, keelung </w:t>
      </w:r>
      <w:r>
        <w:rPr>
          <w:i/>
        </w:rPr>
        <w:t>International Journal of Historical Archaeology</w:t>
      </w:r>
      <w:r>
        <w:t xml:space="preserve"> 22. Springer: 905–40.</w:t>
      </w:r>
    </w:p>
    <w:p w:rsidR="00706479" w:rsidRDefault="00DA5635">
      <w:pPr>
        <w:pStyle w:val="BodyText"/>
      </w:pPr>
      <w:bookmarkStart w:id="19" w:name="ref-Bevan2016"/>
      <w:bookmarkEnd w:id="18"/>
      <w:r>
        <w:rPr>
          <w:smallCaps/>
        </w:rPr>
        <w:t>Bevan</w:t>
      </w:r>
      <w:r>
        <w:t xml:space="preserve">, A. &amp; M. </w:t>
      </w:r>
      <w:r>
        <w:rPr>
          <w:smallCaps/>
        </w:rPr>
        <w:t>Lake</w:t>
      </w:r>
      <w:r>
        <w:t xml:space="preserve">. 2016. Intensities, interactions, </w:t>
      </w:r>
      <w:r>
        <w:t xml:space="preserve">and uncertainties: Some new approaches to archaeological distributions, in A. Bevan &amp; M. Lake (ed.) </w:t>
      </w:r>
      <w:r>
        <w:rPr>
          <w:i/>
        </w:rPr>
        <w:t>Computational approaches to archaeological spaces</w:t>
      </w:r>
      <w:r>
        <w:t>: 27–52. Routledge.</w:t>
      </w:r>
    </w:p>
    <w:p w:rsidR="00706479" w:rsidRDefault="00DA5635">
      <w:pPr>
        <w:pStyle w:val="BodyText"/>
      </w:pPr>
      <w:bookmarkStart w:id="20" w:name="ref-Blusse2000"/>
      <w:bookmarkEnd w:id="19"/>
      <w:r>
        <w:rPr>
          <w:smallCaps/>
        </w:rPr>
        <w:t>Blussé</w:t>
      </w:r>
      <w:r>
        <w:t xml:space="preserve">, L. &amp; N. </w:t>
      </w:r>
      <w:r>
        <w:rPr>
          <w:smallCaps/>
        </w:rPr>
        <w:t>Everts</w:t>
      </w:r>
      <w:r>
        <w:t xml:space="preserve">. 2000. </w:t>
      </w:r>
      <w:r>
        <w:rPr>
          <w:i/>
        </w:rPr>
        <w:t>(FEII) the formosan encounter. Notes on formosa’s aborigi</w:t>
      </w:r>
      <w:r>
        <w:rPr>
          <w:i/>
        </w:rPr>
        <w:t>nal society, a selection of documents from dutch archival sources. Volume ii: 1636-1645</w:t>
      </w:r>
      <w:r>
        <w:t>. Taipei: Shung Ye Museum of Formosan Aborigines, Taipei.</w:t>
      </w:r>
    </w:p>
    <w:p w:rsidR="00706479" w:rsidRDefault="00DA5635">
      <w:pPr>
        <w:pStyle w:val="BodyText"/>
      </w:pPr>
      <w:bookmarkStart w:id="21" w:name="ref-Bonnier2019"/>
      <w:bookmarkEnd w:id="20"/>
      <w:r>
        <w:rPr>
          <w:smallCaps/>
        </w:rPr>
        <w:t>Bonnier</w:t>
      </w:r>
      <w:r>
        <w:t xml:space="preserve">, A., M. </w:t>
      </w:r>
      <w:r>
        <w:rPr>
          <w:smallCaps/>
        </w:rPr>
        <w:t>Finné</w:t>
      </w:r>
      <w:r>
        <w:t xml:space="preserve">. &amp; E. </w:t>
      </w:r>
      <w:r>
        <w:rPr>
          <w:smallCaps/>
        </w:rPr>
        <w:t>Weiberg</w:t>
      </w:r>
      <w:r>
        <w:t>. 2019. Examining land-use through gis-based kernel density estimation: A re</w:t>
      </w:r>
      <w:r>
        <w:t xml:space="preserve">-evaluation of legacy data from the berbati-limnes survey </w:t>
      </w:r>
      <w:r>
        <w:rPr>
          <w:i/>
        </w:rPr>
        <w:t>Journal of Field Archaeology</w:t>
      </w:r>
      <w:r>
        <w:t xml:space="preserve"> 44. Taylor &amp; Francis: 70–83.</w:t>
      </w:r>
    </w:p>
    <w:p w:rsidR="00706479" w:rsidRDefault="00DA5635">
      <w:pPr>
        <w:pStyle w:val="BodyText"/>
      </w:pPr>
      <w:bookmarkStart w:id="22" w:name="ref-Borao2001"/>
      <w:bookmarkEnd w:id="21"/>
      <w:r>
        <w:rPr>
          <w:smallCaps/>
        </w:rPr>
        <w:t>Borao</w:t>
      </w:r>
      <w:r>
        <w:t xml:space="preserve">, H., J. E. 2001. </w:t>
      </w:r>
      <w:r>
        <w:rPr>
          <w:i/>
        </w:rPr>
        <w:t>(SIT, pp. 1-343). Spaniards in taiwan, vol. I (1582–1641)</w:t>
      </w:r>
      <w:r>
        <w:t>. Taipei: SMC Publishing.</w:t>
      </w:r>
    </w:p>
    <w:p w:rsidR="00706479" w:rsidRDefault="00DA5635">
      <w:pPr>
        <w:pStyle w:val="BodyText"/>
      </w:pPr>
      <w:bookmarkStart w:id="23" w:name="ref-Borao2009"/>
      <w:bookmarkEnd w:id="22"/>
      <w:r>
        <w:rPr>
          <w:smallCaps/>
        </w:rPr>
        <w:t>Borao</w:t>
      </w:r>
      <w:r>
        <w:t xml:space="preserve">, J.E. 2009. </w:t>
      </w:r>
      <w:r>
        <w:rPr>
          <w:i/>
        </w:rPr>
        <w:t>The spanish expe</w:t>
      </w:r>
      <w:r>
        <w:rPr>
          <w:i/>
        </w:rPr>
        <w:t>rience in Taiwan, 1626-1642: The baroque ending of a renaissance endeavor</w:t>
      </w:r>
      <w:r>
        <w:t>. Hong Kong: Hong Kong University Press.</w:t>
      </w:r>
    </w:p>
    <w:p w:rsidR="00706479" w:rsidRDefault="00DA5635">
      <w:pPr>
        <w:pStyle w:val="BodyText"/>
      </w:pPr>
      <w:bookmarkStart w:id="24" w:name="ref-Bowles2010"/>
      <w:bookmarkEnd w:id="23"/>
      <w:r>
        <w:rPr>
          <w:smallCaps/>
        </w:rPr>
        <w:t>Bowles</w:t>
      </w:r>
      <w:r>
        <w:t xml:space="preserve">, S., E. </w:t>
      </w:r>
      <w:r>
        <w:rPr>
          <w:smallCaps/>
        </w:rPr>
        <w:t>Smith</w:t>
      </w:r>
      <w:r>
        <w:t xml:space="preserve">. &amp; M. </w:t>
      </w:r>
      <w:r>
        <w:rPr>
          <w:smallCaps/>
        </w:rPr>
        <w:t>Mulder</w:t>
      </w:r>
      <w:r>
        <w:t xml:space="preserve">. 2010. The emergence and persistence of inequality in premodern societies </w:t>
      </w:r>
      <w:r>
        <w:rPr>
          <w:i/>
        </w:rPr>
        <w:t>Current anthropology</w:t>
      </w:r>
      <w:r>
        <w:t xml:space="preserve"> 51: 7–17.</w:t>
      </w:r>
    </w:p>
    <w:p w:rsidR="00706479" w:rsidRDefault="00DA5635">
      <w:pPr>
        <w:pStyle w:val="BodyText"/>
      </w:pPr>
      <w:bookmarkStart w:id="25" w:name="ref-Brumfiel1994"/>
      <w:bookmarkEnd w:id="24"/>
      <w:r>
        <w:rPr>
          <w:smallCaps/>
        </w:rPr>
        <w:t>Bru</w:t>
      </w:r>
      <w:r>
        <w:rPr>
          <w:smallCaps/>
        </w:rPr>
        <w:t>mfiel</w:t>
      </w:r>
      <w:r>
        <w:t xml:space="preserve">, E.M. 1994. Factional competition and political development in the new world: An introduction, in E.M. Brumfiel &amp; J. Fox (ed.) </w:t>
      </w:r>
      <w:r>
        <w:rPr>
          <w:i/>
        </w:rPr>
        <w:t>Factional competition and political development in the new world</w:t>
      </w:r>
      <w:r>
        <w:t>: 3–13. Cambridge: Cambridge University Press.</w:t>
      </w:r>
    </w:p>
    <w:p w:rsidR="00706479" w:rsidRDefault="00DA5635">
      <w:pPr>
        <w:pStyle w:val="BodyText"/>
      </w:pPr>
      <w:bookmarkStart w:id="26" w:name="ref-Carter2016"/>
      <w:bookmarkEnd w:id="25"/>
      <w:r>
        <w:rPr>
          <w:smallCaps/>
        </w:rPr>
        <w:t>Carter</w:t>
      </w:r>
      <w:r>
        <w:t xml:space="preserve">, A.K. 2016. The production and exchange of glass and stone beads in southeast asia from 500 bce to the early second millennium ce: An assessment of the work of peter francis in light of recent research </w:t>
      </w:r>
      <w:r>
        <w:rPr>
          <w:i/>
        </w:rPr>
        <w:t>Archaeological Research in Asia</w:t>
      </w:r>
      <w:r>
        <w:t xml:space="preserve"> 6. Elsevier: 16–29.</w:t>
      </w:r>
    </w:p>
    <w:p w:rsidR="00706479" w:rsidRDefault="00DA5635">
      <w:pPr>
        <w:pStyle w:val="BodyText"/>
      </w:pPr>
      <w:bookmarkStart w:id="27" w:name="ref-Chen1963"/>
      <w:bookmarkEnd w:id="26"/>
      <w:r>
        <w:rPr>
          <w:smallCaps/>
        </w:rPr>
        <w:lastRenderedPageBreak/>
        <w:t>C</w:t>
      </w:r>
      <w:r>
        <w:rPr>
          <w:smallCaps/>
        </w:rPr>
        <w:t>hen</w:t>
      </w:r>
      <w:r>
        <w:t xml:space="preserve">, S. 1963. </w:t>
      </w:r>
      <w:r>
        <w:rPr>
          <w:i/>
        </w:rPr>
        <w:t>Kavalan ting zhi [kavalen culture history], taiwan wen xian cong kan di 106 zhong [taiwan literature series: 106]</w:t>
      </w:r>
      <w:r>
        <w:t>. Taipei: Economic Research Office, Bank ofTaiwan.</w:t>
      </w:r>
    </w:p>
    <w:p w:rsidR="00706479" w:rsidRDefault="00DA5635">
      <w:pPr>
        <w:pStyle w:val="BodyText"/>
      </w:pPr>
      <w:bookmarkStart w:id="28" w:name="ref-Chen2007"/>
      <w:bookmarkEnd w:id="27"/>
      <w:r>
        <w:rPr>
          <w:smallCaps/>
        </w:rPr>
        <w:t>Chen</w:t>
      </w:r>
      <w:r>
        <w:t xml:space="preserve">, Y.-p. 2007. </w:t>
      </w:r>
      <w:r>
        <w:rPr>
          <w:i/>
        </w:rPr>
        <w:t>Qi wu lan yi zhi qiang jiu fa jue bao gao [ report on the ar</w:t>
      </w:r>
      <w:r>
        <w:rPr>
          <w:i/>
        </w:rPr>
        <w:t>chaeological excavations at ki-wu-lan site]</w:t>
      </w:r>
      <w:r>
        <w:t>. Yilan, Taiwan: Lanyang museum.</w:t>
      </w:r>
    </w:p>
    <w:p w:rsidR="00706479" w:rsidRDefault="00DA5635">
      <w:pPr>
        <w:pStyle w:val="BodyText"/>
      </w:pPr>
      <w:bookmarkStart w:id="29" w:name="ref-Cheng2008"/>
      <w:bookmarkEnd w:id="28"/>
      <w:r>
        <w:rPr>
          <w:smallCaps/>
        </w:rPr>
        <w:t>Cheng</w:t>
      </w:r>
      <w:r>
        <w:t>, C.-F. 2008. Qi wu lan yi zhi yu she nei yi zhi chu tu bo li zhu de xiang guan yan jiu [studies of glass beads excavated from kivulan and shenei site, taiwan]. Master’s thesi</w:t>
      </w:r>
      <w:r>
        <w:t>s.</w:t>
      </w:r>
    </w:p>
    <w:p w:rsidR="00706479" w:rsidRDefault="00DA5635">
      <w:pPr>
        <w:pStyle w:val="BodyText"/>
      </w:pPr>
      <w:bookmarkStart w:id="30" w:name="ref-Clark1994"/>
      <w:bookmarkEnd w:id="29"/>
      <w:r>
        <w:rPr>
          <w:smallCaps/>
        </w:rPr>
        <w:t>Clark</w:t>
      </w:r>
      <w:r>
        <w:t xml:space="preserve">, J.E. &amp; M. </w:t>
      </w:r>
      <w:r>
        <w:rPr>
          <w:smallCaps/>
        </w:rPr>
        <w:t>Blake</w:t>
      </w:r>
      <w:r>
        <w:t xml:space="preserve">. 1994. The power of prestige: Competitive generosity and the emergence of rank societies in lowland mesoamerica </w:t>
      </w:r>
      <w:r>
        <w:rPr>
          <w:i/>
        </w:rPr>
        <w:t>Factional competition and political development in the New World</w:t>
      </w:r>
      <w:r>
        <w:t>, 17–30.</w:t>
      </w:r>
    </w:p>
    <w:p w:rsidR="00706479" w:rsidRDefault="00DA5635">
      <w:pPr>
        <w:pStyle w:val="BodyText"/>
      </w:pPr>
      <w:bookmarkStart w:id="31" w:name="ref-Cort2017"/>
      <w:bookmarkEnd w:id="30"/>
      <w:r>
        <w:rPr>
          <w:smallCaps/>
        </w:rPr>
        <w:t>Cort</w:t>
      </w:r>
      <w:r>
        <w:t>, L.A. 2017. Container jars from the maen</w:t>
      </w:r>
      <w:r>
        <w:t xml:space="preserve">am noi kilns, thailand use and reuse along maritime trade routes in asia </w:t>
      </w:r>
      <w:r>
        <w:rPr>
          <w:i/>
        </w:rPr>
        <w:t>Bulletin de l’École française d’Extrême-Orient</w:t>
      </w:r>
      <w:r>
        <w:t xml:space="preserve"> 103. École française d’Extrême-Orient: 267–96.</w:t>
      </w:r>
    </w:p>
    <w:p w:rsidR="00706479" w:rsidRDefault="00DA5635">
      <w:pPr>
        <w:pStyle w:val="BodyText"/>
      </w:pPr>
      <w:bookmarkStart w:id="32" w:name="ref-Cortegoso2016"/>
      <w:bookmarkEnd w:id="31"/>
      <w:r>
        <w:rPr>
          <w:smallCaps/>
        </w:rPr>
        <w:t>Cortegoso</w:t>
      </w:r>
      <w:r>
        <w:t xml:space="preserve">, V., R. </w:t>
      </w:r>
      <w:r>
        <w:rPr>
          <w:smallCaps/>
        </w:rPr>
        <w:t>Barberena</w:t>
      </w:r>
      <w:r>
        <w:t xml:space="preserve">., V. </w:t>
      </w:r>
      <w:r>
        <w:rPr>
          <w:smallCaps/>
        </w:rPr>
        <w:t>Durán</w:t>
      </w:r>
      <w:r>
        <w:t xml:space="preserve">. &amp; G. </w:t>
      </w:r>
      <w:r>
        <w:rPr>
          <w:smallCaps/>
        </w:rPr>
        <w:t>Lucero</w:t>
      </w:r>
      <w:r>
        <w:t>. 2016. Geographic vectors of human mo</w:t>
      </w:r>
      <w:r>
        <w:t xml:space="preserve">bility in the andes (34–36° s): Comparative analysis of ‘minor’obsidian sources </w:t>
      </w:r>
      <w:r>
        <w:rPr>
          <w:i/>
        </w:rPr>
        <w:t>Quaternary International</w:t>
      </w:r>
      <w:r>
        <w:t xml:space="preserve"> 422. Elsevier: 81–92.</w:t>
      </w:r>
    </w:p>
    <w:p w:rsidR="00706479" w:rsidRDefault="00DA5635">
      <w:pPr>
        <w:pStyle w:val="BodyText"/>
      </w:pPr>
      <w:bookmarkStart w:id="33" w:name="ref-Dietler1997"/>
      <w:bookmarkEnd w:id="32"/>
      <w:r>
        <w:rPr>
          <w:smallCaps/>
        </w:rPr>
        <w:t>Dietler</w:t>
      </w:r>
      <w:r>
        <w:t xml:space="preserve">, M. 1997. The iron age in mediterranean france: Colonial encounters, entanglements, and transformations </w:t>
      </w:r>
      <w:r>
        <w:rPr>
          <w:i/>
        </w:rPr>
        <w:t xml:space="preserve">Journal of World </w:t>
      </w:r>
      <w:r>
        <w:rPr>
          <w:i/>
        </w:rPr>
        <w:t>Prehistory</w:t>
      </w:r>
      <w:r>
        <w:t xml:space="preserve"> 11. Springer: 269–358.</w:t>
      </w:r>
    </w:p>
    <w:p w:rsidR="00706479" w:rsidRDefault="00DA5635">
      <w:pPr>
        <w:pStyle w:val="BodyText"/>
      </w:pPr>
      <w:bookmarkStart w:id="34" w:name="ref-Dietler2005"/>
      <w:bookmarkEnd w:id="33"/>
      <w:r>
        <w:t xml:space="preserve">— 2005. The archaeology of colonization and the colonization of archaeology: Theoretical challenges from an ancient mediterranean colonial encounter, in G. Stein (ed.) </w:t>
      </w:r>
      <w:r>
        <w:rPr>
          <w:i/>
        </w:rPr>
        <w:t>The archaeology of colonial encounters: Comparative pe</w:t>
      </w:r>
      <w:r>
        <w:rPr>
          <w:i/>
        </w:rPr>
        <w:t>rspectives</w:t>
      </w:r>
      <w:r>
        <w:t>: 33–68. Santa Fe: NM: Sch. Am. Res. Press.</w:t>
      </w:r>
    </w:p>
    <w:p w:rsidR="00706479" w:rsidRDefault="00DA5635">
      <w:pPr>
        <w:pStyle w:val="BodyText"/>
      </w:pPr>
      <w:bookmarkStart w:id="35" w:name="ref-Dietler2015"/>
      <w:bookmarkEnd w:id="34"/>
      <w:r>
        <w:t xml:space="preserve">— 2015. </w:t>
      </w:r>
      <w:r>
        <w:rPr>
          <w:i/>
        </w:rPr>
        <w:t>Archaeologies of colonialism: Consumption, entanglement, and violence in ancient mediterranean france</w:t>
      </w:r>
      <w:r>
        <w:t>. Univ of California Press.</w:t>
      </w:r>
    </w:p>
    <w:p w:rsidR="00706479" w:rsidRDefault="00DA5635">
      <w:pPr>
        <w:pStyle w:val="BodyText"/>
      </w:pPr>
      <w:bookmarkStart w:id="36" w:name="ref-Drennan2010"/>
      <w:bookmarkEnd w:id="35"/>
      <w:r>
        <w:rPr>
          <w:smallCaps/>
        </w:rPr>
        <w:t>Drennan</w:t>
      </w:r>
      <w:r>
        <w:t xml:space="preserve">, R.D., C.E. </w:t>
      </w:r>
      <w:r>
        <w:rPr>
          <w:smallCaps/>
        </w:rPr>
        <w:t>Peterson</w:t>
      </w:r>
      <w:r>
        <w:t xml:space="preserve">. &amp; J.R. </w:t>
      </w:r>
      <w:r>
        <w:rPr>
          <w:smallCaps/>
        </w:rPr>
        <w:t>Fox</w:t>
      </w:r>
      <w:r>
        <w:t>. 2010. Degrees and kinds</w:t>
      </w:r>
      <w:r>
        <w:t xml:space="preserve"> of inequality, in </w:t>
      </w:r>
      <w:r>
        <w:rPr>
          <w:i/>
        </w:rPr>
        <w:t>Pathways to power</w:t>
      </w:r>
      <w:r>
        <w:t>: 45–76. Springer.</w:t>
      </w:r>
    </w:p>
    <w:p w:rsidR="00706479" w:rsidRDefault="00DA5635">
      <w:pPr>
        <w:pStyle w:val="BodyText"/>
      </w:pPr>
      <w:bookmarkStart w:id="37" w:name="ref-Ducke2015"/>
      <w:bookmarkEnd w:id="36"/>
      <w:r>
        <w:rPr>
          <w:smallCaps/>
        </w:rPr>
        <w:t>Ducke</w:t>
      </w:r>
      <w:r>
        <w:t xml:space="preserve">, B. 2015. Spatial cluster detection in archaeology: Current theory and practice, in J.A. Barcelo &amp; I. Bogdanovic (ed.) </w:t>
      </w:r>
      <w:r>
        <w:rPr>
          <w:i/>
        </w:rPr>
        <w:t>Mathematics and archaeology</w:t>
      </w:r>
      <w:r>
        <w:t>: 352–68. Barcelona, Spain: CRC Press Boca Raton.</w:t>
      </w:r>
    </w:p>
    <w:p w:rsidR="00706479" w:rsidRDefault="00DA5635">
      <w:pPr>
        <w:pStyle w:val="BodyText"/>
      </w:pPr>
      <w:bookmarkStart w:id="38" w:name="ref-Feinman2000"/>
      <w:bookmarkEnd w:id="37"/>
      <w:r>
        <w:rPr>
          <w:smallCaps/>
        </w:rPr>
        <w:t>Feinman</w:t>
      </w:r>
      <w:r>
        <w:t xml:space="preserve">, G.M. 2000. Corporate/network: New perspectives on models of political action and the puebloan southwest </w:t>
      </w:r>
      <w:r>
        <w:rPr>
          <w:i/>
        </w:rPr>
        <w:t>Social Theory in Archaeology, University of Utah Press, Salt Lake City</w:t>
      </w:r>
      <w:r>
        <w:t>, 31–51.</w:t>
      </w:r>
    </w:p>
    <w:p w:rsidR="00706479" w:rsidRDefault="00DA5635">
      <w:pPr>
        <w:pStyle w:val="BodyText"/>
      </w:pPr>
      <w:bookmarkStart w:id="39" w:name="ref-Francis2002"/>
      <w:bookmarkEnd w:id="38"/>
      <w:r>
        <w:rPr>
          <w:smallCaps/>
        </w:rPr>
        <w:t>Francis</w:t>
      </w:r>
      <w:r>
        <w:t xml:space="preserve">, P. 2002. </w:t>
      </w:r>
      <w:r>
        <w:rPr>
          <w:i/>
        </w:rPr>
        <w:t>Asia’s maritime bead trade: 300 bc to the pre</w:t>
      </w:r>
      <w:r>
        <w:rPr>
          <w:i/>
        </w:rPr>
        <w:t>sent</w:t>
      </w:r>
      <w:r>
        <w:t>. University of Hawaii Press.</w:t>
      </w:r>
    </w:p>
    <w:p w:rsidR="00706479" w:rsidRDefault="00DA5635">
      <w:pPr>
        <w:pStyle w:val="BodyText"/>
      </w:pPr>
      <w:bookmarkStart w:id="40" w:name="ref-Given2004"/>
      <w:bookmarkEnd w:id="39"/>
      <w:r>
        <w:rPr>
          <w:smallCaps/>
        </w:rPr>
        <w:t>Given</w:t>
      </w:r>
      <w:r>
        <w:t xml:space="preserve">, M. 2004. </w:t>
      </w:r>
      <w:r>
        <w:rPr>
          <w:i/>
        </w:rPr>
        <w:t>The archaeology of the colonized</w:t>
      </w:r>
      <w:r>
        <w:t>. London; New York: Routledge.</w:t>
      </w:r>
    </w:p>
    <w:p w:rsidR="00706479" w:rsidRDefault="00DA5635">
      <w:pPr>
        <w:pStyle w:val="BodyText"/>
      </w:pPr>
      <w:bookmarkStart w:id="41" w:name="ref-Grave2013"/>
      <w:bookmarkEnd w:id="40"/>
      <w:r>
        <w:rPr>
          <w:smallCaps/>
        </w:rPr>
        <w:t>Grave</w:t>
      </w:r>
      <w:r>
        <w:t xml:space="preserve">, P. &amp; I.J. </w:t>
      </w:r>
      <w:r>
        <w:rPr>
          <w:smallCaps/>
        </w:rPr>
        <w:t>McNiven</w:t>
      </w:r>
      <w:r>
        <w:t xml:space="preserve">. 2013. Geochemical provenience of 16th–19th century ce asian ceramics from torres strait, northeast australia </w:t>
      </w:r>
      <w:r>
        <w:rPr>
          <w:i/>
        </w:rPr>
        <w:t>Journal of Archaeological Science</w:t>
      </w:r>
      <w:r>
        <w:t xml:space="preserve"> 40. Elsevier: 4538–51.</w:t>
      </w:r>
    </w:p>
    <w:p w:rsidR="00706479" w:rsidRDefault="00DA5635">
      <w:pPr>
        <w:pStyle w:val="BodyText"/>
      </w:pPr>
      <w:bookmarkStart w:id="42" w:name="ref-Hsieh2009"/>
      <w:bookmarkEnd w:id="41"/>
      <w:r>
        <w:rPr>
          <w:smallCaps/>
        </w:rPr>
        <w:lastRenderedPageBreak/>
        <w:t>Hsieh</w:t>
      </w:r>
      <w:r>
        <w:t xml:space="preserve">, E. 2009. Yi lan qi wu lan yi zhi chu tu wai lai tao ci qi zhi xiang guan yan jiu </w:t>
      </w:r>
      <w:r>
        <w:t>[the study of imported ceramics excavated at the ki-wu-lan site, i-lan]. Master’s thesis.</w:t>
      </w:r>
    </w:p>
    <w:p w:rsidR="00706479" w:rsidRDefault="00DA5635">
      <w:pPr>
        <w:pStyle w:val="BodyText"/>
      </w:pPr>
      <w:bookmarkStart w:id="43" w:name="ref-Ino1996"/>
      <w:bookmarkEnd w:id="42"/>
      <w:r>
        <w:rPr>
          <w:smallCaps/>
        </w:rPr>
        <w:t>Ino</w:t>
      </w:r>
      <w:r>
        <w:t xml:space="preserve">, K. 1996. </w:t>
      </w:r>
      <w:r>
        <w:rPr>
          <w:i/>
        </w:rPr>
        <w:t>Ping pu zu diao cha lu hang :Yi neng jia ju (tai wan tong xin) xuan ji [field investigation trips at plains indigenous peoples: Ino kanori (taiwan lette</w:t>
      </w:r>
      <w:r>
        <w:rPr>
          <w:i/>
        </w:rPr>
        <w:t>rs)]</w:t>
      </w:r>
      <w:r>
        <w:t>. Taipei: Yuan Liou.</w:t>
      </w:r>
    </w:p>
    <w:p w:rsidR="00706479" w:rsidRDefault="00DA5635">
      <w:pPr>
        <w:pStyle w:val="BodyText"/>
      </w:pPr>
      <w:bookmarkStart w:id="44" w:name="ref-Joyce2005"/>
      <w:bookmarkEnd w:id="43"/>
      <w:r>
        <w:rPr>
          <w:smallCaps/>
        </w:rPr>
        <w:t>Joyce</w:t>
      </w:r>
      <w:r>
        <w:t xml:space="preserve">, R.A. 2005. Archaeology of the body </w:t>
      </w:r>
      <w:r>
        <w:rPr>
          <w:i/>
        </w:rPr>
        <w:t>Annual Review of Anthropology</w:t>
      </w:r>
      <w:r>
        <w:t xml:space="preserve"> 34. Annual Reviews: 139–58.</w:t>
      </w:r>
    </w:p>
    <w:p w:rsidR="00706479" w:rsidRDefault="00DA5635">
      <w:pPr>
        <w:pStyle w:val="BodyText"/>
      </w:pPr>
      <w:bookmarkStart w:id="45" w:name="ref-Junker1993"/>
      <w:bookmarkEnd w:id="44"/>
      <w:r>
        <w:rPr>
          <w:smallCaps/>
        </w:rPr>
        <w:t>Junker</w:t>
      </w:r>
      <w:r>
        <w:t xml:space="preserve">, L.L. 1993. Craft goods specialization and prestige goods exchange in philippine chiefdoms of the fifteenth and sixteenth centuries </w:t>
      </w:r>
      <w:r>
        <w:rPr>
          <w:i/>
        </w:rPr>
        <w:t>Asian Perspectives</w:t>
      </w:r>
      <w:r>
        <w:t>. JSTOR, 1–35.</w:t>
      </w:r>
    </w:p>
    <w:p w:rsidR="00706479" w:rsidRDefault="00DA5635">
      <w:pPr>
        <w:pStyle w:val="BodyText"/>
      </w:pPr>
      <w:bookmarkStart w:id="46" w:name="ref-Kang2012"/>
      <w:bookmarkEnd w:id="45"/>
      <w:r>
        <w:rPr>
          <w:smallCaps/>
        </w:rPr>
        <w:t>Kang</w:t>
      </w:r>
      <w:r>
        <w:t>, P. 2012. He lan dong yin du gong si zhi xia de ga ma lan di qu te zhi [charateristic</w:t>
      </w:r>
      <w:r>
        <w:t xml:space="preserve">s of kavalan under colonial rule of dutch east India companies], in M.-C. Hsu &amp; S.-Y. Li (ed.) </w:t>
      </w:r>
      <w:r>
        <w:rPr>
          <w:i/>
        </w:rPr>
        <w:t>Exploring kiwulan: The ninth academic conference of yilan study</w:t>
      </w:r>
      <w:r>
        <w:t>, 35: 291–317. Yilan: Institute of Yilan County History.</w:t>
      </w:r>
    </w:p>
    <w:p w:rsidR="00706479" w:rsidRDefault="00DA5635">
      <w:pPr>
        <w:pStyle w:val="BodyText"/>
      </w:pPr>
      <w:bookmarkStart w:id="47" w:name="ref-Kang2016"/>
      <w:bookmarkEnd w:id="46"/>
      <w:r>
        <w:t xml:space="preserve">— 2016. </w:t>
      </w:r>
      <w:r>
        <w:rPr>
          <w:i/>
        </w:rPr>
        <w:t>Colonial imagination and local va</w:t>
      </w:r>
      <w:r>
        <w:rPr>
          <w:i/>
        </w:rPr>
        <w:t>riations: The dutch east india company and the formosan austronesians</w:t>
      </w:r>
      <w:r>
        <w:t>. Lian-jing.</w:t>
      </w:r>
    </w:p>
    <w:p w:rsidR="00706479" w:rsidRDefault="00DA5635">
      <w:pPr>
        <w:pStyle w:val="BodyText"/>
      </w:pPr>
      <w:bookmarkStart w:id="48" w:name="ref-Ke1993"/>
      <w:bookmarkEnd w:id="47"/>
      <w:r>
        <w:rPr>
          <w:smallCaps/>
        </w:rPr>
        <w:t>Ke</w:t>
      </w:r>
      <w:r>
        <w:t xml:space="preserve">, P. 1993. </w:t>
      </w:r>
      <w:r>
        <w:rPr>
          <w:i/>
        </w:rPr>
        <w:t>Kavalan zhi lue [record of kavalen]</w:t>
      </w:r>
      <w:r>
        <w:t>. Nantou: Historical Records Committee of Taiwan Provincial Government.</w:t>
      </w:r>
    </w:p>
    <w:p w:rsidR="00706479" w:rsidRDefault="00DA5635">
      <w:pPr>
        <w:pStyle w:val="BodyText"/>
      </w:pPr>
      <w:bookmarkStart w:id="49" w:name="ref-Kenoyer2000"/>
      <w:bookmarkEnd w:id="48"/>
      <w:r>
        <w:rPr>
          <w:smallCaps/>
        </w:rPr>
        <w:t>Kenoyer</w:t>
      </w:r>
      <w:r>
        <w:t>, J.M. 2000. Wealth and socioeconomic hierarchi</w:t>
      </w:r>
      <w:r>
        <w:t xml:space="preserve">es of the indus valley civilization, in F.A. Janet Richards Mary Van Buren (ed.) </w:t>
      </w:r>
      <w:r>
        <w:rPr>
          <w:i/>
        </w:rPr>
        <w:t>Order, legitimacy and wealth in early states</w:t>
      </w:r>
      <w:r>
        <w:t>: 90–112. Cambridge University Press Cambridge.</w:t>
      </w:r>
    </w:p>
    <w:p w:rsidR="00706479" w:rsidRDefault="00DA5635">
      <w:pPr>
        <w:pStyle w:val="BodyText"/>
      </w:pPr>
      <w:bookmarkStart w:id="50" w:name="ref-Ketel2011"/>
      <w:bookmarkEnd w:id="49"/>
      <w:r>
        <w:rPr>
          <w:smallCaps/>
        </w:rPr>
        <w:t>Ketel</w:t>
      </w:r>
      <w:r>
        <w:t>, C. 2011. Identification of export porcelains from early 17th century voc shi</w:t>
      </w:r>
      <w:r>
        <w:t xml:space="preserve">pwrecks and the linkage to their cultural identification, in D. Core (ed.) </w:t>
      </w:r>
      <w:r>
        <w:rPr>
          <w:i/>
        </w:rPr>
        <w:t>The 2011 asia-pacific regional conference on underwater cultural heritage proceedings</w:t>
      </w:r>
      <w:r>
        <w:t>: 1–14. Manila, Philippines.</w:t>
      </w:r>
    </w:p>
    <w:p w:rsidR="00706479" w:rsidRDefault="00DA5635">
      <w:pPr>
        <w:pStyle w:val="BodyText"/>
      </w:pPr>
      <w:bookmarkStart w:id="51" w:name="ref-Klose2018"/>
      <w:bookmarkEnd w:id="50"/>
      <w:r>
        <w:rPr>
          <w:smallCaps/>
        </w:rPr>
        <w:t>Klose</w:t>
      </w:r>
      <w:r>
        <w:t xml:space="preserve">, J. &amp; C. </w:t>
      </w:r>
      <w:r>
        <w:rPr>
          <w:smallCaps/>
        </w:rPr>
        <w:t>Schrire</w:t>
      </w:r>
      <w:r>
        <w:t>. 2018. Asian ceramic collections from voc si</w:t>
      </w:r>
      <w:r>
        <w:t xml:space="preserve">tes at the cape, in C. Schrire (ed.) </w:t>
      </w:r>
      <w:r>
        <w:rPr>
          <w:i/>
        </w:rPr>
        <w:t>Historical archaeology in south africa: Material culture of the dutch east india company at the cape</w:t>
      </w:r>
      <w:r>
        <w:t>: 101–41. Taylor; Francis.</w:t>
      </w:r>
    </w:p>
    <w:p w:rsidR="00706479" w:rsidRDefault="00DA5635">
      <w:pPr>
        <w:pStyle w:val="BodyText"/>
      </w:pPr>
      <w:bookmarkStart w:id="52" w:name="ref-Li2014"/>
      <w:bookmarkEnd w:id="51"/>
      <w:r>
        <w:rPr>
          <w:smallCaps/>
        </w:rPr>
        <w:t>Li</w:t>
      </w:r>
      <w:r>
        <w:t xml:space="preserve">, C.-y. &amp; S.-j. </w:t>
      </w:r>
      <w:r>
        <w:rPr>
          <w:smallCaps/>
        </w:rPr>
        <w:t>Chiu</w:t>
      </w:r>
      <w:r>
        <w:t>. 2014. A report on excavations in the yi-lang agricultural vocational</w:t>
      </w:r>
      <w:r>
        <w:t xml:space="preserve"> high school site, 2000-2008 </w:t>
      </w:r>
      <w:r>
        <w:rPr>
          <w:i/>
        </w:rPr>
        <w:t>Field Archaeology of Taiwan</w:t>
      </w:r>
      <w:r>
        <w:t xml:space="preserve"> 17: 59–120.</w:t>
      </w:r>
    </w:p>
    <w:p w:rsidR="00706479" w:rsidRDefault="00DA5635">
      <w:pPr>
        <w:pStyle w:val="BodyText"/>
      </w:pPr>
      <w:bookmarkStart w:id="53" w:name="ref-LiandWu2006"/>
      <w:bookmarkEnd w:id="52"/>
      <w:r>
        <w:rPr>
          <w:smallCaps/>
        </w:rPr>
        <w:t>Li</w:t>
      </w:r>
      <w:r>
        <w:t xml:space="preserve">, Y.-z. &amp; M.-z. </w:t>
      </w:r>
      <w:r>
        <w:rPr>
          <w:smallCaps/>
        </w:rPr>
        <w:t>Wu</w:t>
      </w:r>
      <w:r>
        <w:t xml:space="preserve">. 2006. </w:t>
      </w:r>
      <w:r>
        <w:rPr>
          <w:i/>
        </w:rPr>
        <w:t>Qing zai xi ban ya ren zai tai wan, 1626-1642 [the spanish in Taiwan]</w:t>
      </w:r>
      <w:r>
        <w:t>. Nantou: Taiwan Historica.</w:t>
      </w:r>
    </w:p>
    <w:p w:rsidR="00706479" w:rsidRDefault="00DA5635">
      <w:pPr>
        <w:pStyle w:val="BodyText"/>
      </w:pPr>
      <w:bookmarkStart w:id="54" w:name="ref-Liu2008"/>
      <w:bookmarkEnd w:id="53"/>
      <w:r>
        <w:rPr>
          <w:smallCaps/>
        </w:rPr>
        <w:t>Liu</w:t>
      </w:r>
      <w:r>
        <w:t xml:space="preserve">, P.-c. 2008. </w:t>
      </w:r>
      <w:r>
        <w:rPr>
          <w:i/>
        </w:rPr>
        <w:t>Identity, gender and settlement: Ritual studi</w:t>
      </w:r>
      <w:r>
        <w:rPr>
          <w:i/>
        </w:rPr>
        <w:t>es of changing kavalan</w:t>
      </w:r>
      <w:r>
        <w:t>. Nantou: Council of Indigenous Peoples, Executive Yuan: Taiwan Historica.</w:t>
      </w:r>
    </w:p>
    <w:p w:rsidR="00706479" w:rsidRDefault="00DA5635">
      <w:pPr>
        <w:pStyle w:val="BodyText"/>
      </w:pPr>
      <w:bookmarkStart w:id="55" w:name="ref-Marwick2017"/>
      <w:bookmarkEnd w:id="54"/>
      <w:r>
        <w:rPr>
          <w:smallCaps/>
        </w:rPr>
        <w:t>Marwick</w:t>
      </w:r>
      <w:r>
        <w:t xml:space="preserve">, B. 2017. Computational reproducibility in archaeological research: Basic principles and a case study of their implementation </w:t>
      </w:r>
      <w:r>
        <w:rPr>
          <w:i/>
        </w:rPr>
        <w:t>Journal of Archaeological</w:t>
      </w:r>
      <w:r>
        <w:rPr>
          <w:i/>
        </w:rPr>
        <w:t xml:space="preserve"> Method and Theory</w:t>
      </w:r>
      <w:r>
        <w:t xml:space="preserve"> 24. Springer: 424–50.</w:t>
      </w:r>
    </w:p>
    <w:p w:rsidR="00706479" w:rsidRDefault="00DA5635">
      <w:pPr>
        <w:pStyle w:val="BodyText"/>
      </w:pPr>
      <w:bookmarkStart w:id="56" w:name="ref-Marwick2018"/>
      <w:bookmarkEnd w:id="55"/>
      <w:r>
        <w:rPr>
          <w:smallCaps/>
        </w:rPr>
        <w:t>Marwick</w:t>
      </w:r>
      <w:r>
        <w:t xml:space="preserve">, B., C. </w:t>
      </w:r>
      <w:r>
        <w:rPr>
          <w:smallCaps/>
        </w:rPr>
        <w:t>Boettiger</w:t>
      </w:r>
      <w:r>
        <w:t xml:space="preserve">. &amp; L. </w:t>
      </w:r>
      <w:r>
        <w:rPr>
          <w:smallCaps/>
        </w:rPr>
        <w:t>Mullen</w:t>
      </w:r>
      <w:r>
        <w:t xml:space="preserve">. 2018. Packaging data analytical work reproducibly using r (and friends) </w:t>
      </w:r>
      <w:r>
        <w:rPr>
          <w:i/>
        </w:rPr>
        <w:t>The American Statistician</w:t>
      </w:r>
      <w:r>
        <w:t xml:space="preserve"> 72. Taylor &amp; Francis: 80–88.</w:t>
      </w:r>
    </w:p>
    <w:p w:rsidR="00706479" w:rsidRDefault="00DA5635">
      <w:pPr>
        <w:pStyle w:val="BodyText"/>
      </w:pPr>
      <w:bookmarkStart w:id="57" w:name="ref-Mullins2011"/>
      <w:bookmarkEnd w:id="56"/>
      <w:r>
        <w:rPr>
          <w:smallCaps/>
        </w:rPr>
        <w:lastRenderedPageBreak/>
        <w:t>Mullins</w:t>
      </w:r>
      <w:r>
        <w:t>, P.R. 2011. The archaeology of consumpti</w:t>
      </w:r>
      <w:r>
        <w:t xml:space="preserve">on </w:t>
      </w:r>
      <w:r>
        <w:rPr>
          <w:i/>
        </w:rPr>
        <w:t>Annual Review of Anthropology</w:t>
      </w:r>
      <w:r>
        <w:t xml:space="preserve"> 40. Annual Reviews: 133–44.</w:t>
      </w:r>
    </w:p>
    <w:p w:rsidR="00706479" w:rsidRDefault="00DA5635">
      <w:pPr>
        <w:pStyle w:val="BodyText"/>
      </w:pPr>
      <w:bookmarkStart w:id="58" w:name="ref-Nakamura1938"/>
      <w:bookmarkEnd w:id="57"/>
      <w:r>
        <w:rPr>
          <w:smallCaps/>
        </w:rPr>
        <w:t>Nakamura</w:t>
      </w:r>
      <w:r>
        <w:t xml:space="preserve">. 1938. Overgekomen brieven en papieren. [The dutch cencus record for indigenous peoples in taiwan] </w:t>
      </w:r>
      <w:r>
        <w:rPr>
          <w:i/>
        </w:rPr>
        <w:t>Southern Anthropological Studies</w:t>
      </w:r>
      <w:r>
        <w:t xml:space="preserve"> 4: 12.</w:t>
      </w:r>
    </w:p>
    <w:p w:rsidR="00706479" w:rsidRDefault="00DA5635">
      <w:pPr>
        <w:pStyle w:val="BodyText"/>
      </w:pPr>
      <w:bookmarkStart w:id="59" w:name="ref-NMTH2005"/>
      <w:bookmarkEnd w:id="58"/>
      <w:r>
        <w:rPr>
          <w:smallCaps/>
        </w:rPr>
        <w:t>National Musuem of Taiwan History</w:t>
      </w:r>
      <w:r>
        <w:t>, A. group in.</w:t>
      </w:r>
      <w:r>
        <w:t xml:space="preserve"> 2005. Taiwan under dutch and spanish: A report of historical archaeological research in northern taiwan. Taipei: National Musuem of Taiwan History.</w:t>
      </w:r>
    </w:p>
    <w:p w:rsidR="00706479" w:rsidRDefault="00DA5635">
      <w:pPr>
        <w:pStyle w:val="BodyText"/>
      </w:pPr>
      <w:bookmarkStart w:id="60" w:name="ref-Rlanguage2019"/>
      <w:bookmarkEnd w:id="59"/>
      <w:r>
        <w:rPr>
          <w:smallCaps/>
        </w:rPr>
        <w:t>R Core Team</w:t>
      </w:r>
      <w:r>
        <w:t xml:space="preserve">. 2019. </w:t>
      </w:r>
      <w:r>
        <w:rPr>
          <w:i/>
        </w:rPr>
        <w:t>R: A language and environment for statistical computing</w:t>
      </w:r>
      <w:r>
        <w:t>. Vienna, Austria: R Foundation f</w:t>
      </w:r>
      <w:r>
        <w:t xml:space="preserve">or Statistical Computing. </w:t>
      </w:r>
      <w:hyperlink r:id="rId8">
        <w:r>
          <w:rPr>
            <w:rStyle w:val="Hyperlink"/>
          </w:rPr>
          <w:t>https://www.R-project.org</w:t>
        </w:r>
      </w:hyperlink>
      <w:r>
        <w:t>.</w:t>
      </w:r>
    </w:p>
    <w:p w:rsidR="00706479" w:rsidRDefault="00DA5635">
      <w:pPr>
        <w:pStyle w:val="BodyText"/>
      </w:pPr>
      <w:bookmarkStart w:id="61" w:name="ref-Scaramelli2005"/>
      <w:bookmarkEnd w:id="60"/>
      <w:r>
        <w:rPr>
          <w:smallCaps/>
        </w:rPr>
        <w:t>Scaramelli</w:t>
      </w:r>
      <w:r>
        <w:t xml:space="preserve">, F. &amp; K.T. </w:t>
      </w:r>
      <w:r>
        <w:rPr>
          <w:smallCaps/>
        </w:rPr>
        <w:t>de Scaramelli</w:t>
      </w:r>
      <w:r>
        <w:t xml:space="preserve">. 2005. The roles of material culture in the colonization of the orinoco, venezuela </w:t>
      </w:r>
      <w:r>
        <w:rPr>
          <w:i/>
        </w:rPr>
        <w:t>Journal of Social Archaeology</w:t>
      </w:r>
      <w:r>
        <w:t xml:space="preserve"> 5. Sage Publications Sage CA: Thousand Oaks, CA: 135–68.</w:t>
      </w:r>
    </w:p>
    <w:p w:rsidR="00706479" w:rsidRDefault="00DA5635">
      <w:pPr>
        <w:pStyle w:val="BodyText"/>
      </w:pPr>
      <w:bookmarkStart w:id="62" w:name="ref-Siegel1999"/>
      <w:bookmarkEnd w:id="61"/>
      <w:r>
        <w:rPr>
          <w:smallCaps/>
        </w:rPr>
        <w:t>Siegel</w:t>
      </w:r>
      <w:r>
        <w:t>, P.E. 1999. Contested places and places of contest: The evolution of social po</w:t>
      </w:r>
      <w:r>
        <w:t xml:space="preserve">wer and ceremonial space in prehistoric Puerto Rico </w:t>
      </w:r>
      <w:r>
        <w:rPr>
          <w:i/>
        </w:rPr>
        <w:t>Latin American Antiquity</w:t>
      </w:r>
      <w:r>
        <w:t>, 209–38.</w:t>
      </w:r>
    </w:p>
    <w:p w:rsidR="00706479" w:rsidRDefault="00DA5635">
      <w:pPr>
        <w:pStyle w:val="BodyText"/>
      </w:pPr>
      <w:bookmarkStart w:id="63" w:name="ref-Silliman2001"/>
      <w:bookmarkEnd w:id="62"/>
      <w:r>
        <w:rPr>
          <w:smallCaps/>
        </w:rPr>
        <w:t>Silliman</w:t>
      </w:r>
      <w:r>
        <w:t xml:space="preserve">, S. 2001. Agency, practical politics and the archaeology of culture contact </w:t>
      </w:r>
      <w:r>
        <w:rPr>
          <w:i/>
        </w:rPr>
        <w:t>Journal of social archaeology</w:t>
      </w:r>
      <w:r>
        <w:t xml:space="preserve"> 1. Sage Publications Sage CA: Thousand Oaks, CA: 190–20</w:t>
      </w:r>
      <w:r>
        <w:t>9.</w:t>
      </w:r>
    </w:p>
    <w:p w:rsidR="00706479" w:rsidRDefault="00DA5635">
      <w:pPr>
        <w:pStyle w:val="BodyText"/>
      </w:pPr>
      <w:bookmarkStart w:id="64" w:name="ref-Silliman2005"/>
      <w:bookmarkEnd w:id="63"/>
      <w:r>
        <w:rPr>
          <w:smallCaps/>
        </w:rPr>
        <w:t>Silliman</w:t>
      </w:r>
      <w:r>
        <w:t xml:space="preserve">, S.W. 2005. Culture contact or colonialism? Challenges in the archaeology of native North America </w:t>
      </w:r>
      <w:r>
        <w:rPr>
          <w:i/>
        </w:rPr>
        <w:t>American Antiquity</w:t>
      </w:r>
      <w:r>
        <w:t>, 55–74.</w:t>
      </w:r>
    </w:p>
    <w:p w:rsidR="00706479" w:rsidRDefault="00DA5635">
      <w:pPr>
        <w:pStyle w:val="BodyText"/>
      </w:pPr>
      <w:bookmarkStart w:id="65" w:name="ref-Theunissen2000"/>
      <w:bookmarkEnd w:id="64"/>
      <w:r>
        <w:rPr>
          <w:smallCaps/>
        </w:rPr>
        <w:t>Theunissen</w:t>
      </w:r>
      <w:r>
        <w:t xml:space="preserve">, R., P. </w:t>
      </w:r>
      <w:r>
        <w:rPr>
          <w:smallCaps/>
        </w:rPr>
        <w:t>Grave</w:t>
      </w:r>
      <w:r>
        <w:t xml:space="preserve">. &amp; G. </w:t>
      </w:r>
      <w:r>
        <w:rPr>
          <w:smallCaps/>
        </w:rPr>
        <w:t>Bailey</w:t>
      </w:r>
      <w:r>
        <w:t>. 2000. Doubts on diffusion: Challenging the assumed indian origin of iron age aga</w:t>
      </w:r>
      <w:r>
        <w:t xml:space="preserve">te and carnelian beads in southeast Asia </w:t>
      </w:r>
      <w:r>
        <w:rPr>
          <w:i/>
        </w:rPr>
        <w:t>World archaeology</w:t>
      </w:r>
      <w:r>
        <w:t xml:space="preserve"> 32: 84–105.</w:t>
      </w:r>
    </w:p>
    <w:p w:rsidR="00706479" w:rsidRDefault="00DA5635">
      <w:pPr>
        <w:pStyle w:val="BodyText"/>
      </w:pPr>
      <w:bookmarkStart w:id="66" w:name="ref-TorrenceandClarke2000"/>
      <w:bookmarkEnd w:id="65"/>
      <w:r>
        <w:rPr>
          <w:smallCaps/>
        </w:rPr>
        <w:t>Torrence</w:t>
      </w:r>
      <w:r>
        <w:t xml:space="preserve">, R. &amp; A. </w:t>
      </w:r>
      <w:r>
        <w:rPr>
          <w:smallCaps/>
        </w:rPr>
        <w:t>Clarke</w:t>
      </w:r>
      <w:r>
        <w:t xml:space="preserve">. 2000. Negotiating difference: Practice makes theory for contemporary archaeology in Oceania, in R. Torrence &amp; A. Clarke (ed.) </w:t>
      </w:r>
      <w:r>
        <w:rPr>
          <w:i/>
        </w:rPr>
        <w:t>The archaeology of difference : N</w:t>
      </w:r>
      <w:r>
        <w:rPr>
          <w:i/>
        </w:rPr>
        <w:t>egotiating cross-cultural engagements in Oceania</w:t>
      </w:r>
      <w:r>
        <w:t>: 1–31. London; New York: Routledge.</w:t>
      </w:r>
    </w:p>
    <w:p w:rsidR="00706479" w:rsidRDefault="00DA5635">
      <w:pPr>
        <w:pStyle w:val="BodyText"/>
      </w:pPr>
      <w:bookmarkStart w:id="67" w:name="ref-Trabert2017"/>
      <w:bookmarkEnd w:id="66"/>
      <w:r>
        <w:rPr>
          <w:smallCaps/>
        </w:rPr>
        <w:t>Trabert</w:t>
      </w:r>
      <w:r>
        <w:t xml:space="preserve">, S. 2017. Considering the indirect effects of colonialism: Example from a great plains middle ground </w:t>
      </w:r>
      <w:r>
        <w:rPr>
          <w:i/>
        </w:rPr>
        <w:t>Journal of Anthropological Archaeology</w:t>
      </w:r>
      <w:r>
        <w:t xml:space="preserve"> 48. Elsevier: 17–27.</w:t>
      </w:r>
    </w:p>
    <w:p w:rsidR="00706479" w:rsidRDefault="00DA5635">
      <w:pPr>
        <w:pStyle w:val="BodyText"/>
      </w:pPr>
      <w:bookmarkStart w:id="68" w:name="ref-Voss2005"/>
      <w:bookmarkEnd w:id="67"/>
      <w:r>
        <w:rPr>
          <w:smallCaps/>
        </w:rPr>
        <w:t>Vo</w:t>
      </w:r>
      <w:r>
        <w:rPr>
          <w:smallCaps/>
        </w:rPr>
        <w:t>ss</w:t>
      </w:r>
      <w:r>
        <w:t xml:space="preserve">, B.L. 2005. From casta to californio: Social identity and the archaeology of culture contact </w:t>
      </w:r>
      <w:r>
        <w:rPr>
          <w:i/>
        </w:rPr>
        <w:t>American Anthropologist</w:t>
      </w:r>
      <w:r>
        <w:t xml:space="preserve"> 107: 461–74.</w:t>
      </w:r>
    </w:p>
    <w:p w:rsidR="00706479" w:rsidRDefault="00DA5635">
      <w:pPr>
        <w:pStyle w:val="BodyText"/>
      </w:pPr>
      <w:bookmarkStart w:id="69" w:name="ref-Wang2011"/>
      <w:bookmarkEnd w:id="68"/>
      <w:r>
        <w:rPr>
          <w:smallCaps/>
        </w:rPr>
        <w:t>Wang</w:t>
      </w:r>
      <w:r>
        <w:t>, L.-Y. 2011. Yi lan qi wu lan yi zhi chu tu zhuang shi pin zhi xiang guan yan jiu [a research of ornaments excavated at ki-wu-lan site, i-lan]. Master’s thesis.</w:t>
      </w:r>
    </w:p>
    <w:p w:rsidR="00706479" w:rsidRDefault="00DA5635">
      <w:pPr>
        <w:pStyle w:val="BodyText"/>
      </w:pPr>
      <w:bookmarkStart w:id="70" w:name="ref-Yao1996"/>
      <w:bookmarkEnd w:id="69"/>
      <w:r>
        <w:rPr>
          <w:smallCaps/>
        </w:rPr>
        <w:t>Yao</w:t>
      </w:r>
      <w:r>
        <w:t xml:space="preserve">, ying. 1996. </w:t>
      </w:r>
      <w:r>
        <w:rPr>
          <w:i/>
        </w:rPr>
        <w:t>Dong cha ji lue [record of taiwan], taiwan wen xian cong kan di 007 zhong [ta</w:t>
      </w:r>
      <w:r>
        <w:rPr>
          <w:i/>
        </w:rPr>
        <w:t>iwan literature series: 007]</w:t>
      </w:r>
      <w:r>
        <w:t>. Nantou: Taiwan Historica.</w:t>
      </w:r>
    </w:p>
    <w:p w:rsidR="00706479" w:rsidRDefault="00DA5635">
      <w:pPr>
        <w:pStyle w:val="Heading5"/>
      </w:pPr>
      <w:bookmarkStart w:id="71" w:name="pagebreak-1"/>
      <w:bookmarkEnd w:id="15"/>
      <w:bookmarkEnd w:id="70"/>
      <w:r>
        <w:lastRenderedPageBreak/>
        <w:t>pagebreak</w:t>
      </w:r>
      <w:bookmarkEnd w:id="71"/>
    </w:p>
    <w:p w:rsidR="009724B2" w:rsidRDefault="009724B2" w:rsidP="009724B2">
      <w:pPr>
        <w:pStyle w:val="ImageCaption"/>
      </w:pPr>
      <w:bookmarkStart w:id="72" w:name="colophon"/>
      <w:r>
        <w:t xml:space="preserve">Figure 1: Map showing the location of </w:t>
      </w:r>
      <w:proofErr w:type="spellStart"/>
      <w:r>
        <w:t>Kiwulan</w:t>
      </w:r>
      <w:proofErr w:type="spellEnd"/>
      <w:r>
        <w:t>, and other places in northern Taiwan named in the text. Map data from naturalearthdata.com</w:t>
      </w:r>
    </w:p>
    <w:p w:rsidR="009724B2" w:rsidRDefault="009724B2" w:rsidP="009724B2">
      <w:pPr>
        <w:pStyle w:val="ImageCaption"/>
      </w:pPr>
      <w:r>
        <w:t xml:space="preserve">Figure 2: Map showing the largest section of excavation areas at </w:t>
      </w:r>
      <w:proofErr w:type="spellStart"/>
      <w:r>
        <w:t>Kiwulan</w:t>
      </w:r>
      <w:proofErr w:type="spellEnd"/>
      <w:r>
        <w:t>, and the distribution of forty squares sampled in this paper presented in red with square ID number. Small dots represent the location of post-holes. Each square is 4 x 4 m</w:t>
      </w:r>
    </w:p>
    <w:p w:rsidR="009724B2" w:rsidRDefault="009724B2" w:rsidP="009724B2">
      <w:pPr>
        <w:pStyle w:val="ImageCaption"/>
      </w:pPr>
      <w:r>
        <w:t xml:space="preserve">Figure 3: Frequency of the major class of ornaments at </w:t>
      </w:r>
      <w:proofErr w:type="spellStart"/>
      <w:r>
        <w:t>Kiwulan</w:t>
      </w:r>
      <w:proofErr w:type="spellEnd"/>
      <w:r>
        <w:t>. Frequency represents artefact counts</w:t>
      </w:r>
    </w:p>
    <w:p w:rsidR="009724B2" w:rsidRDefault="009724B2" w:rsidP="009724B2">
      <w:pPr>
        <w:pStyle w:val="ImageCaption"/>
      </w:pPr>
      <w:r>
        <w:t>Figure 4: Subtypes of ornament in each major class. A: agate beads, B: bells, C: glass beads and golden beads, D: metal rings. Photographs are presented in the same order as those subtypes in the table but from left to right instead. The photographs of B, C, D classes were from original excavation report (Chen 2007).</w:t>
      </w:r>
    </w:p>
    <w:p w:rsidR="009724B2" w:rsidRDefault="009724B2" w:rsidP="009724B2">
      <w:pPr>
        <w:pStyle w:val="ImageCaption"/>
      </w:pPr>
      <w:r>
        <w:t>Figure 5: Frequency of the major ornament across different time periods.</w:t>
      </w:r>
    </w:p>
    <w:p w:rsidR="009724B2" w:rsidRDefault="009724B2" w:rsidP="009724B2">
      <w:pPr>
        <w:pStyle w:val="ImageCaption"/>
      </w:pPr>
      <w:r>
        <w:t>Figure 6: Frequency of ornament subtypes showing the changes in frequency across time periods for metal rings, agate beads, bells, and glass beads.</w:t>
      </w:r>
    </w:p>
    <w:p w:rsidR="009724B2" w:rsidRDefault="009724B2" w:rsidP="009724B2">
      <w:pPr>
        <w:pStyle w:val="ImageCaption"/>
      </w:pPr>
      <w:r>
        <w:t>Figure 7: Spatial pattern of all class of ornament by time periods</w:t>
      </w:r>
    </w:p>
    <w:p w:rsidR="009724B2" w:rsidRDefault="009724B2" w:rsidP="009724B2">
      <w:pPr>
        <w:pStyle w:val="ImageCaption"/>
      </w:pPr>
      <w:r>
        <w:t>Figure 8: Spatial pattern for ornament class by time periods, only those types with more than 5 pieces are shown here</w:t>
      </w:r>
    </w:p>
    <w:p w:rsidR="009724B2" w:rsidRDefault="009724B2" w:rsidP="009724B2">
      <w:pPr>
        <w:pStyle w:val="ImageCaption"/>
      </w:pPr>
      <w:r>
        <w:t>Figure 9: Kernel density map for ornaments by periods. Used the bandwidth based on Silverman (1986)’s rule of thumb.</w:t>
      </w:r>
    </w:p>
    <w:p w:rsidR="009724B2" w:rsidRDefault="009724B2" w:rsidP="009724B2">
      <w:pPr>
        <w:pStyle w:val="ImageCaption"/>
      </w:pPr>
      <w:r>
        <w:t>Figure 10: Histograms of simulated ANN values from 1000 simulations for three time periods. X values represent ANN expected value under a completely random process resulted from simulated pattern. Each sample distribution presents the null hypothesis with the blue line indicating the observed ANN value.</w:t>
      </w:r>
    </w:p>
    <w:p w:rsidR="00706479" w:rsidRDefault="00706479">
      <w:pPr>
        <w:pStyle w:val="FirstParagraph"/>
      </w:pPr>
      <w:bookmarkStart w:id="73" w:name="_GoBack"/>
      <w:bookmarkEnd w:id="72"/>
      <w:bookmarkEnd w:id="73"/>
    </w:p>
    <w:sectPr w:rsidR="00706479" w:rsidSect="0001475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635" w:rsidRDefault="00DA5635">
      <w:pPr>
        <w:spacing w:after="0"/>
      </w:pPr>
      <w:r>
        <w:separator/>
      </w:r>
    </w:p>
  </w:endnote>
  <w:endnote w:type="continuationSeparator" w:id="0">
    <w:p w:rsidR="00DA5635" w:rsidRDefault="00DA56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635" w:rsidRDefault="00DA5635">
      <w:r>
        <w:separator/>
      </w:r>
    </w:p>
  </w:footnote>
  <w:footnote w:type="continuationSeparator" w:id="0">
    <w:p w:rsidR="00DA5635" w:rsidRDefault="00DA56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C1AE401"/>
    <w:multiLevelType w:val="multilevel"/>
    <w:tmpl w:val="FF68D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3A5"/>
    <w:rsid w:val="004E29B3"/>
    <w:rsid w:val="00590D07"/>
    <w:rsid w:val="00706479"/>
    <w:rsid w:val="00784D58"/>
    <w:rsid w:val="008D6863"/>
    <w:rsid w:val="009724B2"/>
    <w:rsid w:val="00B86B75"/>
    <w:rsid w:val="00BC48D5"/>
    <w:rsid w:val="00C36279"/>
    <w:rsid w:val="00DA5635"/>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06A8FC"/>
  <w15:docId w15:val="{C49FEA08-99A5-5F4F-86B1-60BE56D8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hyperlink" Target="http://doi.org/10.17605/OSF.IO/R8Y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5738</Words>
  <Characters>32711</Characters>
  <Application>Microsoft Office Word</Application>
  <DocSecurity>0</DocSecurity>
  <Lines>272</Lines>
  <Paragraphs>76</Paragraphs>
  <ScaleCrop>false</ScaleCrop>
  <Company>University of Wollongong</Company>
  <LinksUpToDate>false</LinksUpToDate>
  <CharactersWithSpaces>38373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arrival at Kiwulan, Northeastern Taiwan</dc:title>
  <dc:creator>Li-Ying Wang</dc:creator>
  <cp:keywords/>
  <cp:lastModifiedBy>Li-Ying Wang</cp:lastModifiedBy>
  <cp:revision>3</cp:revision>
  <dcterms:created xsi:type="dcterms:W3CDTF">2019-09-21T16:51:00Z</dcterms:created>
  <dcterms:modified xsi:type="dcterms:W3CDTF">2019-09-21T16:55:00Z</dcterms:modified>
</cp:coreProperties>
</file>