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9FB" w:rsidRDefault="00AC21B6">
      <w:pPr>
        <w:pStyle w:val="Title"/>
      </w:pPr>
      <w:r>
        <w:t>Investigating shape standardization using geometric morphometry of pottery from Iron Age northeastern Taiwan</w:t>
      </w:r>
    </w:p>
    <w:p w:rsidR="001939FB" w:rsidRDefault="00AC21B6">
      <w:pPr>
        <w:pStyle w:val="Author"/>
      </w:pPr>
      <w:r>
        <w:t>Li-Ying Wang</w:t>
      </w:r>
    </w:p>
    <w:p w:rsidR="001939FB" w:rsidRDefault="00AC21B6">
      <w:pPr>
        <w:pStyle w:val="Author"/>
      </w:pPr>
      <w:r>
        <w:t>Ben Marwick</w:t>
      </w:r>
    </w:p>
    <w:p w:rsidR="001939FB" w:rsidRDefault="00AC21B6">
      <w:pPr>
        <w:pStyle w:val="Date"/>
      </w:pPr>
      <w:r>
        <w:t>23 April, 2020</w:t>
      </w:r>
    </w:p>
    <w:p w:rsidR="00502DCA" w:rsidRDefault="00AC21B6" w:rsidP="00502DCA">
      <w:pPr>
        <w:pStyle w:val="Abstract"/>
        <w:snapToGrid w:val="0"/>
      </w:pPr>
      <w:r>
        <w:t>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w:t>
      </w:r>
    </w:p>
    <w:p w:rsidR="001939FB" w:rsidRDefault="00AC21B6" w:rsidP="004C17C9">
      <w:pPr>
        <w:pStyle w:val="Heading1"/>
        <w:spacing w:before="300"/>
      </w:pPr>
      <w:bookmarkStart w:id="0" w:name="introduction"/>
      <w:r>
        <w:t>Introduction</w:t>
      </w:r>
      <w:bookmarkEnd w:id="0"/>
    </w:p>
    <w:p w:rsidR="001939FB" w:rsidRDefault="00AC21B6">
      <w:pPr>
        <w:pStyle w:val="FirstParagraph"/>
      </w:pPr>
      <w:r>
        <w:t>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 (Dietler, 2005, 1997; Junker, 1993; Silliman, 2005).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 (Acabado, 2017; Trabert, 2017).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 Acabado (2017)’s study of Ifugao society in the Philippines highland suggests economic and political intensification during the Spanish presence as the response of Indigenous peoples to the Spanish cooptation.</w:t>
      </w:r>
    </w:p>
    <w:p w:rsidR="001939FB" w:rsidRDefault="00AC21B6">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w:t>
      </w:r>
      <w:r>
        <w:lastRenderedPageBreak/>
        <w:t>their consumption patterns of foreign goods (Dietler, 2015; Given, 2004; Mullins, 2011; Scaramelli and Scaramelli, 2005; Silliman, 2001; Torrence and Clarke, 2000). In this paper we investigate the archaeology of a pericolonial situation at Kiwulan (1350-1850 AD), a large multi-component archaeological site in Yilan County, northeastern Taiwan (Chen, 2007),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rsidR="001939FB" w:rsidRDefault="00AC21B6">
      <w:pPr>
        <w:pStyle w:val="BodyText"/>
      </w:pPr>
      <w:r>
        <w:t>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rsidR="001939FB" w:rsidRDefault="00AC21B6">
      <w:pPr>
        <w:pStyle w:val="BodyText"/>
      </w:pPr>
      <w:r>
        <w:t>Several measurements have been used for investigating ceramic standardization, such as metric, compositional, and technological variables (Arnold, 2000; Blackman et al., 1993; Boness et al., 2015; Costin, 1991; Rice, 1991; Roux, 2015; Tite, 1999). Among those variables, metric measurements are most widely applied to archaeological assemblages because of the ease of collecting these data. The coefficient of variation statistic is commonly used to quantify the degree of standardization in ceramic assemblages (Eerkens and Bettinger, 2001; Junker, 1999; Roux, 2003; Stark, 1995).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rsidR="001939FB" w:rsidRDefault="00AC21B6">
      <w:pPr>
        <w:pStyle w:val="Heading2"/>
      </w:pPr>
      <w:bookmarkStart w:id="1" w:name="geometric-morphometry"/>
      <w:r>
        <w:t>Geometric Morphometry</w:t>
      </w:r>
      <w:bookmarkEnd w:id="1"/>
    </w:p>
    <w:p w:rsidR="001939FB" w:rsidRDefault="00AC21B6">
      <w:pPr>
        <w:pStyle w:val="FirstParagraph"/>
      </w:pPr>
      <w:r>
        <w:t xml:space="preserve">Geometric morphometrics differs from traditional linear measurements through its use of Cartesian coordinates of morphological structures to define shapes (Adams et al., 2004; Bookstein, 1997; Lawing and Polly, 2010; Slice, 2007). Landmarks, curves or outlines of objects can be represented by coordinates in terms of their unique point locations with respect to numerical values on coordinate axes. There are two common morphometric methods: landmark approaches and outline approaches (Adams et al., 2004). Landmark approaches assign a set of landmarks or semilandmarks onto objects as reference points that can be specified on a coordinate system. Landmark-based morphometrics are widely applied to archaeological objects with obvious morphological features that can provide </w:t>
      </w:r>
      <w:r>
        <w:lastRenderedPageBreak/>
        <w:t>unambiguous reference points for landmark placement, such as projectile point tips or visually distinctive osteological features (Birch and Martinón-Torres, 2019; Buchanan et al., 2019; Cardillo, 2010; Haruda et al., 2019; Lycett and Cramon-Taubadel, 2013; Meloro et al., 2015).</w:t>
      </w:r>
    </w:p>
    <w:p w:rsidR="001939FB" w:rsidRDefault="00AC21B6">
      <w:pPr>
        <w:pStyle w:val="BodyText"/>
      </w:pPr>
      <w:r>
        <w:t>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 (Bookstein, 1997; Lawing and Polly, 2010). Those semi-landmarks are allowed to slide along the curve to remove the effect of the arbitrary landmark spacing by minimizing either Procrustes distance or bending energy (Bookstein, 1997; Gunz and Mitteroecker, 2013; Slice, 2007). Another approach that is commonly applied to two-dimensional closed shapes is elliptic Fourier Analysis (EFA), that converts coordinates along a curve into Fourier function coefficients, called harmonic coefficients (Kuhl and Giardina, 1982). EFA uses periodic functions to capture geometric information, where an outline is decomposed into a series of ellipses described by trigonometric functions (Adams et al., 2004; Bonhomme et al., 2014; Claude, 2008). The number of harmonics determines the quality and precision of the geometric representation of an object. The harmonic power, a cumulative sum of squared harmonic coefficients, provides a robust rule for determining the desired number of harmonics (Bonhomme et al., 2014). EFA is suitable for shapes lacking representative landmarks or where curves contain the most meaningful variation. Applications in archaeology include human remains and zooarchaeology, stone artifacts, and ceramics (Fox, 2015; Hoggard et al., 2019; Ioviţă, 2010; Selden Jr, 2019; Topi et al., 2018; Wilczek et al., 2014).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rsidR="001939FB" w:rsidRDefault="00AC21B6">
      <w:pPr>
        <w:pStyle w:val="Heading1"/>
      </w:pPr>
      <w:bookmarkStart w:id="2" w:name="archaeological-background-and-materials"/>
      <w:r>
        <w:t>Archaeological background and materials</w:t>
      </w:r>
      <w:bookmarkEnd w:id="2"/>
    </w:p>
    <w:p w:rsidR="001939FB" w:rsidRDefault="00AC21B6">
      <w:pPr>
        <w:pStyle w:val="FirstParagraph"/>
      </w:pPr>
      <w:r>
        <w:t>Ceramics analyzed in this paper come from 40 units (4m by 4m each) sampled from the central, undisturbed area of archaeological excavations at Kiwulan (Figure 1; Figure 2). The chronology of the archaeological deposits at Kiwulan consists of two cultural components, the upper component and the lower component, with a sterile layer in between (Chen, 2007).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 (Andrade, 2007).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 (Andrade, 2007).</w:t>
      </w:r>
    </w:p>
    <w:p w:rsidR="001939FB" w:rsidRDefault="00AC21B6">
      <w:r>
        <w:rPr>
          <w:noProof/>
        </w:rPr>
        <w:lastRenderedPageBreak/>
        <w:drawing>
          <wp:inline distT="0" distB="0" distL="0" distR="0">
            <wp:extent cx="5943600" cy="2639942"/>
            <wp:effectExtent l="0" t="0" r="0" b="0"/>
            <wp:docPr id="1" name="Picture" descr="Figure 1: Map showing the location of Kiwulan, and other places in northern Taiwan named in the text. Map data from naturalearthdata.com"/>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kwl-pottery-2019/analysis/figures/kiwulan-location-map.jpg"/>
                    <pic:cNvPicPr>
                      <a:picLocks noChangeAspect="1" noChangeArrowheads="1"/>
                    </pic:cNvPicPr>
                  </pic:nvPicPr>
                  <pic:blipFill>
                    <a:blip r:embed="rId7"/>
                    <a:stretch>
                      <a:fillRect/>
                    </a:stretch>
                  </pic:blipFill>
                  <pic:spPr bwMode="auto">
                    <a:xfrm>
                      <a:off x="0" y="0"/>
                      <a:ext cx="5943600" cy="2639942"/>
                    </a:xfrm>
                    <a:prstGeom prst="rect">
                      <a:avLst/>
                    </a:prstGeom>
                    <a:noFill/>
                    <a:ln w="9525">
                      <a:noFill/>
                      <a:headEnd/>
                      <a:tailEnd/>
                    </a:ln>
                  </pic:spPr>
                </pic:pic>
              </a:graphicData>
            </a:graphic>
          </wp:inline>
        </w:drawing>
      </w:r>
    </w:p>
    <w:p w:rsidR="001939FB" w:rsidRDefault="00AC21B6">
      <w:pPr>
        <w:pStyle w:val="ImageCaption"/>
      </w:pPr>
      <w:r>
        <w:t>Figure 1: Map showing the location of Kiwulan, and other places in northern Taiwan named in the text. Map data from naturalearthdata.com</w:t>
      </w:r>
    </w:p>
    <w:p w:rsidR="001939FB" w:rsidRDefault="00AC21B6">
      <w:r>
        <w:rPr>
          <w:noProof/>
        </w:rPr>
        <w:drawing>
          <wp:inline distT="0" distB="0" distL="0" distR="0">
            <wp:extent cx="5943600" cy="4470750"/>
            <wp:effectExtent l="0" t="0" r="0" b="0"/>
            <wp:docPr id="2" name="Picture" descr="Figure 2: Map showing the largest section of excavation areas at Kiwulan, and the distribution of forty squares sampled in this paper presented in red with square ID number. Small dots represent the location of post-holes. Each square is 4 x 4 m"/>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kwl-pottery-2019/analysis/figures/KWL-excavation-map.jpg"/>
                    <pic:cNvPicPr>
                      <a:picLocks noChangeAspect="1" noChangeArrowheads="1"/>
                    </pic:cNvPicPr>
                  </pic:nvPicPr>
                  <pic:blipFill>
                    <a:blip r:embed="rId8"/>
                    <a:stretch>
                      <a:fillRect/>
                    </a:stretch>
                  </pic:blipFill>
                  <pic:spPr bwMode="auto">
                    <a:xfrm>
                      <a:off x="0" y="0"/>
                      <a:ext cx="5943600" cy="4470750"/>
                    </a:xfrm>
                    <a:prstGeom prst="rect">
                      <a:avLst/>
                    </a:prstGeom>
                    <a:noFill/>
                    <a:ln w="9525">
                      <a:noFill/>
                      <a:headEnd/>
                      <a:tailEnd/>
                    </a:ln>
                  </pic:spPr>
                </pic:pic>
              </a:graphicData>
            </a:graphic>
          </wp:inline>
        </w:drawing>
      </w:r>
    </w:p>
    <w:p w:rsidR="001939FB" w:rsidRDefault="00AC21B6">
      <w:pPr>
        <w:pStyle w:val="ImageCaption"/>
      </w:pPr>
      <w:r>
        <w:lastRenderedPageBreak/>
        <w:t>Figure 2: Map showing the largest section of excavation areas at Kiwulan, and the distribution of forty squares sampled in this paper presented in red with square ID number. Small dots represent the location of post-holes. Each square is 4 x 4 m</w:t>
      </w:r>
    </w:p>
    <w:p w:rsidR="001939FB" w:rsidRDefault="00AC21B6">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 </w:t>
      </w:r>
      <w:r>
        <w:rPr>
          <w:i/>
        </w:rPr>
        <w:t>in-situ</w:t>
      </w:r>
      <w:r>
        <w:t xml:space="preserve"> posts are widespread across the 1-2 m thick deposit of the upper component, and demonstrate that Kiwulan was a continuously occupied large settlement site (Chen, 2007). To compare different foreign influences, we classified the upper component into three chronological phases: the pre-European, European, and Chinese periods. We identified these phases using 32 previously published radiocarbon ages (Chen, 2007),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 (Chen, 2007; Hsieh, 2009; Wang, 2011). The deposit shows signs of continuous human occupation during each of the three phases across the sampling area.</w:t>
      </w:r>
    </w:p>
    <w:p w:rsidR="001939FB" w:rsidRDefault="00AC21B6">
      <w:pPr>
        <w:pStyle w:val="BodyText"/>
      </w:pPr>
      <w:r>
        <w:t>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(Figure 3).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rsidR="001939FB" w:rsidRDefault="00AC21B6">
      <w:pPr>
        <w:pStyle w:val="BodyText"/>
      </w:pPr>
      <w:r>
        <w:t>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 (Chen, 2016). There are no substantial changes in the inclusions over time, indicating continuity in pottery fabric composition across the three periods.</w:t>
      </w:r>
    </w:p>
    <w:p w:rsidR="001939FB" w:rsidRDefault="00AC21B6" w:rsidP="007873BB">
      <w:pPr>
        <w:jc w:val="center"/>
      </w:pPr>
      <w:r>
        <w:rPr>
          <w:noProof/>
        </w:rPr>
        <w:lastRenderedPageBreak/>
        <w:drawing>
          <wp:inline distT="0" distB="0" distL="0" distR="0">
            <wp:extent cx="5566787" cy="2859463"/>
            <wp:effectExtent l="0" t="0" r="0" b="0"/>
            <wp:docPr id="3" name="Picture" descr="Figure 3: A typical pot from Kiwulan (left) and an example of a pottery drawing used for outline analysis (right)"/>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kwl-pottery-2019/analysis/figures/pots.png"/>
                    <pic:cNvPicPr>
                      <a:picLocks noChangeAspect="1" noChangeArrowheads="1"/>
                    </pic:cNvPicPr>
                  </pic:nvPicPr>
                  <pic:blipFill>
                    <a:blip r:embed="rId9"/>
                    <a:stretch>
                      <a:fillRect/>
                    </a:stretch>
                  </pic:blipFill>
                  <pic:spPr bwMode="auto">
                    <a:xfrm>
                      <a:off x="0" y="0"/>
                      <a:ext cx="5571376" cy="2861820"/>
                    </a:xfrm>
                    <a:prstGeom prst="rect">
                      <a:avLst/>
                    </a:prstGeom>
                    <a:noFill/>
                    <a:ln w="9525">
                      <a:noFill/>
                      <a:headEnd/>
                      <a:tailEnd/>
                    </a:ln>
                  </pic:spPr>
                </pic:pic>
              </a:graphicData>
            </a:graphic>
          </wp:inline>
        </w:drawing>
      </w:r>
    </w:p>
    <w:p w:rsidR="001939FB" w:rsidRDefault="00AC21B6">
      <w:pPr>
        <w:pStyle w:val="ImageCaption"/>
      </w:pPr>
      <w:r>
        <w:t>Figure 3: A typical pot from Kiwulan (left) and an example of a pottery drawing used for outline analysis (right)</w:t>
      </w:r>
    </w:p>
    <w:p w:rsidR="001939FB" w:rsidRDefault="00AC21B6">
      <w:pPr>
        <w:pStyle w:val="Heading1"/>
      </w:pPr>
      <w:bookmarkStart w:id="3" w:name="methods"/>
      <w:r>
        <w:t>Methods</w:t>
      </w:r>
      <w:bookmarkEnd w:id="3"/>
    </w:p>
    <w:p w:rsidR="001939FB" w:rsidRDefault="00AC21B6">
      <w:pPr>
        <w:pStyle w:val="FirstParagraph"/>
      </w:pPr>
      <w:r>
        <w:t>We used all 73 vessels that could be reconstructed with rim, body and base parts and securely provenanced to pre-contact contexts (n = 32), post-European contexts (n = 27), and Chinese contact contexts (n = 14) for elliptic Fourier analysis.</w:t>
      </w:r>
    </w:p>
    <w:p w:rsidR="001939FB" w:rsidRDefault="00AC21B6">
      <w:pPr>
        <w:pStyle w:val="Heading2"/>
      </w:pPr>
      <w:bookmarkStart w:id="4" w:name="digitizing-and-analyzing-by-efa"/>
      <w:r>
        <w:t>Digitizing and analyzing by EFA</w:t>
      </w:r>
      <w:bookmarkEnd w:id="4"/>
    </w:p>
    <w:p w:rsidR="001939FB" w:rsidRDefault="00AC21B6">
      <w:pPr>
        <w:pStyle w:val="FirstParagraph"/>
      </w:pPr>
      <w:r>
        <w:t>We used scans of pottery drawings (Figure 3) acquired from the Bureau of Cultural Affairs in Yilan. All drawings present a two-dimensional view of vessel cross-sections with indications of metric measurements. The scanned drawings were imported into Inkscape (</w:t>
      </w:r>
      <w:hyperlink r:id="rId10">
        <w:r>
          <w:rPr>
            <w:rStyle w:val="Hyperlink"/>
          </w:rPr>
          <w:t>http://inkscape.org</w:t>
        </w:r>
      </w:hyperlink>
      <w:r>
        <w:t>)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(Bonhomme et al., 2014).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rsidR="001939FB" w:rsidRDefault="00AC21B6">
      <w:pPr>
        <w:pStyle w:val="Heading2"/>
      </w:pPr>
      <w:bookmarkStart w:id="5" w:name="statistical-analysis"/>
      <w:r>
        <w:t>Statistical analysis</w:t>
      </w:r>
      <w:bookmarkEnd w:id="5"/>
    </w:p>
    <w:p w:rsidR="001939FB" w:rsidRDefault="00AC21B6">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w:t>
      </w:r>
      <w:r>
        <w:lastRenderedPageBreak/>
        <w:t>PCs as shape variables that are more informative than linear dimensions. The coefficient of variation is a common and widely-used statistical measure of the spread of a set of measurements of a sample. It is defined as the standard deviation divided by the mean:</w:t>
      </w:r>
    </w:p>
    <w:p w:rsidR="001939FB" w:rsidRDefault="00166FB9">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μ</m:t>
              </m:r>
            </m:den>
          </m:f>
        </m:oMath>
      </m:oMathPara>
    </w:p>
    <w:p w:rsidR="001939FB" w:rsidRDefault="00AC21B6">
      <w:pPr>
        <w:pStyle w:val="FirstParagraph"/>
      </w:pPr>
      <w:r>
        <w:t>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 (Eerkens and Bettinger, 2001, p. 498). Following Eerkens and Bettinger (2001) and Roux (2003),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rsidR="001939FB" w:rsidRDefault="00AC21B6">
      <w:pPr>
        <w:pStyle w:val="BodyText"/>
      </w:pPr>
      <w:r>
        <w:t>To answer the question of whether CV values for vessel samples across our three occupational phases are significantly different or not, we used the Modified signed-likelihood ratio (MSLR) test for equality of CVs (Krishnamoorthy and Lee, 2014). While previous work has used the Feltz and Miller (1996)’s asymptotic test for the equality of coefficients of variation from k populations (Eerkens, 2000; Eerkens and Bettinger, 2001; Hoggard, 2017; Lycett and Gowlett, 2008; Okumura and Araujo, 2014), we prefer the MSLR test for shape variables as a more recent development with lower rates of type I error, better performance with uneven sample numbers, and more power across a range of conditions (Krishnamoorthy and Lee, 2014).</w:t>
      </w:r>
    </w:p>
    <w:p w:rsidR="001939FB" w:rsidRDefault="00AC21B6">
      <w:pPr>
        <w:pStyle w:val="BodyText"/>
      </w:pPr>
      <w:r>
        <w:t>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 (Costin, 2001). We used a Monte Carlo test for randomness in spatial locations of pots to explore whether their distribution is significantly clustered or dispersed.</w:t>
      </w:r>
    </w:p>
    <w:p w:rsidR="001939FB" w:rsidRDefault="00AC21B6">
      <w:pPr>
        <w:pStyle w:val="Heading1"/>
      </w:pPr>
      <w:bookmarkStart w:id="6" w:name="reproducibility-and-open-source-material"/>
      <w:r>
        <w:t>Reproducibility and open source materials</w:t>
      </w:r>
      <w:bookmarkEnd w:id="6"/>
    </w:p>
    <w:p w:rsidR="001939FB" w:rsidRDefault="00AC21B6">
      <w:pPr>
        <w:pStyle w:val="FirstParagraph"/>
      </w:pPr>
      <w:r>
        <w:t xml:space="preserve">To enable re-use of materials and improve reproducibility and transparency (Marwick, 2017), the entire R code (R Core Team, 2019) used for all the analysis and visualizations contained in this paper is openly available online at </w:t>
      </w:r>
      <w:hyperlink r:id="rId11">
        <w:r>
          <w:rPr>
            <w:rStyle w:val="Hyperlink"/>
          </w:rPr>
          <w:t>https://doi.org/10.17605/OSF.IO/ABVGF</w:t>
        </w:r>
      </w:hyperlink>
      <w:r>
        <w:t>. Also in this version-controlled compendium (Marwick et al., 2018) 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rsidR="001939FB" w:rsidRDefault="00AC21B6">
      <w:pPr>
        <w:pStyle w:val="Heading1"/>
      </w:pPr>
      <w:bookmarkStart w:id="7" w:name="results"/>
      <w:r>
        <w:lastRenderedPageBreak/>
        <w:t>Results</w:t>
      </w:r>
      <w:bookmarkEnd w:id="7"/>
    </w:p>
    <w:p w:rsidR="001939FB" w:rsidRDefault="00AC21B6">
      <w:pPr>
        <w:pStyle w:val="FirstParagraph"/>
      </w:pPr>
      <w:r>
        <w:t>We found that 13 harmonics captured 99% of the total harmonic power in our elliptic Fourier coefficients of 73 vessels from three phases. Figure 4 shows vessel shape changes described using thin-plate spline warping for paired periods, pre- and post-European periods, and post-European and Chinese periods, with the most greatest differences between pre-European and Chinese periods.</w:t>
      </w:r>
    </w:p>
    <w:p w:rsidR="001939FB" w:rsidRDefault="00AC21B6">
      <w:pPr>
        <w:pStyle w:val="BodyText"/>
      </w:pPr>
      <w:r>
        <w:t>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 4).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rsidR="001939FB" w:rsidRDefault="00AC21B6">
      <w:r>
        <w:rPr>
          <w:noProof/>
        </w:rPr>
        <w:drawing>
          <wp:inline distT="0" distB="0" distL="0" distR="0">
            <wp:extent cx="5943600" cy="2476500"/>
            <wp:effectExtent l="0" t="0" r="0" b="0"/>
            <wp:docPr id="4" name="Picture" descr="Figure 4: Left: Comparison of average vessel shapes across phases using thin plate splines (TPS) with outline deformations required to pass from an extreme of one morphospace to another. Right: Pottery shape distribution by each occupation phase according to the first two PCs."/>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kwl-pottery-2019/analysis/figures/iso_pca_composit_crop.png"/>
                    <pic:cNvPicPr>
                      <a:picLocks noChangeAspect="1" noChangeArrowheads="1"/>
                    </pic:cNvPicPr>
                  </pic:nvPicPr>
                  <pic:blipFill>
                    <a:blip r:embed="rId12"/>
                    <a:stretch>
                      <a:fillRect/>
                    </a:stretch>
                  </pic:blipFill>
                  <pic:spPr bwMode="auto">
                    <a:xfrm>
                      <a:off x="0" y="0"/>
                      <a:ext cx="5943600" cy="2476500"/>
                    </a:xfrm>
                    <a:prstGeom prst="rect">
                      <a:avLst/>
                    </a:prstGeom>
                    <a:noFill/>
                    <a:ln w="9525">
                      <a:noFill/>
                      <a:headEnd/>
                      <a:tailEnd/>
                    </a:ln>
                  </pic:spPr>
                </pic:pic>
              </a:graphicData>
            </a:graphic>
          </wp:inline>
        </w:drawing>
      </w:r>
    </w:p>
    <w:p w:rsidR="001939FB" w:rsidRDefault="00AC21B6" w:rsidP="00AB3551">
      <w:pPr>
        <w:pStyle w:val="ImageCaption"/>
      </w:pPr>
      <w:r>
        <w:t>Figure 4: Left: Comparison of average vessel shapes across phases using thin plate splines (TPS) with outline deformations required to pass from an extreme of one morphospace to another. Right: Pottery shape distribution by each occupation phase according to the first two PCs.</w:t>
      </w:r>
    </w:p>
    <w:p w:rsidR="00A757DC" w:rsidRDefault="00A757DC" w:rsidP="00AB3551">
      <w:pPr>
        <w:pStyle w:val="ImageCaption"/>
      </w:pPr>
    </w:p>
    <w:p w:rsidR="00A757DC" w:rsidRDefault="00A757DC" w:rsidP="00AB3551">
      <w:pPr>
        <w:pStyle w:val="ImageCaption"/>
      </w:pPr>
    </w:p>
    <w:p w:rsidR="00A757DC" w:rsidRDefault="00A757DC" w:rsidP="00AB3551">
      <w:pPr>
        <w:pStyle w:val="ImageCaption"/>
      </w:pPr>
    </w:p>
    <w:p w:rsidR="00A757DC" w:rsidRDefault="00A757DC" w:rsidP="00AB3551">
      <w:pPr>
        <w:pStyle w:val="ImageCaption"/>
      </w:pPr>
    </w:p>
    <w:tbl>
      <w:tblPr>
        <w:tblW w:w="5000" w:type="pct"/>
        <w:tblLook w:val="07E0" w:firstRow="1" w:lastRow="1" w:firstColumn="1" w:lastColumn="1" w:noHBand="1" w:noVBand="1"/>
      </w:tblPr>
      <w:tblGrid>
        <w:gridCol w:w="3443"/>
        <w:gridCol w:w="1440"/>
        <w:gridCol w:w="1978"/>
        <w:gridCol w:w="1528"/>
        <w:gridCol w:w="1187"/>
      </w:tblGrid>
      <w:tr w:rsidR="001939FB" w:rsidTr="00682BD3">
        <w:tc>
          <w:tcPr>
            <w:tcW w:w="1797" w:type="pct"/>
            <w:tcBorders>
              <w:bottom w:val="single" w:sz="0" w:space="0" w:color="auto"/>
            </w:tcBorders>
            <w:vAlign w:val="bottom"/>
          </w:tcPr>
          <w:p w:rsidR="001939FB" w:rsidRDefault="00781872">
            <w:pPr>
              <w:pStyle w:val="Compact"/>
            </w:pPr>
            <w:r>
              <w:lastRenderedPageBreak/>
              <w:t>Comparison</w:t>
            </w:r>
          </w:p>
        </w:tc>
        <w:tc>
          <w:tcPr>
            <w:tcW w:w="752" w:type="pct"/>
            <w:tcBorders>
              <w:bottom w:val="single" w:sz="0" w:space="0" w:color="auto"/>
            </w:tcBorders>
            <w:vAlign w:val="bottom"/>
          </w:tcPr>
          <w:p w:rsidR="001939FB" w:rsidRDefault="00AC21B6">
            <w:pPr>
              <w:pStyle w:val="Compact"/>
              <w:jc w:val="right"/>
            </w:pPr>
            <w:r>
              <w:t>Pillai’s trace</w:t>
            </w:r>
          </w:p>
        </w:tc>
        <w:tc>
          <w:tcPr>
            <w:tcW w:w="1033" w:type="pct"/>
            <w:tcBorders>
              <w:bottom w:val="single" w:sz="0" w:space="0" w:color="auto"/>
            </w:tcBorders>
            <w:vAlign w:val="bottom"/>
          </w:tcPr>
          <w:p w:rsidR="001939FB" w:rsidRDefault="00AC21B6">
            <w:pPr>
              <w:pStyle w:val="Compact"/>
              <w:jc w:val="right"/>
            </w:pPr>
            <w:r>
              <w:t>Approximate F value</w:t>
            </w:r>
          </w:p>
        </w:tc>
        <w:tc>
          <w:tcPr>
            <w:tcW w:w="798" w:type="pct"/>
            <w:tcBorders>
              <w:bottom w:val="single" w:sz="0" w:space="0" w:color="auto"/>
            </w:tcBorders>
            <w:vAlign w:val="bottom"/>
          </w:tcPr>
          <w:p w:rsidR="001939FB" w:rsidRDefault="00AC21B6">
            <w:pPr>
              <w:pStyle w:val="Compact"/>
              <w:jc w:val="right"/>
            </w:pPr>
            <w:r>
              <w:t>degrees of freedom</w:t>
            </w:r>
          </w:p>
        </w:tc>
        <w:tc>
          <w:tcPr>
            <w:tcW w:w="620" w:type="pct"/>
            <w:tcBorders>
              <w:bottom w:val="single" w:sz="0" w:space="0" w:color="auto"/>
            </w:tcBorders>
            <w:vAlign w:val="bottom"/>
          </w:tcPr>
          <w:p w:rsidR="001939FB" w:rsidRDefault="00AC21B6">
            <w:pPr>
              <w:pStyle w:val="Compact"/>
              <w:jc w:val="right"/>
            </w:pPr>
            <w:r>
              <w:t>Pr(&gt;F)</w:t>
            </w:r>
          </w:p>
        </w:tc>
      </w:tr>
      <w:tr w:rsidR="001939FB" w:rsidTr="00682BD3">
        <w:tc>
          <w:tcPr>
            <w:tcW w:w="1797" w:type="pct"/>
          </w:tcPr>
          <w:p w:rsidR="001939FB" w:rsidRDefault="00AC21B6">
            <w:pPr>
              <w:pStyle w:val="Compact"/>
            </w:pPr>
            <w:r>
              <w:t>Chinese - Post-European</w:t>
            </w:r>
          </w:p>
        </w:tc>
        <w:tc>
          <w:tcPr>
            <w:tcW w:w="752" w:type="pct"/>
          </w:tcPr>
          <w:p w:rsidR="001939FB" w:rsidRDefault="00AC21B6">
            <w:pPr>
              <w:pStyle w:val="Compact"/>
              <w:jc w:val="right"/>
            </w:pPr>
            <w:r>
              <w:t>0.3806</w:t>
            </w:r>
          </w:p>
        </w:tc>
        <w:tc>
          <w:tcPr>
            <w:tcW w:w="1033" w:type="pct"/>
          </w:tcPr>
          <w:p w:rsidR="001939FB" w:rsidRDefault="00AC21B6">
            <w:pPr>
              <w:pStyle w:val="Compact"/>
              <w:jc w:val="right"/>
            </w:pPr>
            <w:r>
              <w:t>1.6202</w:t>
            </w:r>
          </w:p>
        </w:tc>
        <w:tc>
          <w:tcPr>
            <w:tcW w:w="798" w:type="pct"/>
          </w:tcPr>
          <w:p w:rsidR="001939FB" w:rsidRDefault="00AC21B6">
            <w:pPr>
              <w:pStyle w:val="Compact"/>
              <w:jc w:val="right"/>
            </w:pPr>
            <w:r>
              <w:t>29</w:t>
            </w:r>
          </w:p>
        </w:tc>
        <w:tc>
          <w:tcPr>
            <w:tcW w:w="620" w:type="pct"/>
          </w:tcPr>
          <w:p w:rsidR="001939FB" w:rsidRDefault="00AC21B6">
            <w:pPr>
              <w:pStyle w:val="Compact"/>
              <w:jc w:val="right"/>
            </w:pPr>
            <w:r>
              <w:t>0.1452</w:t>
            </w:r>
          </w:p>
        </w:tc>
      </w:tr>
      <w:tr w:rsidR="001939FB" w:rsidTr="00682BD3">
        <w:tc>
          <w:tcPr>
            <w:tcW w:w="1797" w:type="pct"/>
          </w:tcPr>
          <w:p w:rsidR="001939FB" w:rsidRDefault="00AC21B6">
            <w:pPr>
              <w:pStyle w:val="Compact"/>
            </w:pPr>
            <w:r>
              <w:t>Chinese - Pre-European</w:t>
            </w:r>
          </w:p>
        </w:tc>
        <w:tc>
          <w:tcPr>
            <w:tcW w:w="752" w:type="pct"/>
          </w:tcPr>
          <w:p w:rsidR="001939FB" w:rsidRDefault="00AC21B6">
            <w:pPr>
              <w:pStyle w:val="Compact"/>
              <w:jc w:val="right"/>
            </w:pPr>
            <w:r>
              <w:t>0.6942</w:t>
            </w:r>
          </w:p>
        </w:tc>
        <w:tc>
          <w:tcPr>
            <w:tcW w:w="1033" w:type="pct"/>
          </w:tcPr>
          <w:p w:rsidR="001939FB" w:rsidRDefault="00AC21B6">
            <w:pPr>
              <w:pStyle w:val="Compact"/>
              <w:jc w:val="right"/>
            </w:pPr>
            <w:r>
              <w:t>7.0177</w:t>
            </w:r>
          </w:p>
        </w:tc>
        <w:tc>
          <w:tcPr>
            <w:tcW w:w="798" w:type="pct"/>
          </w:tcPr>
          <w:p w:rsidR="001939FB" w:rsidRDefault="00AC21B6">
            <w:pPr>
              <w:pStyle w:val="Compact"/>
              <w:jc w:val="right"/>
            </w:pPr>
            <w:r>
              <w:t>34</w:t>
            </w:r>
          </w:p>
        </w:tc>
        <w:tc>
          <w:tcPr>
            <w:tcW w:w="620" w:type="pct"/>
          </w:tcPr>
          <w:p w:rsidR="001939FB" w:rsidRDefault="00AC21B6">
            <w:pPr>
              <w:pStyle w:val="Compact"/>
              <w:jc w:val="right"/>
            </w:pPr>
            <w:r>
              <w:t>0.0000</w:t>
            </w:r>
          </w:p>
        </w:tc>
      </w:tr>
      <w:tr w:rsidR="001939FB" w:rsidTr="00682BD3">
        <w:tc>
          <w:tcPr>
            <w:tcW w:w="1797" w:type="pct"/>
          </w:tcPr>
          <w:p w:rsidR="001939FB" w:rsidRDefault="00AC21B6">
            <w:pPr>
              <w:pStyle w:val="Compact"/>
            </w:pPr>
            <w:r>
              <w:t>Post-European - Pre-European</w:t>
            </w:r>
          </w:p>
        </w:tc>
        <w:tc>
          <w:tcPr>
            <w:tcW w:w="752" w:type="pct"/>
          </w:tcPr>
          <w:p w:rsidR="001939FB" w:rsidRDefault="00AC21B6">
            <w:pPr>
              <w:pStyle w:val="Compact"/>
              <w:jc w:val="right"/>
            </w:pPr>
            <w:r>
              <w:t>0.3491</w:t>
            </w:r>
          </w:p>
        </w:tc>
        <w:tc>
          <w:tcPr>
            <w:tcW w:w="1033" w:type="pct"/>
          </w:tcPr>
          <w:p w:rsidR="001939FB" w:rsidRDefault="00AC21B6">
            <w:pPr>
              <w:pStyle w:val="Compact"/>
              <w:jc w:val="right"/>
            </w:pPr>
            <w:r>
              <w:t>2.2917</w:t>
            </w:r>
          </w:p>
        </w:tc>
        <w:tc>
          <w:tcPr>
            <w:tcW w:w="798" w:type="pct"/>
          </w:tcPr>
          <w:p w:rsidR="001939FB" w:rsidRDefault="00AC21B6">
            <w:pPr>
              <w:pStyle w:val="Compact"/>
              <w:jc w:val="right"/>
            </w:pPr>
            <w:r>
              <w:t>47</w:t>
            </w:r>
          </w:p>
        </w:tc>
        <w:tc>
          <w:tcPr>
            <w:tcW w:w="620" w:type="pct"/>
          </w:tcPr>
          <w:p w:rsidR="001939FB" w:rsidRDefault="00AC21B6">
            <w:pPr>
              <w:pStyle w:val="Compact"/>
              <w:jc w:val="right"/>
            </w:pPr>
            <w:r>
              <w:t>0.0243</w:t>
            </w:r>
          </w:p>
        </w:tc>
      </w:tr>
    </w:tbl>
    <w:p w:rsidR="00AB3551" w:rsidRDefault="00AB3551" w:rsidP="00AB3551">
      <w:pPr>
        <w:pStyle w:val="BodyText"/>
        <w:spacing w:after="300"/>
      </w:pPr>
      <w:r>
        <w:t xml:space="preserve">Table 1: Summary statistics for the MANOVA test on the PC scores. </w:t>
      </w:r>
      <w:proofErr w:type="spellStart"/>
      <w:r w:rsidRPr="00B929FB">
        <w:t>Pr</w:t>
      </w:r>
      <w:proofErr w:type="spellEnd"/>
      <w:r w:rsidR="007B26C3">
        <w:t xml:space="preserve"> </w:t>
      </w:r>
      <w:r w:rsidRPr="00B929FB">
        <w:t>(&gt;F)</w:t>
      </w:r>
      <w:r>
        <w:t xml:space="preserve"> is the p-value associated with the F statistic of the effect and test statistic.</w:t>
      </w:r>
    </w:p>
    <w:p w:rsidR="001939FB" w:rsidRDefault="00AC21B6">
      <w:pPr>
        <w:pStyle w:val="BodyText"/>
      </w:pPr>
      <w:r>
        <w:t xml:space="preserve">To test for differences in the distributions of shape variables indicated by the PC scores shown in Figure 4, we used a multivariate analysis of variance (MANOVA) test to compare pairwise combinations across our three occupation phases. Table 1 shows significant differences in shape between Pre-European and Post-European phases (p = </w:t>
      </w:r>
      <m:oMath>
        <m:r>
          <w:rPr>
            <w:rFonts w:ascii="Cambria Math" w:hAnsi="Cambria Math"/>
          </w:rPr>
          <m:t>0.0243</m:t>
        </m:r>
      </m:oMath>
      <w:r>
        <w:t xml:space="preserve">), and Pre-European and Chinese phases (p = </w:t>
      </w:r>
      <m:oMath>
        <m:r>
          <w:rPr>
            <w:rFonts w:ascii="Cambria Math" w:hAnsi="Cambria Math"/>
          </w:rPr>
          <m:t>0</m:t>
        </m:r>
      </m:oMath>
      <w:r>
        <w:t>). Although there is considerable overlap of shape variables between the Pre-European and Post-European phases, their PC scores are significantly different from each other. There is little difference between vessel shapes in the Post-European and Chinese contact periods.</w:t>
      </w:r>
    </w:p>
    <w:p w:rsidR="001939FB" w:rsidRDefault="00AC21B6">
      <w:pPr>
        <w:pStyle w:val="BodyText"/>
      </w:pPr>
      <w:r>
        <w:t>To compare pottery shape standardization across the three phases we investigate the distributions of the first three PC scores, taking the PC scores as proxy variables for vessel shape (Figure 5).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rsidR="001939FB" w:rsidRDefault="00AC21B6">
      <w:pPr>
        <w:pStyle w:val="BodyText"/>
      </w:pPr>
      <w:r>
        <w:t>To see whether the differences in the distribution of PCs between any two phases are substantive or due to chance, we used a modified signed-likelihood ratio test to assess the equality of CVs (Krishnamoorthy and Lee, 2014; Marwick and Krishnamoorthy, n.d.). P-values for this significance test of CVs for PC1 and PC2 show significant differences in the standardization of vessel shapes across periods, especially between Chinese contact with either pre-European or post-European (Figure 5, Table 2). A significant difference was also detected between the pre-European and post-European periods.</w:t>
      </w:r>
    </w:p>
    <w:p w:rsidR="001939FB" w:rsidRDefault="00AC21B6">
      <w:r>
        <w:rPr>
          <w:noProof/>
        </w:rPr>
        <w:lastRenderedPageBreak/>
        <w:drawing>
          <wp:inline distT="0" distB="0" distL="0" distR="0">
            <wp:extent cx="4785528" cy="3828422"/>
            <wp:effectExtent l="0" t="0" r="0" b="0"/>
            <wp:docPr id="5" name="Picture" descr="Figure 5: The distribution of PC scores by phases"/>
            <wp:cNvGraphicFramePr/>
            <a:graphic xmlns:a="http://schemas.openxmlformats.org/drawingml/2006/main">
              <a:graphicData uri="http://schemas.openxmlformats.org/drawingml/2006/picture">
                <pic:pic xmlns:pic="http://schemas.openxmlformats.org/drawingml/2006/picture">
                  <pic:nvPicPr>
                    <pic:cNvPr id="0" name="Picture" descr="../figures/PCs-distribution-1.png"/>
                    <pic:cNvPicPr>
                      <a:picLocks noChangeAspect="1" noChangeArrowheads="1"/>
                    </pic:cNvPicPr>
                  </pic:nvPicPr>
                  <pic:blipFill>
                    <a:blip r:embed="rId13"/>
                    <a:stretch>
                      <a:fillRect/>
                    </a:stretch>
                  </pic:blipFill>
                  <pic:spPr bwMode="auto">
                    <a:xfrm>
                      <a:off x="0" y="0"/>
                      <a:ext cx="4801112" cy="3840889"/>
                    </a:xfrm>
                    <a:prstGeom prst="rect">
                      <a:avLst/>
                    </a:prstGeom>
                    <a:noFill/>
                    <a:ln w="9525">
                      <a:noFill/>
                      <a:headEnd/>
                      <a:tailEnd/>
                    </a:ln>
                  </pic:spPr>
                </pic:pic>
              </a:graphicData>
            </a:graphic>
          </wp:inline>
        </w:drawing>
      </w:r>
    </w:p>
    <w:p w:rsidR="001939FB" w:rsidRDefault="00AC21B6" w:rsidP="00C13381">
      <w:pPr>
        <w:pStyle w:val="ImageCaption"/>
      </w:pPr>
      <w:r>
        <w:t>Figure 5: The distribution of PC scores by phases</w:t>
      </w:r>
    </w:p>
    <w:p w:rsidR="00682BD3" w:rsidRDefault="00682BD3" w:rsidP="00C13381">
      <w:pPr>
        <w:pStyle w:val="ImageCaption"/>
      </w:pPr>
    </w:p>
    <w:tbl>
      <w:tblPr>
        <w:tblW w:w="3673" w:type="pct"/>
        <w:tblLook w:val="07E0" w:firstRow="1" w:lastRow="1" w:firstColumn="1" w:lastColumn="1" w:noHBand="1" w:noVBand="1"/>
      </w:tblPr>
      <w:tblGrid>
        <w:gridCol w:w="698"/>
        <w:gridCol w:w="1067"/>
        <w:gridCol w:w="1103"/>
        <w:gridCol w:w="4167"/>
      </w:tblGrid>
      <w:tr w:rsidR="00C13381" w:rsidTr="00C13381">
        <w:trPr>
          <w:trHeight w:val="342"/>
        </w:trPr>
        <w:tc>
          <w:tcPr>
            <w:tcW w:w="0" w:type="auto"/>
            <w:tcBorders>
              <w:bottom w:val="single" w:sz="0" w:space="0" w:color="auto"/>
            </w:tcBorders>
            <w:vAlign w:val="bottom"/>
          </w:tcPr>
          <w:p w:rsidR="00C13381" w:rsidRDefault="00C13381" w:rsidP="00B24D23">
            <w:pPr>
              <w:pStyle w:val="Compact"/>
            </w:pPr>
            <w:r>
              <w:t>PC</w:t>
            </w:r>
          </w:p>
        </w:tc>
        <w:tc>
          <w:tcPr>
            <w:tcW w:w="0" w:type="auto"/>
            <w:tcBorders>
              <w:bottom w:val="single" w:sz="0" w:space="0" w:color="auto"/>
            </w:tcBorders>
            <w:vAlign w:val="bottom"/>
          </w:tcPr>
          <w:p w:rsidR="00C13381" w:rsidRDefault="00C13381" w:rsidP="00B24D23">
            <w:pPr>
              <w:pStyle w:val="Compact"/>
              <w:jc w:val="right"/>
            </w:pPr>
            <w:r>
              <w:t>MSLRT</w:t>
            </w:r>
          </w:p>
        </w:tc>
        <w:tc>
          <w:tcPr>
            <w:tcW w:w="0" w:type="auto"/>
            <w:tcBorders>
              <w:bottom w:val="single" w:sz="0" w:space="0" w:color="auto"/>
            </w:tcBorders>
            <w:vAlign w:val="bottom"/>
          </w:tcPr>
          <w:p w:rsidR="00C13381" w:rsidRDefault="00C13381" w:rsidP="00B24D23">
            <w:pPr>
              <w:pStyle w:val="Compact"/>
              <w:jc w:val="right"/>
            </w:pPr>
            <w:r>
              <w:t>p-value</w:t>
            </w:r>
          </w:p>
        </w:tc>
        <w:tc>
          <w:tcPr>
            <w:tcW w:w="0" w:type="auto"/>
            <w:tcBorders>
              <w:bottom w:val="single" w:sz="0" w:space="0" w:color="auto"/>
            </w:tcBorders>
            <w:vAlign w:val="bottom"/>
          </w:tcPr>
          <w:p w:rsidR="00C13381" w:rsidRDefault="00C13381" w:rsidP="00B24D23">
            <w:pPr>
              <w:pStyle w:val="Compact"/>
            </w:pPr>
            <w:r>
              <w:t>phases</w:t>
            </w:r>
          </w:p>
        </w:tc>
      </w:tr>
      <w:tr w:rsidR="00C13381" w:rsidTr="00C13381">
        <w:trPr>
          <w:trHeight w:val="358"/>
        </w:trPr>
        <w:tc>
          <w:tcPr>
            <w:tcW w:w="0" w:type="auto"/>
          </w:tcPr>
          <w:p w:rsidR="00C13381" w:rsidRDefault="00C13381" w:rsidP="00B24D23">
            <w:pPr>
              <w:pStyle w:val="Compact"/>
            </w:pPr>
            <w:r>
              <w:t>PC1</w:t>
            </w:r>
          </w:p>
        </w:tc>
        <w:tc>
          <w:tcPr>
            <w:tcW w:w="0" w:type="auto"/>
          </w:tcPr>
          <w:p w:rsidR="00C13381" w:rsidRDefault="00C13381" w:rsidP="00B24D23">
            <w:pPr>
              <w:pStyle w:val="Compact"/>
              <w:jc w:val="right"/>
            </w:pPr>
            <w:r>
              <w:t>0.0958</w:t>
            </w:r>
          </w:p>
        </w:tc>
        <w:tc>
          <w:tcPr>
            <w:tcW w:w="0" w:type="auto"/>
          </w:tcPr>
          <w:p w:rsidR="00C13381" w:rsidRDefault="00C13381" w:rsidP="00B24D23">
            <w:pPr>
              <w:pStyle w:val="Compact"/>
              <w:jc w:val="right"/>
            </w:pPr>
            <w:r>
              <w:t>0.7569</w:t>
            </w:r>
          </w:p>
        </w:tc>
        <w:tc>
          <w:tcPr>
            <w:tcW w:w="0" w:type="auto"/>
          </w:tcPr>
          <w:p w:rsidR="00C13381" w:rsidRDefault="00C13381" w:rsidP="00B24D23">
            <w:pPr>
              <w:pStyle w:val="Compact"/>
            </w:pPr>
            <w:r>
              <w:t>Post-European vs Pre-European</w:t>
            </w:r>
          </w:p>
        </w:tc>
      </w:tr>
      <w:tr w:rsidR="00C13381" w:rsidTr="00C13381">
        <w:trPr>
          <w:trHeight w:val="342"/>
        </w:trPr>
        <w:tc>
          <w:tcPr>
            <w:tcW w:w="0" w:type="auto"/>
          </w:tcPr>
          <w:p w:rsidR="00C13381" w:rsidRDefault="00C13381" w:rsidP="00B24D23">
            <w:pPr>
              <w:pStyle w:val="Compact"/>
            </w:pPr>
            <w:r>
              <w:t>PC1</w:t>
            </w:r>
          </w:p>
        </w:tc>
        <w:tc>
          <w:tcPr>
            <w:tcW w:w="0" w:type="auto"/>
          </w:tcPr>
          <w:p w:rsidR="00C13381" w:rsidRDefault="00C13381" w:rsidP="00B24D23">
            <w:pPr>
              <w:pStyle w:val="Compact"/>
              <w:jc w:val="right"/>
            </w:pPr>
            <w:r>
              <w:t>8.3202</w:t>
            </w:r>
          </w:p>
        </w:tc>
        <w:tc>
          <w:tcPr>
            <w:tcW w:w="0" w:type="auto"/>
          </w:tcPr>
          <w:p w:rsidR="00C13381" w:rsidRDefault="00C13381" w:rsidP="00B24D23">
            <w:pPr>
              <w:pStyle w:val="Compact"/>
              <w:jc w:val="right"/>
            </w:pPr>
            <w:r>
              <w:t>0.0039</w:t>
            </w:r>
          </w:p>
        </w:tc>
        <w:tc>
          <w:tcPr>
            <w:tcW w:w="0" w:type="auto"/>
          </w:tcPr>
          <w:p w:rsidR="00C13381" w:rsidRDefault="00C13381" w:rsidP="00B24D23">
            <w:pPr>
              <w:pStyle w:val="Compact"/>
            </w:pPr>
            <w:r>
              <w:t>Chinese Contact vs Pre-European</w:t>
            </w:r>
          </w:p>
        </w:tc>
      </w:tr>
      <w:tr w:rsidR="00C13381" w:rsidTr="00C13381">
        <w:trPr>
          <w:trHeight w:val="622"/>
        </w:trPr>
        <w:tc>
          <w:tcPr>
            <w:tcW w:w="0" w:type="auto"/>
          </w:tcPr>
          <w:p w:rsidR="00C13381" w:rsidRDefault="00C13381" w:rsidP="00B24D23">
            <w:pPr>
              <w:pStyle w:val="Compact"/>
            </w:pPr>
            <w:r>
              <w:t>PC1</w:t>
            </w:r>
          </w:p>
        </w:tc>
        <w:tc>
          <w:tcPr>
            <w:tcW w:w="0" w:type="auto"/>
          </w:tcPr>
          <w:p w:rsidR="00C13381" w:rsidRDefault="00C13381" w:rsidP="00B24D23">
            <w:pPr>
              <w:pStyle w:val="Compact"/>
              <w:jc w:val="right"/>
            </w:pPr>
            <w:r>
              <w:t>6.5747</w:t>
            </w:r>
          </w:p>
        </w:tc>
        <w:tc>
          <w:tcPr>
            <w:tcW w:w="0" w:type="auto"/>
          </w:tcPr>
          <w:p w:rsidR="00C13381" w:rsidRDefault="00C13381" w:rsidP="00B24D23">
            <w:pPr>
              <w:pStyle w:val="Compact"/>
              <w:jc w:val="right"/>
            </w:pPr>
            <w:r>
              <w:t>0.0103</w:t>
            </w:r>
          </w:p>
        </w:tc>
        <w:tc>
          <w:tcPr>
            <w:tcW w:w="0" w:type="auto"/>
          </w:tcPr>
          <w:p w:rsidR="00C13381" w:rsidRDefault="00C13381" w:rsidP="00B24D23">
            <w:pPr>
              <w:pStyle w:val="Compact"/>
            </w:pPr>
            <w:r>
              <w:t>Chinese Contact vs Post-European</w:t>
            </w:r>
          </w:p>
        </w:tc>
      </w:tr>
      <w:tr w:rsidR="00C13381" w:rsidTr="00C13381">
        <w:trPr>
          <w:trHeight w:val="342"/>
        </w:trPr>
        <w:tc>
          <w:tcPr>
            <w:tcW w:w="0" w:type="auto"/>
          </w:tcPr>
          <w:p w:rsidR="00C13381" w:rsidRDefault="00C13381" w:rsidP="00B24D23">
            <w:pPr>
              <w:pStyle w:val="Compact"/>
            </w:pPr>
            <w:r>
              <w:t>PC2</w:t>
            </w:r>
          </w:p>
        </w:tc>
        <w:tc>
          <w:tcPr>
            <w:tcW w:w="0" w:type="auto"/>
          </w:tcPr>
          <w:p w:rsidR="00C13381" w:rsidRDefault="00C13381" w:rsidP="00B24D23">
            <w:pPr>
              <w:pStyle w:val="Compact"/>
              <w:jc w:val="right"/>
            </w:pPr>
            <w:r>
              <w:t>0.1587</w:t>
            </w:r>
          </w:p>
        </w:tc>
        <w:tc>
          <w:tcPr>
            <w:tcW w:w="0" w:type="auto"/>
          </w:tcPr>
          <w:p w:rsidR="00C13381" w:rsidRDefault="00C13381" w:rsidP="00B24D23">
            <w:pPr>
              <w:pStyle w:val="Compact"/>
              <w:jc w:val="right"/>
            </w:pPr>
            <w:r>
              <w:t>0.6904</w:t>
            </w:r>
          </w:p>
        </w:tc>
        <w:tc>
          <w:tcPr>
            <w:tcW w:w="0" w:type="auto"/>
          </w:tcPr>
          <w:p w:rsidR="00C13381" w:rsidRDefault="00C13381" w:rsidP="00B24D23">
            <w:pPr>
              <w:pStyle w:val="Compact"/>
            </w:pPr>
            <w:r>
              <w:t>Post-European vs Pre-European</w:t>
            </w:r>
          </w:p>
        </w:tc>
      </w:tr>
      <w:tr w:rsidR="00C13381" w:rsidTr="00C13381">
        <w:trPr>
          <w:trHeight w:val="358"/>
        </w:trPr>
        <w:tc>
          <w:tcPr>
            <w:tcW w:w="0" w:type="auto"/>
          </w:tcPr>
          <w:p w:rsidR="00C13381" w:rsidRDefault="00C13381" w:rsidP="00B24D23">
            <w:pPr>
              <w:pStyle w:val="Compact"/>
            </w:pPr>
            <w:r>
              <w:t>PC2</w:t>
            </w:r>
          </w:p>
        </w:tc>
        <w:tc>
          <w:tcPr>
            <w:tcW w:w="0" w:type="auto"/>
          </w:tcPr>
          <w:p w:rsidR="00C13381" w:rsidRDefault="00C13381" w:rsidP="00B24D23">
            <w:pPr>
              <w:pStyle w:val="Compact"/>
              <w:jc w:val="right"/>
            </w:pPr>
            <w:r>
              <w:t>0.2453</w:t>
            </w:r>
          </w:p>
        </w:tc>
        <w:tc>
          <w:tcPr>
            <w:tcW w:w="0" w:type="auto"/>
          </w:tcPr>
          <w:p w:rsidR="00C13381" w:rsidRDefault="00C13381" w:rsidP="00B24D23">
            <w:pPr>
              <w:pStyle w:val="Compact"/>
              <w:jc w:val="right"/>
            </w:pPr>
            <w:r>
              <w:t>0.6204</w:t>
            </w:r>
          </w:p>
        </w:tc>
        <w:tc>
          <w:tcPr>
            <w:tcW w:w="0" w:type="auto"/>
          </w:tcPr>
          <w:p w:rsidR="00C13381" w:rsidRDefault="00C13381" w:rsidP="00B24D23">
            <w:pPr>
              <w:pStyle w:val="Compact"/>
            </w:pPr>
            <w:r>
              <w:t>Chinese Contact vs Pre-European</w:t>
            </w:r>
          </w:p>
        </w:tc>
      </w:tr>
      <w:tr w:rsidR="00C13381" w:rsidTr="00C13381">
        <w:trPr>
          <w:trHeight w:val="622"/>
        </w:trPr>
        <w:tc>
          <w:tcPr>
            <w:tcW w:w="0" w:type="auto"/>
          </w:tcPr>
          <w:p w:rsidR="00C13381" w:rsidRDefault="00C13381" w:rsidP="00B24D23">
            <w:pPr>
              <w:pStyle w:val="Compact"/>
            </w:pPr>
            <w:r>
              <w:t>PC2</w:t>
            </w:r>
          </w:p>
        </w:tc>
        <w:tc>
          <w:tcPr>
            <w:tcW w:w="0" w:type="auto"/>
          </w:tcPr>
          <w:p w:rsidR="00C13381" w:rsidRDefault="00C13381" w:rsidP="00B24D23">
            <w:pPr>
              <w:pStyle w:val="Compact"/>
              <w:jc w:val="right"/>
            </w:pPr>
            <w:r>
              <w:t>0.0910</w:t>
            </w:r>
          </w:p>
        </w:tc>
        <w:tc>
          <w:tcPr>
            <w:tcW w:w="0" w:type="auto"/>
          </w:tcPr>
          <w:p w:rsidR="00C13381" w:rsidRDefault="00C13381" w:rsidP="00B24D23">
            <w:pPr>
              <w:pStyle w:val="Compact"/>
              <w:jc w:val="right"/>
            </w:pPr>
            <w:r>
              <w:t>0.7629</w:t>
            </w:r>
          </w:p>
        </w:tc>
        <w:tc>
          <w:tcPr>
            <w:tcW w:w="0" w:type="auto"/>
          </w:tcPr>
          <w:p w:rsidR="00C13381" w:rsidRDefault="00C13381" w:rsidP="00B24D23">
            <w:pPr>
              <w:pStyle w:val="Compact"/>
            </w:pPr>
            <w:r>
              <w:t>Chinese Contact vs Post-European</w:t>
            </w:r>
          </w:p>
        </w:tc>
      </w:tr>
    </w:tbl>
    <w:p w:rsidR="00C13381" w:rsidRDefault="00C13381" w:rsidP="00C13381">
      <w:pPr>
        <w:pStyle w:val="ImageCaption"/>
      </w:pPr>
      <w:r>
        <w:t>Table 2: P-values of the CV equality test of PC1 and PC2 between phases</w:t>
      </w:r>
    </w:p>
    <w:p w:rsidR="001939FB" w:rsidRDefault="00AC21B6">
      <w:pPr>
        <w:pStyle w:val="Heading1"/>
      </w:pPr>
      <w:bookmarkStart w:id="8" w:name="discussion"/>
      <w:r>
        <w:t>Discussion</w:t>
      </w:r>
      <w:bookmarkEnd w:id="8"/>
    </w:p>
    <w:p w:rsidR="001939FB" w:rsidRDefault="00AC21B6">
      <w:pPr>
        <w:pStyle w:val="FirstParagraph"/>
      </w:pPr>
      <w:r>
        <w:t xml:space="preserve">Previous investigations at Kiwulan have suggested an unequal distribution of prestige goods, trade ornaments specifically, following the appearance of Europeans (Cheng, 2008; Wang, 2011), hinting at an emergence of social inequality in the Indigenous community. We have examined ceramic vessel shape standardization to measure craft specialization as a proxy for social differentiation (Costin, 2001; Junker, 1999). The result of our MANOVA test </w:t>
      </w:r>
      <w:r>
        <w:lastRenderedPageBreak/>
        <w:t>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rsidR="001939FB" w:rsidRDefault="00AC21B6">
      <w:pPr>
        <w:pStyle w:val="BodyText"/>
      </w:pPr>
      <w:r>
        <w:t>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 (cf. Kwak and Marwick, 2015).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 (cf. Evershed, 2008, p. 909).</w:t>
      </w:r>
    </w:p>
    <w:p w:rsidR="001939FB" w:rsidRDefault="00AC21B6">
      <w:pPr>
        <w:pStyle w:val="BodyText"/>
      </w:pPr>
      <w:r>
        <w:t>The spatial analysis (Figure 6)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 (Chen, 2007; Hsieh, 2009). We might expect reduced numbers of potters to result in pottery production shrinking to a few locations in the settlement during this time. Although the overall number of vessels is smaller during the Chinese contact period, Figure 6 shows that pottery is distributed randomly across the sampling area without any distinctive clusters during this time. This suggests that differences in population across our three occupation phases are probably not driving variation in craft specialization.</w:t>
      </w:r>
    </w:p>
    <w:p w:rsidR="001939FB" w:rsidRDefault="00AC21B6">
      <w:r>
        <w:rPr>
          <w:noProof/>
        </w:rPr>
        <w:lastRenderedPageBreak/>
        <w:drawing>
          <wp:inline distT="0" distB="0" distL="0" distR="0">
            <wp:extent cx="5943600" cy="4754880"/>
            <wp:effectExtent l="0" t="0" r="0" b="0"/>
            <wp:docPr id="6" name="Picture" descr="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wp:cNvGraphicFramePr/>
            <a:graphic xmlns:a="http://schemas.openxmlformats.org/drawingml/2006/main">
              <a:graphicData uri="http://schemas.openxmlformats.org/drawingml/2006/picture">
                <pic:pic xmlns:pic="http://schemas.openxmlformats.org/drawingml/2006/picture">
                  <pic:nvPicPr>
                    <pic:cNvPr id="0" name="Picture" descr="../figures/kernel-plot-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rsidR="001939FB" w:rsidRDefault="00AC21B6">
      <w:pPr>
        <w:pStyle w:val="ImageCaption"/>
      </w:pPr>
      <w:r>
        <w:t>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rsidR="001939FB" w:rsidRDefault="00AC21B6" w:rsidP="007873BB">
      <w:pPr>
        <w:jc w:val="center"/>
      </w:pPr>
      <w:r>
        <w:rPr>
          <w:noProof/>
        </w:rPr>
        <w:lastRenderedPageBreak/>
        <w:drawing>
          <wp:inline distT="0" distB="0" distL="0" distR="0">
            <wp:extent cx="4424018" cy="7374839"/>
            <wp:effectExtent l="0" t="0" r="0" b="0"/>
            <wp:docPr id="7" name="Picture" descr="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
            <wp:cNvGraphicFramePr/>
            <a:graphic xmlns:a="http://schemas.openxmlformats.org/drawingml/2006/main">
              <a:graphicData uri="http://schemas.openxmlformats.org/drawingml/2006/picture">
                <pic:pic xmlns:pic="http://schemas.openxmlformats.org/drawingml/2006/picture">
                  <pic:nvPicPr>
                    <pic:cNvPr id="0" name="Picture" descr="../figures/Monte-Carlo-spatial-pattern-1.png"/>
                    <pic:cNvPicPr>
                      <a:picLocks noChangeAspect="1" noChangeArrowheads="1"/>
                    </pic:cNvPicPr>
                  </pic:nvPicPr>
                  <pic:blipFill>
                    <a:blip r:embed="rId15"/>
                    <a:stretch>
                      <a:fillRect/>
                    </a:stretch>
                  </pic:blipFill>
                  <pic:spPr bwMode="auto">
                    <a:xfrm>
                      <a:off x="0" y="0"/>
                      <a:ext cx="4438556" cy="7399074"/>
                    </a:xfrm>
                    <a:prstGeom prst="rect">
                      <a:avLst/>
                    </a:prstGeom>
                    <a:noFill/>
                    <a:ln w="9525">
                      <a:noFill/>
                      <a:headEnd/>
                      <a:tailEnd/>
                    </a:ln>
                  </pic:spPr>
                </pic:pic>
              </a:graphicData>
            </a:graphic>
          </wp:inline>
        </w:drawing>
      </w:r>
    </w:p>
    <w:p w:rsidR="001939FB" w:rsidRDefault="00AC21B6">
      <w:pPr>
        <w:pStyle w:val="ImageCaption"/>
      </w:pPr>
      <w:r>
        <w:t>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rsidR="001939FB" w:rsidRDefault="00AC21B6">
      <w:pPr>
        <w:pStyle w:val="BodyText"/>
      </w:pPr>
      <w:r>
        <w:lastRenderedPageBreak/>
        <w:t>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 (Blanton et al., 1996; Feinman, 2010, 2000, 1995; Feinman et al., 2000).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rsidR="001939FB" w:rsidRDefault="00AC21B6">
      <w:pPr>
        <w:pStyle w:val="BodyText"/>
      </w:pPr>
      <w:r>
        <w:t>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 (cf. Acabado, 2017).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 (Chen, 1963; Ke, 1993). This direct influence is reflected by the archaeological evidence of large amounts of Chinese porcelains and distinctive architectural bricks and tiles used by Chinese (Hsieh, 2009). Similarly, burials at Kiwulan in this later phase show the adoption of coffins in mortuary practices, which Chiu (2004) interprets as the adoption of a symbol of ethnic Chinese.</w:t>
      </w:r>
    </w:p>
    <w:p w:rsidR="001939FB" w:rsidRDefault="00AC21B6">
      <w:pPr>
        <w:pStyle w:val="BodyText"/>
      </w:pPr>
      <w:r>
        <w:t>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 (Voss, 2005). It is also important to recognize that social identity might be more complicated in a colonial context, and may be more than a colonized–colonizer or local/foreign dichotomy (Voss, 2008, 2005).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 (Wu et al., 2019).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 (cf. Roux, 2015).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rsidR="001939FB" w:rsidRDefault="00AC21B6">
      <w:pPr>
        <w:pStyle w:val="Heading1"/>
      </w:pPr>
      <w:bookmarkStart w:id="9" w:name="conclusion"/>
      <w:r>
        <w:lastRenderedPageBreak/>
        <w:t>Conclusion</w:t>
      </w:r>
      <w:bookmarkEnd w:id="9"/>
    </w:p>
    <w:p w:rsidR="001939FB" w:rsidRDefault="00AC21B6">
      <w:pPr>
        <w:pStyle w:val="FirstParagraph"/>
      </w:pPr>
      <w:r>
        <w:t>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rsidR="00950DA1" w:rsidRPr="00950DA1" w:rsidRDefault="00950DA1" w:rsidP="00950DA1">
      <w:pPr>
        <w:pStyle w:val="FirstParagraph"/>
      </w:pPr>
      <w:r>
        <w:t>Word count: 4261</w:t>
      </w:r>
    </w:p>
    <w:p w:rsidR="001939FB" w:rsidRDefault="00AC21B6">
      <w:pPr>
        <w:pStyle w:val="Heading1"/>
      </w:pPr>
      <w:bookmarkStart w:id="10" w:name="acknowledgments"/>
      <w:r>
        <w:t>Acknowledgments</w:t>
      </w:r>
      <w:bookmarkEnd w:id="10"/>
    </w:p>
    <w:p w:rsidR="001939FB" w:rsidRDefault="00AC21B6">
      <w:pPr>
        <w:pStyle w:val="FirstParagraph"/>
      </w:pPr>
      <w:r>
        <w:t>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rsidR="001939FB" w:rsidRDefault="00AC21B6">
      <w:pPr>
        <w:pStyle w:val="Heading5"/>
      </w:pPr>
      <w:bookmarkStart w:id="11" w:name="pagebreak"/>
      <w:r>
        <w:lastRenderedPageBreak/>
        <w:t>pagebreak</w:t>
      </w:r>
      <w:bookmarkEnd w:id="11"/>
    </w:p>
    <w:p w:rsidR="001939FB" w:rsidRDefault="00AC21B6">
      <w:pPr>
        <w:pStyle w:val="Heading1"/>
      </w:pPr>
      <w:bookmarkStart w:id="12" w:name="references"/>
      <w:r>
        <w:t>References</w:t>
      </w:r>
      <w:bookmarkEnd w:id="12"/>
    </w:p>
    <w:p w:rsidR="001939FB" w:rsidRDefault="00AC21B6">
      <w:pPr>
        <w:pStyle w:val="FirstParagraph"/>
      </w:pPr>
      <w:bookmarkStart w:id="13" w:name="ref-Acabado2017"/>
      <w:bookmarkStart w:id="14" w:name="refs"/>
      <w:r>
        <w:t>Acabado, S., 2017. The archaeology of pericolonialism: Responses of the “unconquered” to spanish conquest and colonialism in ifugao, philippines. International Journal of Historical Archaeology 21, 1–26.</w:t>
      </w:r>
    </w:p>
    <w:p w:rsidR="001939FB" w:rsidRDefault="00AC21B6">
      <w:pPr>
        <w:pStyle w:val="BodyText"/>
      </w:pPr>
      <w:bookmarkStart w:id="15" w:name="ref-Adams2004"/>
      <w:bookmarkEnd w:id="13"/>
      <w:r>
        <w:t>Adams, D.C., Rohlf, F.J., Slice, D.E., 2004. Geometric morphometrics: Ten years of progress following the “revolution”. Italian Journal of Zoology 71, 5–16.</w:t>
      </w:r>
    </w:p>
    <w:p w:rsidR="001939FB" w:rsidRDefault="00AC21B6">
      <w:pPr>
        <w:pStyle w:val="BodyText"/>
      </w:pPr>
      <w:bookmarkStart w:id="16" w:name="ref-Andrade2007"/>
      <w:bookmarkEnd w:id="15"/>
      <w:r>
        <w:t>Andrade, T., 2007. How Taiwan became chinese : Dutch, spanish, and han colonization in the seventeenth century. Columbia University Press, New York.</w:t>
      </w:r>
    </w:p>
    <w:p w:rsidR="001939FB" w:rsidRDefault="00AC21B6">
      <w:pPr>
        <w:pStyle w:val="BodyText"/>
      </w:pPr>
      <w:bookmarkStart w:id="17" w:name="ref-Arnold2000"/>
      <w:bookmarkEnd w:id="16"/>
      <w:r>
        <w:t>Arnold, D.E., 2000. Does the standardization of ceramic pastes really mean specialization? Journal of Archaeological Method and Theory 7, 333–375.</w:t>
      </w:r>
    </w:p>
    <w:p w:rsidR="001939FB" w:rsidRDefault="00AC21B6">
      <w:pPr>
        <w:pStyle w:val="BodyText"/>
      </w:pPr>
      <w:bookmarkStart w:id="18" w:name="ref-Birch2019"/>
      <w:bookmarkEnd w:id="17"/>
      <w:r>
        <w:t>Birch, T., Martinón-Torres, M., 2019. Shape as a measure of weapon standardisation: From metric to geometric morphometric analysis of the iron age ‘havor’lance from southern scandinavia. Journal of Archaeological Science 101, 34–51.</w:t>
      </w:r>
    </w:p>
    <w:p w:rsidR="001939FB" w:rsidRDefault="00AC21B6">
      <w:pPr>
        <w:pStyle w:val="BodyText"/>
      </w:pPr>
      <w:bookmarkStart w:id="19" w:name="ref-Blackman1993"/>
      <w:bookmarkEnd w:id="18"/>
      <w:r>
        <w:t>Blackman, M.J., Stein, G.J., Vandiver, P.B., 1993. The standardization hypothesis and ceramic mass production: Technological, compositional, and metric indices of craft specialization at tell leilan, Syria. American Antiquity 58, 60–80.</w:t>
      </w:r>
    </w:p>
    <w:p w:rsidR="001939FB" w:rsidRDefault="00AC21B6">
      <w:pPr>
        <w:pStyle w:val="BodyText"/>
      </w:pPr>
      <w:bookmarkStart w:id="20" w:name="ref-Blanton1996"/>
      <w:bookmarkEnd w:id="19"/>
      <w:r>
        <w:t>Blanton, R.E., Feinman, G.M., Kowalewski, S.A., Peregrine, P.N., 1996. A dual-processual theory for the evolution of mesoamerican civilization. Current anthropology 37, 1–14.</w:t>
      </w:r>
    </w:p>
    <w:p w:rsidR="001939FB" w:rsidRDefault="00AC21B6">
      <w:pPr>
        <w:pStyle w:val="BodyText"/>
      </w:pPr>
      <w:bookmarkStart w:id="21" w:name="ref-Boness2015"/>
      <w:bookmarkEnd w:id="20"/>
      <w:r>
        <w:t>Boness, D., Clarke, J., Goren, Y., 2015. Ceramic neolithic pottery in cyprus—origin, technology and possible implications for social structure and identity. Levant 47, 233–254.</w:t>
      </w:r>
    </w:p>
    <w:p w:rsidR="001939FB" w:rsidRDefault="00AC21B6">
      <w:pPr>
        <w:pStyle w:val="BodyText"/>
      </w:pPr>
      <w:bookmarkStart w:id="22" w:name="ref-Bonhomme2014"/>
      <w:bookmarkEnd w:id="21"/>
      <w:r>
        <w:t>Bonhomme, V., Picq, S., Gaucherel, C., Claude, J., others, 2014. Momocs: Outline analysis using r. Journal of Statistical Software 56, 1–24.</w:t>
      </w:r>
    </w:p>
    <w:p w:rsidR="001939FB" w:rsidRDefault="00AC21B6">
      <w:pPr>
        <w:pStyle w:val="BodyText"/>
      </w:pPr>
      <w:bookmarkStart w:id="23" w:name="ref-Bookstein1997"/>
      <w:bookmarkEnd w:id="22"/>
      <w:r>
        <w:t>Bookstein, F.L., 1997. Landmark methods for forms without landmarks: Morphometrics of group differences in outline shape. Medical image analysis 1, 225–243.</w:t>
      </w:r>
    </w:p>
    <w:p w:rsidR="001939FB" w:rsidRDefault="00AC21B6">
      <w:pPr>
        <w:pStyle w:val="BodyText"/>
      </w:pPr>
      <w:bookmarkStart w:id="24" w:name="ref-Buchanan2019"/>
      <w:bookmarkEnd w:id="23"/>
      <w:r>
        <w:t>Buchanan, B., Collard, M., O’Brien, M.J., 2019. Geometric morphometric analyses support incorporating the goshen point type into plainview. American Antiquity 1–11.</w:t>
      </w:r>
    </w:p>
    <w:p w:rsidR="001939FB" w:rsidRDefault="00AC21B6">
      <w:pPr>
        <w:pStyle w:val="BodyText"/>
      </w:pPr>
      <w:bookmarkStart w:id="25" w:name="ref-Cardillo2010"/>
      <w:bookmarkEnd w:id="24"/>
      <w:r>
        <w:t>Cardillo, M., 2010. Some applications of geometric morphometrics to archaeology, in: Elewa, A.M.T. (Ed.), Morphometrics for Nonmorphometricians. Springer, pp. 325–341.</w:t>
      </w:r>
    </w:p>
    <w:p w:rsidR="001939FB" w:rsidRDefault="00AC21B6">
      <w:pPr>
        <w:pStyle w:val="BodyText"/>
      </w:pPr>
      <w:bookmarkStart w:id="26" w:name="ref-Chen1963"/>
      <w:bookmarkEnd w:id="25"/>
      <w:r>
        <w:t>Chen, S., 1963. Kavalan ting zhi [kavalen culture history], taiwan wen xian cong kan di 106 zhong [taiwan literature series: 106]. Economic Research Office, Bank ofTaiwan, Taipei.</w:t>
      </w:r>
    </w:p>
    <w:p w:rsidR="001939FB" w:rsidRDefault="00AC21B6">
      <w:pPr>
        <w:pStyle w:val="BodyText"/>
      </w:pPr>
      <w:bookmarkStart w:id="27" w:name="ref-Chen2016"/>
      <w:bookmarkEnd w:id="26"/>
      <w:r>
        <w:t>Chen, W.-S., 2016. Tai wan di zhi gai lun [an introduction to the geology of taiwan]. Geological Society Located in Taipei.</w:t>
      </w:r>
    </w:p>
    <w:p w:rsidR="001939FB" w:rsidRDefault="00AC21B6">
      <w:pPr>
        <w:pStyle w:val="BodyText"/>
      </w:pPr>
      <w:bookmarkStart w:id="28" w:name="ref-Chen2007"/>
      <w:bookmarkEnd w:id="27"/>
      <w:r>
        <w:t>Chen, Y.-p., 2007. Qi wu lan yi zhi qiang jiu fa jue bao gao [report on the archaeological excavations at ki-wu-lan site]. Lanyang museum, Yilan, Taiwan.</w:t>
      </w:r>
    </w:p>
    <w:p w:rsidR="001939FB" w:rsidRDefault="00AC21B6">
      <w:pPr>
        <w:pStyle w:val="BodyText"/>
      </w:pPr>
      <w:bookmarkStart w:id="29" w:name="ref-Cheng2008"/>
      <w:bookmarkEnd w:id="28"/>
      <w:r>
        <w:lastRenderedPageBreak/>
        <w:t>Cheng, C.-f., 2008. Qi wu lan yi zhi yu she nei yi zhi chu tu bo li zhu de xiang guan yan jiu [studies of glass beads excavated from kivulan and shenei site, Taiwan] (Master’s thesis).</w:t>
      </w:r>
    </w:p>
    <w:p w:rsidR="001939FB" w:rsidRDefault="00AC21B6">
      <w:pPr>
        <w:pStyle w:val="BodyText"/>
      </w:pPr>
      <w:bookmarkStart w:id="30" w:name="ref-Chiu2004"/>
      <w:bookmarkEnd w:id="29"/>
      <w:r>
        <w:t>Chiu, H.-l., 2004. Investigations of mortuary behaviors and cultural change of the kivulan site in i-lan county, Taiwan (Dissertation).</w:t>
      </w:r>
    </w:p>
    <w:p w:rsidR="001939FB" w:rsidRDefault="00AC21B6">
      <w:pPr>
        <w:pStyle w:val="BodyText"/>
      </w:pPr>
      <w:bookmarkStart w:id="31" w:name="ref-Claude2008"/>
      <w:bookmarkEnd w:id="30"/>
      <w:r>
        <w:t>Claude, J., 2008. Morphometrics with r. Springer Science &amp; Business Media.</w:t>
      </w:r>
    </w:p>
    <w:p w:rsidR="001939FB" w:rsidRDefault="00AC21B6">
      <w:pPr>
        <w:pStyle w:val="BodyText"/>
      </w:pPr>
      <w:bookmarkStart w:id="32" w:name="ref-Costin2001"/>
      <w:bookmarkEnd w:id="31"/>
      <w:r>
        <w:t>Costin, C.L., 2001. Craft production systems, in: Archaeology at the Millennium. Springer, pp. 273–327.</w:t>
      </w:r>
    </w:p>
    <w:p w:rsidR="001939FB" w:rsidRDefault="00AC21B6">
      <w:pPr>
        <w:pStyle w:val="BodyText"/>
      </w:pPr>
      <w:bookmarkStart w:id="33" w:name="ref-Costin1991"/>
      <w:bookmarkEnd w:id="32"/>
      <w:r>
        <w:t>Costin, C.L., 1991. Craft specialization: Issues in defining, documenting, and explaining the organization of production. Archaeological method and theory 1–56.</w:t>
      </w:r>
    </w:p>
    <w:p w:rsidR="001939FB" w:rsidRDefault="00AC21B6">
      <w:pPr>
        <w:pStyle w:val="BodyText"/>
      </w:pPr>
      <w:bookmarkStart w:id="34" w:name="ref-Dietler2015"/>
      <w:bookmarkEnd w:id="33"/>
      <w:r>
        <w:t>Dietler, M., 2015. Archaeologies of colonialism: Consumption, entanglement, and violence in ancient mediterranean france. Univ of California Press.</w:t>
      </w:r>
    </w:p>
    <w:p w:rsidR="001939FB" w:rsidRDefault="00AC21B6">
      <w:pPr>
        <w:pStyle w:val="BodyText"/>
      </w:pPr>
      <w:bookmarkStart w:id="35" w:name="ref-Dietler2005"/>
      <w:bookmarkEnd w:id="34"/>
      <w:r>
        <w:t>Dietler, M., 2005. The archaeology of colonization and the colonization of archaeology: Theoretical challenges from an ancient mediterranean colonial encounter, in: Stein, G. (Ed.), The Archaeology of Colonial Encounters: Comparative Perspectives. NM: Sch. Am. Res. Press, Santa Fe, pp. 33–68.</w:t>
      </w:r>
    </w:p>
    <w:p w:rsidR="001939FB" w:rsidRDefault="00AC21B6">
      <w:pPr>
        <w:pStyle w:val="BodyText"/>
      </w:pPr>
      <w:bookmarkStart w:id="36" w:name="ref-Dietler1997"/>
      <w:bookmarkEnd w:id="35"/>
      <w:r>
        <w:t>Dietler, M., 1997. The iron age in mediterranean france: Colonial encounters, entanglements, and transformations. Journal of World Prehistory 11, 269–358.</w:t>
      </w:r>
    </w:p>
    <w:p w:rsidR="001939FB" w:rsidRDefault="00AC21B6">
      <w:pPr>
        <w:pStyle w:val="BodyText"/>
      </w:pPr>
      <w:bookmarkStart w:id="37" w:name="ref-Eerkens2000"/>
      <w:bookmarkEnd w:id="36"/>
      <w:r>
        <w:t>Eerkens, J.W., 2000. Practice makes within 5% of perfect: Visual perception, motor skills, and memory in artifact variation. Current Anthropology 41, 663–668.</w:t>
      </w:r>
    </w:p>
    <w:p w:rsidR="001939FB" w:rsidRDefault="00AC21B6">
      <w:pPr>
        <w:pStyle w:val="BodyText"/>
      </w:pPr>
      <w:bookmarkStart w:id="38" w:name="ref-Eerkens2001"/>
      <w:bookmarkEnd w:id="37"/>
      <w:r>
        <w:t>Eerkens, J.W., Bettinger, R.L., 2001. Techniques for assessing standardization in artifact assemblages: Can we scale material variability? American Antiquity 66, 493–504.</w:t>
      </w:r>
    </w:p>
    <w:p w:rsidR="001939FB" w:rsidRDefault="00AC21B6">
      <w:pPr>
        <w:pStyle w:val="BodyText"/>
      </w:pPr>
      <w:bookmarkStart w:id="39" w:name="ref-Evershed2008"/>
      <w:bookmarkEnd w:id="38"/>
      <w:r>
        <w:t>Evershed, R.P., 2008. Organic residue analysis in archaeology: The archaeological biomarker revolution. Archaeometry 50, 895–924.</w:t>
      </w:r>
    </w:p>
    <w:p w:rsidR="001939FB" w:rsidRDefault="00AC21B6">
      <w:pPr>
        <w:pStyle w:val="BodyText"/>
      </w:pPr>
      <w:bookmarkStart w:id="40" w:name="ref-Feinman2010"/>
      <w:bookmarkEnd w:id="39"/>
      <w:r>
        <w:t>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p w:rsidR="001939FB" w:rsidRDefault="00AC21B6">
      <w:pPr>
        <w:pStyle w:val="BodyText"/>
      </w:pPr>
      <w:bookmarkStart w:id="41" w:name="ref-Feinman2000"/>
      <w:bookmarkEnd w:id="40"/>
      <w:r>
        <w:t>Feinman, G.M., 2000. Corporate/network: New perspectives on models of political action and the puebloan southwest. Social Theory in Archaeology, University of Utah Press, Salt Lake City 31–51.</w:t>
      </w:r>
    </w:p>
    <w:p w:rsidR="001939FB" w:rsidRDefault="00AC21B6">
      <w:pPr>
        <w:pStyle w:val="BodyText"/>
      </w:pPr>
      <w:bookmarkStart w:id="42" w:name="ref-Feinman1995"/>
      <w:bookmarkEnd w:id="41"/>
      <w:r>
        <w:t>Feinman, G.M., 1995. The emergence of inequality: A focus on strategies and processes, in: Price, T.D., Feinman, G.M. (Eds.), Foundations of Social Inequality. Springer Science &amp; Business Media, New York: Plenum Press, pp. 255–275.</w:t>
      </w:r>
    </w:p>
    <w:p w:rsidR="001939FB" w:rsidRDefault="00AC21B6">
      <w:pPr>
        <w:pStyle w:val="BodyText"/>
      </w:pPr>
      <w:bookmarkStart w:id="43" w:name="ref-Feinman2000political"/>
      <w:bookmarkEnd w:id="42"/>
      <w:r>
        <w:t>Feinman, G.M., Lightfoot, K.G., Upham, S., 2000. Political hierarchies and organizational strategies in the puebloan southwest. American Antiquity 65, 449–470.</w:t>
      </w:r>
    </w:p>
    <w:p w:rsidR="001939FB" w:rsidRDefault="00AC21B6">
      <w:pPr>
        <w:pStyle w:val="BodyText"/>
      </w:pPr>
      <w:bookmarkStart w:id="44" w:name="ref-Feltz1996"/>
      <w:bookmarkEnd w:id="43"/>
      <w:r>
        <w:lastRenderedPageBreak/>
        <w:t>Feltz, C.J., Miller, G.E., 1996. An asymptotic test for the equality of coefficients of variation from k populations. Statistics in medicine 15, 647–658.</w:t>
      </w:r>
    </w:p>
    <w:p w:rsidR="001939FB" w:rsidRDefault="00AC21B6">
      <w:pPr>
        <w:pStyle w:val="BodyText"/>
      </w:pPr>
      <w:bookmarkStart w:id="45" w:name="ref-Fox2015"/>
      <w:bookmarkEnd w:id="44"/>
      <w:r>
        <w:t>Fox, A.N., 2015. A study of late woodland projectile point typology in new york using elliptical fourier outline analysis. Journal of Archaeological Science: Reports 4, 501–509.</w:t>
      </w:r>
    </w:p>
    <w:p w:rsidR="001939FB" w:rsidRDefault="00AC21B6">
      <w:pPr>
        <w:pStyle w:val="BodyText"/>
      </w:pPr>
      <w:bookmarkStart w:id="46" w:name="ref-Given2004"/>
      <w:bookmarkEnd w:id="45"/>
      <w:r>
        <w:t>Given, M., 2004. The archaeology of the colonized. Routledge, London; New York.</w:t>
      </w:r>
    </w:p>
    <w:p w:rsidR="001939FB" w:rsidRDefault="00AC21B6">
      <w:pPr>
        <w:pStyle w:val="BodyText"/>
      </w:pPr>
      <w:bookmarkStart w:id="47" w:name="ref-Gunz2013"/>
      <w:bookmarkEnd w:id="46"/>
      <w:r>
        <w:t>Gunz, P., Mitteroecker, P., 2013. Semilandmarks: A method for quantifying curves and surfaces. Hystrix, the Italian Journal of Mammalogy 24, 103–109.</w:t>
      </w:r>
    </w:p>
    <w:p w:rsidR="001939FB" w:rsidRDefault="00AC21B6">
      <w:pPr>
        <w:pStyle w:val="BodyText"/>
      </w:pPr>
      <w:bookmarkStart w:id="48" w:name="ref-Haruda2019"/>
      <w:bookmarkEnd w:id="47"/>
      <w:r>
        <w:t>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p w:rsidR="001939FB" w:rsidRDefault="00AC21B6">
      <w:pPr>
        <w:pStyle w:val="BodyText"/>
      </w:pPr>
      <w:bookmarkStart w:id="49" w:name="ref-Hoggard2017"/>
      <w:bookmarkEnd w:id="48"/>
      <w:r>
        <w:t>Hoggard, C.S., 2017. Considering the function of middle palaeolithic blade technologies through an examination of experimental blade edge angles. Journal of Archaeological Science: Reports 16, 233–239.</w:t>
      </w:r>
    </w:p>
    <w:p w:rsidR="001939FB" w:rsidRDefault="00AC21B6">
      <w:pPr>
        <w:pStyle w:val="BodyText"/>
      </w:pPr>
      <w:bookmarkStart w:id="50" w:name="ref-Hoggard2019"/>
      <w:bookmarkEnd w:id="49"/>
      <w:r>
        <w:t>Hoggard, C.S., McNabb, J., Cole, J.N., 2019. The application of elliptic fourier analysis in understanding biface shape and symmetry through the british acheulean. Journal of Paleolithic Archaeology 2, 115–133.</w:t>
      </w:r>
    </w:p>
    <w:p w:rsidR="001939FB" w:rsidRDefault="00AC21B6">
      <w:pPr>
        <w:pStyle w:val="BodyText"/>
      </w:pPr>
      <w:bookmarkStart w:id="51" w:name="ref-Hsieh2009"/>
      <w:bookmarkEnd w:id="50"/>
      <w:r>
        <w:t>Hsieh, E., 2009. Yi lan qi wu lan yi zhi chu tu wai lai tao ci qi zhi xiang guan yan jiu [the study of imported ceramics excavated at the ki-wu-lan site, i-lan] (Master’s thesis).</w:t>
      </w:r>
    </w:p>
    <w:p w:rsidR="001939FB" w:rsidRDefault="00AC21B6">
      <w:pPr>
        <w:pStyle w:val="BodyText"/>
      </w:pPr>
      <w:bookmarkStart w:id="52" w:name="ref-Iovictua2010"/>
      <w:bookmarkEnd w:id="51"/>
      <w:r>
        <w:t>Ioviţă, R., 2010. Comparing stone tool resharpening trajectories with the aid of elliptical fourier analysis, in: New Perspectives on Old Stones. Springer, pp. 235–253.</w:t>
      </w:r>
    </w:p>
    <w:p w:rsidR="001939FB" w:rsidRDefault="00AC21B6">
      <w:pPr>
        <w:pStyle w:val="BodyText"/>
      </w:pPr>
      <w:bookmarkStart w:id="53" w:name="ref-Junker1999"/>
      <w:bookmarkEnd w:id="52"/>
      <w:r>
        <w:t>Junker, L.L., 1999. Raiding, trading, and feasting: The political economy of philippine chiefdoms. University of Hawaii Press.</w:t>
      </w:r>
    </w:p>
    <w:p w:rsidR="001939FB" w:rsidRDefault="00AC21B6">
      <w:pPr>
        <w:pStyle w:val="BodyText"/>
      </w:pPr>
      <w:bookmarkStart w:id="54" w:name="ref-Junker1993"/>
      <w:bookmarkEnd w:id="53"/>
      <w:r>
        <w:t>Junker, L.L., 1993. Craft goods specialization and prestige goods exchange in philippine chiefdoms of the fifteenth and sixteenth centuries. Asian Perspectives 1–35.</w:t>
      </w:r>
    </w:p>
    <w:p w:rsidR="001939FB" w:rsidRDefault="00AC21B6">
      <w:pPr>
        <w:pStyle w:val="BodyText"/>
      </w:pPr>
      <w:bookmarkStart w:id="55" w:name="ref-Ke1993"/>
      <w:bookmarkEnd w:id="54"/>
      <w:r>
        <w:t>Ke, P., 1993. Kavalan zhi lue [record of kavalen]. Historical Records Committee of Taiwan Provincial Government, Nantou.</w:t>
      </w:r>
    </w:p>
    <w:p w:rsidR="001939FB" w:rsidRDefault="00AC21B6">
      <w:pPr>
        <w:pStyle w:val="BodyText"/>
      </w:pPr>
      <w:bookmarkStart w:id="56" w:name="ref-Krishnamoorthy2014"/>
      <w:bookmarkEnd w:id="55"/>
      <w:r>
        <w:t>Krishnamoorthy, K., Lee, M., 2014. Improved tests for the equality of normal coefficients of variation. Computational Statistics 29, 215–232.</w:t>
      </w:r>
    </w:p>
    <w:p w:rsidR="001939FB" w:rsidRDefault="00AC21B6">
      <w:pPr>
        <w:pStyle w:val="BodyText"/>
      </w:pPr>
      <w:bookmarkStart w:id="57" w:name="ref-Kuhl1982"/>
      <w:bookmarkEnd w:id="56"/>
      <w:r>
        <w:t>Kuhl, F.P., Giardina, C.R., 1982. Elliptic fourier features of a closed contour. Computer graphics and image processing 18, 236–258.</w:t>
      </w:r>
    </w:p>
    <w:p w:rsidR="001939FB" w:rsidRDefault="00AC21B6">
      <w:pPr>
        <w:pStyle w:val="BodyText"/>
      </w:pPr>
      <w:bookmarkStart w:id="58" w:name="ref-Kwak2015"/>
      <w:bookmarkEnd w:id="57"/>
      <w:r>
        <w:t>Kwak, S., Marwick, B., 2015. What did they cook? A preliminary investigation into culinary practices and pottery use in the central part of the korean peninsula during the mid to late holocene. Journal of Indo-Pacific Archaeology 37, 25–32.</w:t>
      </w:r>
    </w:p>
    <w:p w:rsidR="001939FB" w:rsidRDefault="00AC21B6">
      <w:pPr>
        <w:pStyle w:val="BodyText"/>
      </w:pPr>
      <w:bookmarkStart w:id="59" w:name="ref-Lawing2010"/>
      <w:bookmarkEnd w:id="58"/>
      <w:r>
        <w:t>Lawing, A.M., Polly, P.D., 2010. Geometric morphometrics: Recent applications to the study of evolution and development. Journal of Zoology 280, 1–7.</w:t>
      </w:r>
    </w:p>
    <w:p w:rsidR="001939FB" w:rsidRDefault="00AC21B6">
      <w:pPr>
        <w:pStyle w:val="BodyText"/>
      </w:pPr>
      <w:bookmarkStart w:id="60" w:name="ref-Lycett2013"/>
      <w:bookmarkEnd w:id="59"/>
      <w:r>
        <w:lastRenderedPageBreak/>
        <w:t>Lycett, S.J., Cramon-Taubadel, N. von, 2013. A 3D morphometric analysis of surface geometry in levallois cores: Patterns of stability and variability across regions and their implications. Journal of Archaeological Science 40, 1508–1517.</w:t>
      </w:r>
    </w:p>
    <w:p w:rsidR="001939FB" w:rsidRDefault="00AC21B6">
      <w:pPr>
        <w:pStyle w:val="BodyText"/>
      </w:pPr>
      <w:bookmarkStart w:id="61" w:name="ref-Lycett2008"/>
      <w:bookmarkEnd w:id="60"/>
      <w:r>
        <w:t>Lycett, S.J., Gowlett, J.A., 2008. On questions surrounding the acheulean “tradition”. World Archaeology 40, 295–315.</w:t>
      </w:r>
    </w:p>
    <w:p w:rsidR="001939FB" w:rsidRDefault="00AC21B6">
      <w:pPr>
        <w:pStyle w:val="BodyText"/>
      </w:pPr>
      <w:bookmarkStart w:id="62" w:name="ref-Marwick2017"/>
      <w:bookmarkEnd w:id="61"/>
      <w:r>
        <w:t xml:space="preserve">Marwick, B., 2017. Computational reproducibility in archaeological research: Basic principles and a case study of their implementation. Journal of Archaeological Method and Theory 24, 424–450. </w:t>
      </w:r>
      <w:hyperlink r:id="rId16">
        <w:r>
          <w:rPr>
            <w:rStyle w:val="Hyperlink"/>
          </w:rPr>
          <w:t>https://doi.org/10.1007/s10816-015-9272-9</w:t>
        </w:r>
      </w:hyperlink>
    </w:p>
    <w:p w:rsidR="001939FB" w:rsidRDefault="00AC21B6">
      <w:pPr>
        <w:pStyle w:val="BodyText"/>
      </w:pPr>
      <w:bookmarkStart w:id="63" w:name="ref-Marwick2018"/>
      <w:bookmarkEnd w:id="62"/>
      <w:r>
        <w:t>Marwick, B., Boettiger, C., Mullen, L., 2018. Packaging data analytical work reproducibly using r (and friends). The American Statistician 72, 80–88.</w:t>
      </w:r>
    </w:p>
    <w:p w:rsidR="001939FB" w:rsidRDefault="00AC21B6">
      <w:pPr>
        <w:pStyle w:val="BodyText"/>
      </w:pPr>
      <w:bookmarkStart w:id="64" w:name="ref-Marwick2019"/>
      <w:bookmarkEnd w:id="63"/>
      <w:r>
        <w:t>Marwick, B., Krishnamoorthy, K., n.d. Cvequality: Tests for the equality of coefficients of variation from multiple groups.</w:t>
      </w:r>
    </w:p>
    <w:p w:rsidR="001939FB" w:rsidRDefault="00AC21B6">
      <w:pPr>
        <w:pStyle w:val="BodyText"/>
      </w:pPr>
      <w:bookmarkStart w:id="65" w:name="ref-Meloro2015"/>
      <w:bookmarkEnd w:id="64"/>
      <w:r>
        <w:t>Meloro, C., Hudson, A., Rook, L., 2015. Feeding habits of extant and fossil canids as determined by their skull geometry. Journal of Zoology 295, 178–188.</w:t>
      </w:r>
    </w:p>
    <w:p w:rsidR="001939FB" w:rsidRDefault="00AC21B6">
      <w:pPr>
        <w:pStyle w:val="BodyText"/>
      </w:pPr>
      <w:bookmarkStart w:id="66" w:name="ref-Mullins2011"/>
      <w:bookmarkEnd w:id="65"/>
      <w:r>
        <w:t>Mullins, P.R., 2011. The archaeology of consumption. Annual Review of Anthropology 40, 133–144.</w:t>
      </w:r>
    </w:p>
    <w:p w:rsidR="001939FB" w:rsidRDefault="00AC21B6">
      <w:pPr>
        <w:pStyle w:val="BodyText"/>
      </w:pPr>
      <w:bookmarkStart w:id="67" w:name="ref-Okumura2014"/>
      <w:bookmarkEnd w:id="66"/>
      <w:r>
        <w:t>Okumura, M., Araujo, A.G., 2014. Long-term cultural stability in hunter–gatherers: A case study using traditional and geometric morphometric analysis of lithic stemmed bifacial points from southern brazil. Journal of Archaeological Science 45, 59–71.</w:t>
      </w:r>
    </w:p>
    <w:p w:rsidR="001939FB" w:rsidRDefault="00AC21B6">
      <w:pPr>
        <w:pStyle w:val="BodyText"/>
      </w:pPr>
      <w:bookmarkStart w:id="68" w:name="ref-Rlanguage2019"/>
      <w:bookmarkEnd w:id="67"/>
      <w:r>
        <w:t>R Core Team, 2019. R: A language and environment for statistical computing. R Foundation for Statistical Computing, Vienna, Austria.</w:t>
      </w:r>
    </w:p>
    <w:p w:rsidR="001939FB" w:rsidRDefault="00AC21B6">
      <w:pPr>
        <w:pStyle w:val="BodyText"/>
      </w:pPr>
      <w:bookmarkStart w:id="69" w:name="ref-Rice1991"/>
      <w:bookmarkEnd w:id="68"/>
      <w:r>
        <w:t>Rice, P.M., 1991. Specialization, standardization, and diversity: A retrospective, in: Bishop, R.L., Lange, F.W. (Eds.), The Ceramic Legacy of Anna O. Shepard. University Press of Colorado Boulder, pp. 257–279.</w:t>
      </w:r>
    </w:p>
    <w:p w:rsidR="001939FB" w:rsidRDefault="00AC21B6">
      <w:pPr>
        <w:pStyle w:val="BodyText"/>
      </w:pPr>
      <w:bookmarkStart w:id="70" w:name="ref-Roux2015"/>
      <w:bookmarkEnd w:id="69"/>
      <w:r>
        <w:t>Roux, V., 2015. Standardization of ceramic assemblages: Transmission mechanisms and diffusion of morpho-functional traits across social boundaries. Journal of anthropological archaeology 40, 1–9.</w:t>
      </w:r>
    </w:p>
    <w:p w:rsidR="001939FB" w:rsidRDefault="00AC21B6">
      <w:pPr>
        <w:pStyle w:val="BodyText"/>
      </w:pPr>
      <w:bookmarkStart w:id="71" w:name="ref-Roux2003"/>
      <w:bookmarkEnd w:id="70"/>
      <w:r>
        <w:t>Roux, V., 2003. Ceramic standardization and intensity of production: Quantifying degrees of specialization. American Antiquity 68, 768–782.</w:t>
      </w:r>
    </w:p>
    <w:p w:rsidR="001939FB" w:rsidRDefault="00AC21B6">
      <w:pPr>
        <w:pStyle w:val="BodyText"/>
      </w:pPr>
      <w:bookmarkStart w:id="72" w:name="ref-Scaramelli2005"/>
      <w:bookmarkEnd w:id="71"/>
      <w:r>
        <w:t>Scaramelli, F., Scaramelli, K.T. de, 2005. The roles of material culture in the colonization of the orinoco, venezuela. Journal of Social Archaeology 5, 135–168.</w:t>
      </w:r>
    </w:p>
    <w:p w:rsidR="001939FB" w:rsidRDefault="00AC21B6">
      <w:pPr>
        <w:pStyle w:val="BodyText"/>
      </w:pPr>
      <w:bookmarkStart w:id="73" w:name="ref-Selden2019"/>
      <w:bookmarkEnd w:id="72"/>
      <w:r>
        <w:t>Selden Jr, R.Z., 2019. Ceramic morphological organisation in the southern caddo area: The clarence h. Webb collections. Journal of Cultural Heritage 35, 41–55.</w:t>
      </w:r>
    </w:p>
    <w:p w:rsidR="001939FB" w:rsidRDefault="00AC21B6">
      <w:pPr>
        <w:pStyle w:val="BodyText"/>
      </w:pPr>
      <w:bookmarkStart w:id="74" w:name="ref-Silliman2001"/>
      <w:bookmarkEnd w:id="73"/>
      <w:r>
        <w:t>Silliman, S., 2001. Agency, practical politics and the archaeology of culture contact. Journal of social archaeology 1, 190–209.</w:t>
      </w:r>
    </w:p>
    <w:p w:rsidR="001939FB" w:rsidRDefault="00AC21B6">
      <w:pPr>
        <w:pStyle w:val="BodyText"/>
      </w:pPr>
      <w:bookmarkStart w:id="75" w:name="ref-Silliman2005"/>
      <w:bookmarkEnd w:id="74"/>
      <w:r>
        <w:lastRenderedPageBreak/>
        <w:t>Silliman, S.W., 2005. Culture contact or colonialism? Challenges in the archaeology of native North America. American Antiquity 55–74.</w:t>
      </w:r>
    </w:p>
    <w:p w:rsidR="007B26C3" w:rsidRDefault="007B26C3">
      <w:pPr>
        <w:pStyle w:val="BodyText"/>
      </w:pPr>
      <w:r w:rsidRPr="007B26C3">
        <w:t xml:space="preserve">Silverman, B. W. (1986). Density estimation for statistics and data analysis. </w:t>
      </w:r>
      <w:bookmarkStart w:id="76" w:name="ref-Slice2007"/>
      <w:bookmarkEnd w:id="75"/>
      <w:r w:rsidRPr="007B26C3">
        <w:t xml:space="preserve">Chapman &amp; Hall, London. </w:t>
      </w:r>
      <w:bookmarkStart w:id="77" w:name="ref-Stark1995"/>
      <w:bookmarkEnd w:id="76"/>
    </w:p>
    <w:p w:rsidR="001939FB" w:rsidRDefault="00AC21B6">
      <w:pPr>
        <w:pStyle w:val="BodyText"/>
      </w:pPr>
      <w:r>
        <w:t>Stark, B.L., 1995. Problems in analysis of standardization and specialization in pottery, in: Mills, B.J., Crown, P.L. (Eds.), Ceramic Production in the American Southwest. The University of Arizona Press, Tucson, pp. 231–267.</w:t>
      </w:r>
    </w:p>
    <w:p w:rsidR="001939FB" w:rsidRDefault="00AC21B6">
      <w:pPr>
        <w:pStyle w:val="BodyText"/>
      </w:pPr>
      <w:bookmarkStart w:id="78" w:name="ref-Tite1999"/>
      <w:bookmarkEnd w:id="77"/>
      <w:r>
        <w:t>Tite, M.S., 1999. Pottery production, distribution, and consumption—the contribution of the physical sciences. Journal of archaeological method and theory 6, 181–233.</w:t>
      </w:r>
    </w:p>
    <w:p w:rsidR="001939FB" w:rsidRDefault="00AC21B6">
      <w:pPr>
        <w:pStyle w:val="BodyText"/>
      </w:pPr>
      <w:bookmarkStart w:id="79" w:name="ref-Topi2018"/>
      <w:bookmarkEnd w:id="78"/>
      <w:r>
        <w:t>Topi, J.R., VanPool, C.S., Waller, K.D., VanPool, T.L., 2018. The economy of specialized ceramic craft production in the casas grandes region. Latin American Antiquity 29, 122–142.</w:t>
      </w:r>
    </w:p>
    <w:p w:rsidR="001939FB" w:rsidRDefault="00AC21B6">
      <w:pPr>
        <w:pStyle w:val="BodyText"/>
      </w:pPr>
      <w:bookmarkStart w:id="80" w:name="ref-TorrenceandClarke2000"/>
      <w:bookmarkEnd w:id="79"/>
      <w:r>
        <w:t>Torrence, R., Clarke, A., 2000. Negotiating difference: Practice makes theory for contemporary archaeology in Oceania, in: Torrence, R., Clarke, A. (Eds.), The Archaeology of Difference : Negotiating Cross-Cultural Engagements in Oceania. Routledge, London; New York, pp. 1–31.</w:t>
      </w:r>
    </w:p>
    <w:p w:rsidR="001939FB" w:rsidRDefault="00AC21B6">
      <w:pPr>
        <w:pStyle w:val="BodyText"/>
      </w:pPr>
      <w:bookmarkStart w:id="81" w:name="ref-Trabert2017"/>
      <w:bookmarkEnd w:id="80"/>
      <w:r>
        <w:t>Trabert, S., 2017. Considering the indirect effects of colonialism: Example from a great plains middle ground. Journal of Anthropological Archaeology 48, 17–27.</w:t>
      </w:r>
    </w:p>
    <w:p w:rsidR="001939FB" w:rsidRDefault="00AC21B6">
      <w:pPr>
        <w:pStyle w:val="BodyText"/>
      </w:pPr>
      <w:bookmarkStart w:id="82" w:name="ref-Voss2008"/>
      <w:bookmarkEnd w:id="81"/>
      <w:r>
        <w:t>Voss, B.L., 2008. Between the household and the world system: Social collectivity and community agency in overseas chinese archaeology. Historical Archaeology 37–52.</w:t>
      </w:r>
    </w:p>
    <w:p w:rsidR="001939FB" w:rsidRDefault="00AC21B6">
      <w:pPr>
        <w:pStyle w:val="BodyText"/>
      </w:pPr>
      <w:bookmarkStart w:id="83" w:name="ref-Voss2005"/>
      <w:bookmarkEnd w:id="82"/>
      <w:r>
        <w:t>Voss, B.L., 2005. From casta to californio: Social identity and the archaeology of culture contact. American Anthropologist 107, 461–474.</w:t>
      </w:r>
    </w:p>
    <w:p w:rsidR="001939FB" w:rsidRDefault="00AC21B6">
      <w:pPr>
        <w:pStyle w:val="BodyText"/>
      </w:pPr>
      <w:bookmarkStart w:id="84" w:name="ref-Wang2011"/>
      <w:bookmarkEnd w:id="83"/>
      <w:r>
        <w:t>Wang, L.-Y., 2011. Yi lan qi wu lan yi zhi chu tu zhuang shi pin zhi xiang guan yan jiu [a research of ornaments excavated at ki-wu-lan site, i-lan] (Master’s thesis).</w:t>
      </w:r>
    </w:p>
    <w:p w:rsidR="001939FB" w:rsidRDefault="00AC21B6">
      <w:pPr>
        <w:pStyle w:val="BodyText"/>
      </w:pPr>
      <w:bookmarkStart w:id="85" w:name="ref-Wilczek2014"/>
      <w:bookmarkEnd w:id="84"/>
      <w:r>
        <w:t>Wilczek, J., Monna, F., Barral, P., Burlet, L., Chateau, C., Navarro, N., 2014. Morphometrics of second iron age ceramics–strengths, weaknesses, and comparison with traditional typology. Journal of archaeological science 50, 39–50.</w:t>
      </w:r>
    </w:p>
    <w:p w:rsidR="00F75F55" w:rsidRDefault="00AC21B6">
      <w:pPr>
        <w:pStyle w:val="BodyText"/>
      </w:pPr>
      <w:bookmarkStart w:id="86" w:name="ref-Wu2019"/>
      <w:bookmarkEnd w:id="85"/>
      <w:r>
        <w:t>Wu, X., Hein, A., Zhang, X., Jin, Z., Wei, D., Huang, F., Yin, X., 2019. Resettlement strategies and han imperial expansion into southwest china: A multimethod approach to colonialism and migration. Archaeological and Anthropological Sciences 11, 6751–6781.</w:t>
      </w:r>
    </w:p>
    <w:p w:rsidR="001939FB" w:rsidRDefault="001939FB">
      <w:pPr>
        <w:pStyle w:val="Heading5"/>
      </w:pPr>
      <w:bookmarkStart w:id="87" w:name="_GoBack"/>
      <w:bookmarkEnd w:id="14"/>
      <w:bookmarkEnd w:id="86"/>
      <w:bookmarkEnd w:id="87"/>
    </w:p>
    <w:sectPr w:rsidR="001939FB"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FB9" w:rsidRDefault="00166FB9">
      <w:pPr>
        <w:spacing w:after="0"/>
      </w:pPr>
      <w:r>
        <w:separator/>
      </w:r>
    </w:p>
  </w:endnote>
  <w:endnote w:type="continuationSeparator" w:id="0">
    <w:p w:rsidR="00166FB9" w:rsidRDefault="00166F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FB9" w:rsidRDefault="00166FB9">
      <w:r>
        <w:separator/>
      </w:r>
    </w:p>
  </w:footnote>
  <w:footnote w:type="continuationSeparator" w:id="0">
    <w:p w:rsidR="00166FB9" w:rsidRDefault="00166F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6B26EB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56BE"/>
    <w:rsid w:val="00166FB9"/>
    <w:rsid w:val="001939FB"/>
    <w:rsid w:val="00247C8E"/>
    <w:rsid w:val="004C17C9"/>
    <w:rsid w:val="004E29B3"/>
    <w:rsid w:val="004F39E8"/>
    <w:rsid w:val="00502DCA"/>
    <w:rsid w:val="00590D07"/>
    <w:rsid w:val="00682BD3"/>
    <w:rsid w:val="00781872"/>
    <w:rsid w:val="00784D58"/>
    <w:rsid w:val="007873BB"/>
    <w:rsid w:val="007B26C3"/>
    <w:rsid w:val="008342B3"/>
    <w:rsid w:val="008D6863"/>
    <w:rsid w:val="00950DA1"/>
    <w:rsid w:val="00A24A8A"/>
    <w:rsid w:val="00A757DC"/>
    <w:rsid w:val="00AB3551"/>
    <w:rsid w:val="00AC21B6"/>
    <w:rsid w:val="00B57C83"/>
    <w:rsid w:val="00B86B75"/>
    <w:rsid w:val="00B929FB"/>
    <w:rsid w:val="00BC48D5"/>
    <w:rsid w:val="00BF5C59"/>
    <w:rsid w:val="00C13381"/>
    <w:rsid w:val="00C36279"/>
    <w:rsid w:val="00D032FB"/>
    <w:rsid w:val="00DD1119"/>
    <w:rsid w:val="00E315A3"/>
    <w:rsid w:val="00EE367D"/>
    <w:rsid w:val="00F75F5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A9BEC"/>
  <w15:docId w15:val="{BCCEB681-CA03-F645-8E84-B68093F24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paragraph" w:styleId="BalloonText">
    <w:name w:val="Balloon Text"/>
    <w:basedOn w:val="Normal"/>
    <w:link w:val="BalloonTextChar"/>
    <w:rsid w:val="000356B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rsid w:val="000356B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10816-015-92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605/OSF.IO/ABVGF"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inkscape.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21</Pages>
  <Words>6910</Words>
  <Characters>39387</Characters>
  <Application>Microsoft Office Word</Application>
  <DocSecurity>0</DocSecurity>
  <Lines>328</Lines>
  <Paragraphs>92</Paragraphs>
  <ScaleCrop>false</ScaleCrop>
  <Company>University of Wollongong</Company>
  <LinksUpToDate>false</LinksUpToDate>
  <CharactersWithSpaces>46205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cp:lastModifiedBy>Li-Ying Wang</cp:lastModifiedBy>
  <cp:revision>24</cp:revision>
  <dcterms:created xsi:type="dcterms:W3CDTF">2020-04-24T07:00:00Z</dcterms:created>
  <dcterms:modified xsi:type="dcterms:W3CDTF">2020-04-25T01:08:00Z</dcterms:modified>
</cp:coreProperties>
</file>