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24</w:t>
      </w:r>
      <w:r>
        <w:t xml:space="preserve"> </w:t>
      </w:r>
      <w:r>
        <w:t xml:space="preserve">July,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that can be specified on a coordinate system. Landmark-based morphometrics are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clear distinct components</w:t>
      </w:r>
      <w:r>
        <w:t xml:space="preserve"> </w:t>
      </w:r>
      <w:r>
        <w:t xml:space="preserve">(Selden Jr, 2019; Topi et al., 2017)</w:t>
      </w:r>
      <w:r>
        <w:t xml:space="preserve">. With univariate or multivariate statistics for shape data generated by GMM, the application to artifacts can answer research questions related to topological evolution or variations in assemblages to define groups</w:t>
      </w:r>
      <w:r>
        <w:t xml:space="preserve"> </w:t>
      </w:r>
      <w:r>
        <w:t xml:space="preserve">(</w:t>
      </w:r>
      <w:r>
        <w:rPr>
          <w:b/>
        </w:rPr>
        <w:t xml:space="preserve">???</w:t>
      </w:r>
      <w:r>
        <w:t xml:space="preserve">; Doyon, 2019; Eren et al., 2015; Perez, 2007; Selden et al., 2018)</w:t>
      </w:r>
      <w:r>
        <w:t xml:space="preserve">. A common procedure is using dimensional reduction techniques, such as principal components analysis or canonical variate analysis, to capture the essential features that can represent the overall shape. This enables the identification of clustered analytical groups through the visualization of results, followed by statistical tests to robustly distinguish them.</w:t>
      </w:r>
    </w:p>
    <w:p>
      <w:pPr>
        <w:pStyle w:val="BodyText"/>
      </w:pPr>
      <w:r>
        <w:t xml:space="preserve">One of the interesting topics is to explore whether and why there is shape standardization over time, or between assemblages across geographical areas. It is common to use multivariate analysis on shape variables or coefficient of variations on associated metric data to discuss standardization, especially for lithic assemblages. For example,</w:t>
      </w:r>
      <w:r>
        <w:t xml:space="preserve"> </w:t>
      </w:r>
      <w:r>
        <w:t xml:space="preserve">Archer et al. (2015)</w:t>
      </w:r>
      <w:r>
        <w:t xml:space="preserve">’s case study of stone points in Southern Africa suggests an increase in shape standardization over time that may relate to a maintenance of finished points. With considerations of a set of metric data,</w:t>
      </w:r>
      <w:r>
        <w:t xml:space="preserve"> </w:t>
      </w:r>
      <w:r>
        <w:t xml:space="preserve">Buchanan et al. (2018)</w:t>
      </w:r>
      <w:r>
        <w:t xml:space="preserve">;</w:t>
      </w:r>
      <w:r>
        <w:t xml:space="preserve"> </w:t>
      </w:r>
      <w:r>
        <w:t xml:space="preserve">Buchanan et al. (2019)</w:t>
      </w:r>
      <w:r>
        <w:t xml:space="preserve"> </w:t>
      </w:r>
      <w:r>
        <w:t xml:space="preserve">identified a more uniform base-shape of Folsom points than Clovis points across the western US, which indicates the specific function for hafting. Similarly,</w:t>
      </w:r>
      <w:r>
        <w:t xml:space="preserve"> </w:t>
      </w:r>
      <w:r>
        <w:t xml:space="preserve">Smith and DeWitt (2016)</w:t>
      </w:r>
      <w:r>
        <w:t xml:space="preserve"> </w:t>
      </w:r>
      <w:r>
        <w:t xml:space="preserve">suggested that the humongous fluted point base in Alaska and northern Yukon is a risk management strategy to ensure the ease of replacement during long-distance travel. Other factor, such as low level of cultural innovation in a small group could also lead to an increase in standardization of point shapes</w:t>
      </w:r>
      <w:r>
        <w:t xml:space="preserve"> </w:t>
      </w:r>
      <w:r>
        <w:t xml:space="preserve">(Okumura and Araujo, 2014)</w:t>
      </w:r>
      <w:r>
        <w:t xml:space="preserve">. For ceramics,</w:t>
      </w:r>
      <w:r>
        <w:t xml:space="preserve"> </w:t>
      </w:r>
      <w:r>
        <w:t xml:space="preserve">Topi et al. (2017)</w:t>
      </w:r>
      <w:r>
        <w:t xml:space="preserve"> </w:t>
      </w:r>
      <w:r>
        <w:t xml:space="preserve">found a standardized vessel shape from the Casas Grandes culture in northwest Mexico using coefficient of variations for the positions of semi-landmarks across shape groups. They suggest the standardization might indicate the pretense of specialized producers reflecting social complexity. Another way to examine standardization is using morphological disparity to perform pairwise comparison of correlations between shape groups</w:t>
      </w:r>
      <w:r>
        <w:t xml:space="preserve"> </w:t>
      </w:r>
      <w:r>
        <w:t xml:space="preserve">(Wills, 2001)</w:t>
      </w:r>
      <w:r>
        <w:t xml:space="preserve">. In this manner,</w:t>
      </w:r>
      <w:r>
        <w:t xml:space="preserve"> </w:t>
      </w:r>
      <w:r>
        <w:t xml:space="preserve">Selden Jr (2018)</w:t>
      </w:r>
      <w:r>
        <w:t xml:space="preserve">;</w:t>
      </w:r>
      <w:r>
        <w:t xml:space="preserve"> </w:t>
      </w:r>
      <w:r>
        <w:t xml:space="preserve">Selden Jr (2019)</w:t>
      </w:r>
      <w:r>
        <w:t xml:space="preserve"> </w:t>
      </w:r>
      <w:r>
        <w:t xml:space="preserve">examined Caddo ceramics in northeast Texas region and found a gradual shape standardization over time that provides a basis for further discussion of craft specialization or group identity. Similar applications to bifaces in central Texas presented the evidence of grater diversity in morphology</w:t>
      </w:r>
      <w:r>
        <w:t xml:space="preserve"> </w:t>
      </w:r>
      <w:r>
        <w:t xml:space="preserve">(Selden Jr et al., 2020)</w:t>
      </w:r>
      <w:r>
        <w:t xml:space="preserve">. More other applications, such as cranial deformation, demonstrate that landmark approach with multivariate analyses on shape variances or symmetry is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 in archaeology, a key limitation is that landmarks may be difficult to reproducibly locate for structures that are mostly or entirely curves if not mathematically-defined. In those cases, outline approach, such as Elliptic Fourier Analysis (EFA), is a better mean for assessing morphological variation in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To be specific,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EFA in archaeology was</w:t>
      </w:r>
      <w:r>
        <w:t xml:space="preserve"> </w:t>
      </w:r>
      <w:r>
        <w:t xml:space="preserve">Gero and Mazzullo (1984)</w:t>
      </w:r>
      <w:r>
        <w:t xml:space="preserve">’s study of lithic flakes in Peru that suggests the changes in forms from a more angular to rounded shape over time. Later,</w:t>
      </w:r>
      <w:r>
        <w:t xml:space="preserve"> </w:t>
      </w:r>
      <w:r>
        <w:t xml:space="preserve">Saragusti et al. (2005)</w:t>
      </w:r>
      <w:r>
        <w:t xml:space="preserve"> </w:t>
      </w:r>
      <w:r>
        <w:t xml:space="preserve">introduced several functions for the further calculation of the specific shape attributes, including symmetry, roughness, and deformation, which demonstrates the potential for analysis of curves. To compare resharpening trajectories in the European Middle Paleolithic stone tools,</w:t>
      </w:r>
      <w:r>
        <w:t xml:space="preserve"> </w:t>
      </w:r>
      <w:r>
        <w:t xml:space="preserve">Ioviţă (2009)</w:t>
      </w:r>
      <w:r>
        <w:t xml:space="preserve"> </w:t>
      </w:r>
      <w:r>
        <w:t xml:space="preserve">presented a protocol from outline digitization to EFA, with considerations of size using multivariate linear regression. More recent applications to stone artifacts seek to answer questions about topological classification of Late Woodland points</w:t>
      </w:r>
      <w:r>
        <w:t xml:space="preserve"> </w:t>
      </w:r>
      <w:r>
        <w:t xml:space="preserve">(Fox, 2015)</w:t>
      </w:r>
      <w:r>
        <w:t xml:space="preserve">, cultural taxonomies for the European Late Palaeolithic</w:t>
      </w:r>
      <w:r>
        <w:t xml:space="preserve"> </w:t>
      </w:r>
      <w:r>
        <w:t xml:space="preserve">(Ivanovaitė et al., 2020)</w:t>
      </w:r>
      <w:r>
        <w:t xml:space="preserve">, and shape and symmetry standardization of British Acheulean</w:t>
      </w:r>
      <w:r>
        <w:t xml:space="preserve"> </w:t>
      </w:r>
      <w:r>
        <w:t xml:space="preserve">(Hoggard et al., 2019)</w:t>
      </w:r>
      <w:r>
        <w:t xml:space="preserve">.</w:t>
      </w:r>
    </w:p>
    <w:p>
      <w:pPr>
        <w:pStyle w:val="BodyText"/>
      </w:pPr>
      <w:r>
        <w:t xml:space="preserve">The EFA applications for ceramics is rare, however, this approach is promising for answering questions related to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of using EFA is because there is no sufficient landmarks could be identified straightforwardly due to the globular body of ceramics.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We identified these phases based on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indicate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of range from 500 to 1300 microns. In general, the globular vessel fabric presents a mixture of fine, rounded argillite with a small amounts of rounded metasandstone and rounded to sub-angular monocrystalline quartz. This composition is consistent with the mineralogical composition of local raw materials found in the Yilan Plain</w:t>
      </w:r>
      <w:r>
        <w:t xml:space="preserve"> </w:t>
      </w:r>
      <w:r>
        <w:t xml:space="preserve">(Chen, 2016)</w:t>
      </w:r>
      <w:r>
        <w:t xml:space="preserve">. There are no substantial changes in the inclusions over time, indicating continuity in pottery fabric composition across the three periods.</w:t>
      </w:r>
      <w:r>
        <w:t xml:space="preserve"> </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these were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0.0374</w:t>
            </w:r>
          </w:p>
        </w:tc>
        <w:tc>
          <w:p>
            <w:pPr>
              <w:pStyle w:val="Compact"/>
              <w:jc w:val="right"/>
            </w:pPr>
            <w:r>
              <w:t xml:space="preserve">0.8467</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8.4473</w:t>
            </w:r>
          </w:p>
        </w:tc>
        <w:tc>
          <w:p>
            <w:pPr>
              <w:pStyle w:val="Compact"/>
              <w:jc w:val="right"/>
            </w:pPr>
            <w:r>
              <w:t xml:space="preserve">0.0037</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7.4192</w:t>
            </w:r>
          </w:p>
        </w:tc>
        <w:tc>
          <w:p>
            <w:pPr>
              <w:pStyle w:val="Compact"/>
              <w:jc w:val="right"/>
            </w:pPr>
            <w:r>
              <w:t xml:space="preserve">0.0065</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0.0256</w:t>
            </w:r>
          </w:p>
        </w:tc>
        <w:tc>
          <w:p>
            <w:pPr>
              <w:pStyle w:val="Compact"/>
              <w:jc w:val="right"/>
            </w:pPr>
            <w:r>
              <w:t xml:space="preserve">0.8729</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0.2347</w:t>
            </w:r>
          </w:p>
        </w:tc>
        <w:tc>
          <w:p>
            <w:pPr>
              <w:pStyle w:val="Compact"/>
              <w:jc w:val="right"/>
            </w:pPr>
            <w:r>
              <w:t xml:space="preserve">0.6280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0.0655</w:t>
            </w:r>
          </w:p>
        </w:tc>
        <w:tc>
          <w:p>
            <w:pPr>
              <w:pStyle w:val="Compact"/>
              <w:jc w:val="right"/>
            </w:pPr>
            <w:r>
              <w:t xml:space="preserve">0.7980</w:t>
            </w:r>
          </w:p>
        </w:tc>
        <w:tc>
          <w:p>
            <w:pPr>
              <w:pStyle w:val="Compact"/>
              <w:jc w:val="left"/>
            </w:pPr>
            <w:r>
              <w:t xml:space="preserve">Chinese Contact vs Post-European</w:t>
            </w:r>
          </w:p>
        </w:tc>
      </w:tr>
    </w:tbl>
    <w:p>
      <w:pPr>
        <w:pStyle w:val="BodyText"/>
      </w:pPr>
      <w:r>
        <w:t xml:space="preserve">We also conducted size analysis by examining the body diameter of the vessels to explore any differences in vessel form reflected by size and shape. Body diameter is a suitable metric measurement to represent size for ceramics since it is associated with volume as a utilitarian function, and could present differences in the situation of similar shape. The body diameter of the vessels from Chinese period is larger than those from the two earlier periods, and the vessels before European contact have the smallest body diameter on average (Figure</w:t>
      </w:r>
      <w:r>
        <w:t xml:space="preserve"> </w:t>
      </w:r>
      <w:r>
        <w:t xml:space="preserve">6</w:t>
      </w:r>
      <w:r>
        <w:t xml:space="preserve">:A). It is interesting that linear regression model (Figure</w:t>
      </w:r>
      <w:r>
        <w:t xml:space="preserve"> </w:t>
      </w:r>
      <w:r>
        <w:t xml:space="preserve">6</w:t>
      </w:r>
      <w:r>
        <w:t xml:space="preserve">:B) predicts that shape, captured by PC1 and PC2, changes with size across three phases, except PC1 in Chinese period. That is, the shorter vessels are larger in body diameter according to the significant positive correlation between PC1 and size; however, the vessel from Chinese period does not show this pattern. On the contrary, the negative relationship between PC2 and size suggests that the vessels with narrower neck and mouth tend to have a larger body diameter.</w:t>
      </w:r>
    </w:p>
    <w:p>
      <w:pPr>
        <w:pStyle w:val="CaptionedFigure"/>
      </w:pPr>
      <w:r>
        <w:drawing>
          <wp:inline>
            <wp:extent cx="5943600" cy="3303243"/>
            <wp:effectExtent b="0" l="0" r="0" t="0"/>
            <wp:docPr descr="Figure 6: A: Distribution of the body diameter of the vessels across three phases. B: Scatter plots of shape variable, PC1 at the top and PC2 at the bottom, as a function of body diamater"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the vessels across three phases. B: Scatter plots of shape variable, PC1 at the top and PC2 at the bottom, as a function of body diamater</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w:t>
      </w:r>
      <w:r>
        <w:t xml:space="preserve"> </w:t>
      </w:r>
      <w:r>
        <w:t xml:space="preserve">(Cheng, 2008; Wang, 2011)</w:t>
      </w:r>
      <w:r>
        <w:t xml:space="preserve">, which hinted at the emergence of social inequality within the Indigenous community. Ceramic vessel shape standardization was examined to measure craft specialization as a proxy for social differentiation</w:t>
      </w:r>
      <w:r>
        <w:t xml:space="preserve"> </w:t>
      </w:r>
      <w:r>
        <w:t xml:space="preserve">(Costin, 2001; Junker, 1999)</w:t>
      </w:r>
      <w:r>
        <w:t xml:space="preserve">. The result of our MANOVA demonstrates a significant difference in shapes between the pre-European and Post-European periods, and between the pre-European and the Chinese periods. The average shape presents as a round body with a wide rim and neck before European contact, which shifts to a more oval-shaped body with narrower rim and neck after the European presence. Shape changes are more pronounced during the Chinese contact period. In general, vessels become shorter in height over time, leading to an oval-shaped body. Moreover, size significantly varies with shape for vessels before and after the European presence, which presents that shorter vessels with narrower opening tend to have a larger body diameter. This correlation between size and shape can be also observed during the Chinese period without the consideration of height.</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form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 It is also important to recognize that social identity might be more complicated in a colonial context, and may 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was continuous, and increasingly standardized. This might imply not only the utilitarian function, but a deliberate and increased emphasis on the local ceramic tradition, their cultural custom, as a response to intensified foreign contact</w:t>
      </w:r>
      <w:r>
        <w:t xml:space="preserve"> </w:t>
      </w:r>
      <w:r>
        <w:t xml:space="preserve">(cf. Acabado, 2017)</w:t>
      </w:r>
      <w:r>
        <w:t xml:space="preserve">.</w:t>
      </w:r>
    </w:p>
    <w:p>
      <w:pPr>
        <w:pStyle w:val="Heading1"/>
      </w:pPr>
      <w:bookmarkStart w:id="39" w:name="conclusion"/>
      <w:r>
        <w:t xml:space="preserve">Conclusion</w:t>
      </w:r>
      <w:bookmarkEnd w:id="39"/>
    </w:p>
    <w:p>
      <w:pPr>
        <w:pStyle w:val="FirstParagraph"/>
      </w:pPr>
      <w:r>
        <w:t xml:space="preserve">This study demonstrated an application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contact periods, without any changes in clay paste composition or production technique, suggest that shape standardization was intentional. The results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32"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cher2015"/>
    <w:p>
      <w:pPr>
        <w:pStyle w:val="Bibliography"/>
      </w:pPr>
      <w:r>
        <w:t xml:space="preserve">Archer, W., Gunz, P., Niekerk, K.L. van, Henshilwood, C.S., McPherron, S.P., 2015. Diachronic change within the still bay at blombos cave, south africa. PLoS One 10, e0132428.</w:t>
      </w:r>
    </w:p>
    <w:bookmarkEnd w:id="46"/>
    <w:bookmarkStart w:id="47" w:name="ref-Arnold2000"/>
    <w:p>
      <w:pPr>
        <w:pStyle w:val="Bibliography"/>
      </w:pPr>
      <w:r>
        <w:t xml:space="preserve">Arnold, D.E., 2000. Does the standardization of ceramic pastes really mean specialization? Journal of Archaeological Method and Theory 7, 333–375.</w:t>
      </w:r>
    </w:p>
    <w:bookmarkEnd w:id="47"/>
    <w:bookmarkStart w:id="48"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8"/>
    <w:bookmarkStart w:id="49"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49"/>
    <w:bookmarkStart w:id="50" w:name="ref-Blanton1996"/>
    <w:p>
      <w:pPr>
        <w:pStyle w:val="Bibliography"/>
      </w:pPr>
      <w:r>
        <w:t xml:space="preserve">Blanton, R.E., Feinman, G.M., Kowalewski, S.A., Peregrine, P.N., 1996. A dual-processual theory for the evolution of mesoamerican civilization. Current anthropology 37, 1–14.</w:t>
      </w:r>
    </w:p>
    <w:bookmarkEnd w:id="50"/>
    <w:bookmarkStart w:id="51" w:name="ref-Boness2015"/>
    <w:p>
      <w:pPr>
        <w:pStyle w:val="Bibliography"/>
      </w:pPr>
      <w:r>
        <w:t xml:space="preserve">Boness, D., Clarke, J., Goren, Y., 2015. Ceramic neolithic pottery in cyprus—origin, technology and possible implications for social structure and identity. Levant 47, 233–254.</w:t>
      </w:r>
    </w:p>
    <w:bookmarkEnd w:id="51"/>
    <w:bookmarkStart w:id="52" w:name="ref-Bonhomme2014"/>
    <w:p>
      <w:pPr>
        <w:pStyle w:val="Bibliography"/>
      </w:pPr>
      <w:r>
        <w:t xml:space="preserve">Bonhomme, V., Picq, S., Gaucherel, C., Claude, J., others, 2014. Momocs: Outline analysis using r. Journal of Statistical Software 56, 1–24.</w:t>
      </w:r>
    </w:p>
    <w:bookmarkEnd w:id="52"/>
    <w:bookmarkStart w:id="53" w:name="ref-Bookstein1997"/>
    <w:p>
      <w:pPr>
        <w:pStyle w:val="Bibliography"/>
      </w:pPr>
      <w:r>
        <w:t xml:space="preserve">Bookstein, F.L., 1997. Landmark methods for forms without landmarks: Morphometrics of group differences in outline shape. Medical image analysis 1, 225–243.</w:t>
      </w:r>
    </w:p>
    <w:bookmarkEnd w:id="53"/>
    <w:bookmarkStart w:id="54"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4"/>
    <w:bookmarkStart w:id="55" w:name="ref-Buchanan2019"/>
    <w:p>
      <w:pPr>
        <w:pStyle w:val="Bibliography"/>
      </w:pPr>
      <w:r>
        <w:t xml:space="preserve">Buchanan, B., Collard, M., O’Brien, M.J., 2019. Geometric morphometric analyses support incorporating the goshen point type into plainview. American Antiquity 1–11.</w:t>
      </w:r>
    </w:p>
    <w:bookmarkEnd w:id="55"/>
    <w:bookmarkStart w:id="56" w:name="ref-Cardillo2010"/>
    <w:p>
      <w:pPr>
        <w:pStyle w:val="Bibliography"/>
      </w:pPr>
      <w:r>
        <w:t xml:space="preserve">Cardillo, M., 2010. Some applications of geometric morphometrics to archaeology, in: Elewa, A.M.T. (Ed.), Morphometrics for Nonmorphometricians. Springer, pp. 325–341.</w:t>
      </w:r>
    </w:p>
    <w:bookmarkEnd w:id="56"/>
    <w:bookmarkStart w:id="57" w:name="ref-Chen1963"/>
    <w:p>
      <w:pPr>
        <w:pStyle w:val="Bibliography"/>
      </w:pPr>
      <w:r>
        <w:t xml:space="preserve">Chen, S., 1963. Kavalan ting zhi [kavalen culture history], taiwan wen xian cong kan di 106 zhong [taiwan literature series: 106]. Economic Research Office, Bank ofTaiwan, Taipei.</w:t>
      </w:r>
    </w:p>
    <w:bookmarkEnd w:id="57"/>
    <w:bookmarkStart w:id="58" w:name="ref-Chen2016"/>
    <w:p>
      <w:pPr>
        <w:pStyle w:val="Bibliography"/>
      </w:pPr>
      <w:r>
        <w:t xml:space="preserve">Chen, W.-S., 2016. Tai wan di zhi gai lun [an introduction to the geology of taiwan]. Geological Society Located in Taipei.</w:t>
      </w:r>
    </w:p>
    <w:bookmarkEnd w:id="58"/>
    <w:bookmarkStart w:id="59" w:name="ref-Chen2007"/>
    <w:p>
      <w:pPr>
        <w:pStyle w:val="Bibliography"/>
      </w:pPr>
      <w:r>
        <w:t xml:space="preserve">Chen, Y.-p., 2007. Qi wu lan yi zhi qiang jiu fa jue bao gao [report on the archaeological excavations at ki-wu-lan site]. Lanyang museum, Yilan, Taiwan.</w:t>
      </w:r>
    </w:p>
    <w:bookmarkEnd w:id="59"/>
    <w:bookmarkStart w:id="60" w:name="ref-Cheng2008"/>
    <w:p>
      <w:pPr>
        <w:pStyle w:val="Bibliography"/>
      </w:pPr>
      <w:r>
        <w:t xml:space="preserve">Cheng, C.-f., 2008. Qi wu lan yi zhi yu she nei yi zhi chu tu bo li zhu de xiang guan yan jiu [studies of glass beads excavated from kivulan and shenei site, Taiwan] (Master’s thesis).</w:t>
      </w:r>
    </w:p>
    <w:bookmarkEnd w:id="60"/>
    <w:bookmarkStart w:id="61" w:name="ref-Chiu2004"/>
    <w:p>
      <w:pPr>
        <w:pStyle w:val="Bibliography"/>
      </w:pPr>
      <w:r>
        <w:t xml:space="preserve">Chiu, H.-l., 2004. Investigations of mortuary behaviors and cultural change of the kivulan site in i-lan county, Taiwan (Dissertation).</w:t>
      </w:r>
    </w:p>
    <w:bookmarkEnd w:id="61"/>
    <w:bookmarkStart w:id="62" w:name="ref-Claude2008"/>
    <w:p>
      <w:pPr>
        <w:pStyle w:val="Bibliography"/>
      </w:pPr>
      <w:r>
        <w:t xml:space="preserve">Claude, J., 2008. Morphometrics with r. Springer Science &amp; Business Media.</w:t>
      </w:r>
    </w:p>
    <w:bookmarkEnd w:id="62"/>
    <w:bookmarkStart w:id="63" w:name="ref-Costin2001"/>
    <w:p>
      <w:pPr>
        <w:pStyle w:val="Bibliography"/>
      </w:pPr>
      <w:r>
        <w:t xml:space="preserve">Costin, C.L., 2001. Craft production systems, in: Archaeology at the Millennium. Springer, pp. 273–327.</w:t>
      </w:r>
    </w:p>
    <w:bookmarkEnd w:id="63"/>
    <w:bookmarkStart w:id="64" w:name="ref-Costin1991"/>
    <w:p>
      <w:pPr>
        <w:pStyle w:val="Bibliography"/>
      </w:pPr>
      <w:r>
        <w:t xml:space="preserve">Costin, C.L., 1991. Craft specialization: Issues in defining, documenting, and explaining the organization of production. Archaeological method and theory 1–56.</w:t>
      </w:r>
    </w:p>
    <w:bookmarkEnd w:id="64"/>
    <w:bookmarkStart w:id="65" w:name="ref-Dietler2015"/>
    <w:p>
      <w:pPr>
        <w:pStyle w:val="Bibliography"/>
      </w:pPr>
      <w:r>
        <w:t xml:space="preserve">Dietler, M., 2015. Archaeologies of colonialism: Consumption, entanglement, and violence in ancient mediterranean france. Univ of California Press.</w:t>
      </w:r>
    </w:p>
    <w:bookmarkEnd w:id="65"/>
    <w:bookmarkStart w:id="66"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6"/>
    <w:bookmarkStart w:id="67" w:name="ref-Dietler1997"/>
    <w:p>
      <w:pPr>
        <w:pStyle w:val="Bibliography"/>
      </w:pPr>
      <w:r>
        <w:t xml:space="preserve">Dietler, M., 1997. The iron age in mediterranean france: Colonial encounters, entanglements, and transformations. Journal of World Prehistory 11, 269–358.</w:t>
      </w:r>
    </w:p>
    <w:bookmarkEnd w:id="67"/>
    <w:bookmarkStart w:id="68" w:name="ref-Doyon2019"/>
    <w:p>
      <w:pPr>
        <w:pStyle w:val="Bibliography"/>
      </w:pPr>
      <w:r>
        <w:t xml:space="preserve">Doyon, L., 2019. On the shape of things: A geometric morphometrics approach to investigate aurignacian group membership. Journal of Archaeological Science 101, 99–114.</w:t>
      </w:r>
    </w:p>
    <w:bookmarkEnd w:id="68"/>
    <w:bookmarkStart w:id="69" w:name="ref-Eerkens2000"/>
    <w:p>
      <w:pPr>
        <w:pStyle w:val="Bibliography"/>
      </w:pPr>
      <w:r>
        <w:t xml:space="preserve">Eerkens, J.W., 2000. Practice makes within 5% of perfect: Visual perception, motor skills, and memory in artifact variation. Current Anthropology 41, 663–668.</w:t>
      </w:r>
    </w:p>
    <w:bookmarkEnd w:id="69"/>
    <w:bookmarkStart w:id="70" w:name="ref-Eerkens2001"/>
    <w:p>
      <w:pPr>
        <w:pStyle w:val="Bibliography"/>
      </w:pPr>
      <w:r>
        <w:t xml:space="preserve">Eerkens, J.W., Bettinger, R.L., 2001. Techniques for assessing standardization in artifact assemblages: Can we scale material variability? American Antiquity 66, 493–504.</w:t>
      </w:r>
    </w:p>
    <w:bookmarkEnd w:id="70"/>
    <w:bookmarkStart w:id="71" w:name="ref-Eren2015"/>
    <w:p>
      <w:pPr>
        <w:pStyle w:val="Bibliography"/>
      </w:pPr>
      <w:r>
        <w:t xml:space="preserve">Eren, M.I., Buchanan, B., O’Brien, M.J., 2015. Social learning and technological evolution during the clovis colonization of the new world. Journal of Human Evolution 80, 159–170.</w:t>
      </w:r>
    </w:p>
    <w:bookmarkEnd w:id="71"/>
    <w:bookmarkStart w:id="72" w:name="ref-Evershed2008"/>
    <w:p>
      <w:pPr>
        <w:pStyle w:val="Bibliography"/>
      </w:pPr>
      <w:r>
        <w:t xml:space="preserve">Evershed, R.P., 2008. Organic residue analysis in archaeology: The archaeological biomarker revolution. Archaeometry 50, 895–924.</w:t>
      </w:r>
    </w:p>
    <w:bookmarkEnd w:id="72"/>
    <w:bookmarkStart w:id="73"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3"/>
    <w:bookmarkStart w:id="74"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4"/>
    <w:bookmarkStart w:id="75"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5"/>
    <w:bookmarkStart w:id="76" w:name="ref-Feinman2000political"/>
    <w:p>
      <w:pPr>
        <w:pStyle w:val="Bibliography"/>
      </w:pPr>
      <w:r>
        <w:t xml:space="preserve">Feinman, G.M., Lightfoot, K.G., Upham, S., 2000. Political hierarchies and organizational strategies in the puebloan southwest. American Antiquity 65, 449–470.</w:t>
      </w:r>
    </w:p>
    <w:bookmarkEnd w:id="76"/>
    <w:bookmarkStart w:id="77" w:name="ref-Feltz1996"/>
    <w:p>
      <w:pPr>
        <w:pStyle w:val="Bibliography"/>
      </w:pPr>
      <w:r>
        <w:t xml:space="preserve">Feltz, C.J., Miller, G.E., 1996. An asymptotic test for the equality of coefficients of variation from k populations. Statistics in medicine 15, 647–658.</w:t>
      </w:r>
    </w:p>
    <w:bookmarkEnd w:id="77"/>
    <w:bookmarkStart w:id="78" w:name="ref-Fox2015"/>
    <w:p>
      <w:pPr>
        <w:pStyle w:val="Bibliography"/>
      </w:pPr>
      <w:r>
        <w:t xml:space="preserve">Fox, A.N., 2015. A study of late woodland projectile point typology in new york using elliptical fourier outline analysis. Journal of Archaeological Science: Reports 4, 501–509.</w:t>
      </w:r>
    </w:p>
    <w:bookmarkEnd w:id="78"/>
    <w:bookmarkStart w:id="79" w:name="ref-Gero1984"/>
    <w:p>
      <w:pPr>
        <w:pStyle w:val="Bibliography"/>
      </w:pPr>
      <w:r>
        <w:t xml:space="preserve">Gero, J., Mazzullo, J., 1984. Analysis of artifact shape using fourier series in closed form. Journal of Field Archaeology 11, 315–322.</w:t>
      </w:r>
    </w:p>
    <w:bookmarkEnd w:id="79"/>
    <w:bookmarkStart w:id="80" w:name="ref-Given2004"/>
    <w:p>
      <w:pPr>
        <w:pStyle w:val="Bibliography"/>
      </w:pPr>
      <w:r>
        <w:t xml:space="preserve">Given, M., 2004. The archaeology of the colonized. Routledge, London; New York.</w:t>
      </w:r>
    </w:p>
    <w:bookmarkEnd w:id="80"/>
    <w:bookmarkStart w:id="81"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1"/>
    <w:bookmarkStart w:id="82"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2"/>
    <w:bookmarkStart w:id="83"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3"/>
    <w:bookmarkStart w:id="84" w:name="ref-Hsieh2009"/>
    <w:p>
      <w:pPr>
        <w:pStyle w:val="Bibliography"/>
      </w:pPr>
      <w:r>
        <w:t xml:space="preserve">Hsieh, E., 2009. Yi lan qi wu lan yi zhi chu tu wai lai tao ci qi zhi xiang guan yan jiu [the study of imported ceramics excavated at the ki-wu-lan site, i-lan] (Master’s thesis).</w:t>
      </w:r>
    </w:p>
    <w:bookmarkEnd w:id="84"/>
    <w:bookmarkStart w:id="85" w:name="ref-Iovictua2009"/>
    <w:p>
      <w:pPr>
        <w:pStyle w:val="Bibliography"/>
      </w:pPr>
      <w:r>
        <w:t xml:space="preserve">Ioviţă, R., 2009. Ontogenetic scaling and lithic systematics: Method and application. Journal of Archaeological Science 36, 1447–1457.</w:t>
      </w:r>
    </w:p>
    <w:bookmarkEnd w:id="85"/>
    <w:bookmarkStart w:id="86"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6"/>
    <w:bookmarkStart w:id="87" w:name="ref-Junker1999"/>
    <w:p>
      <w:pPr>
        <w:pStyle w:val="Bibliography"/>
      </w:pPr>
      <w:r>
        <w:t xml:space="preserve">Junker, L.L., 1999. Raiding, trading, and feasting: The political economy of philippine chiefdoms. University of Hawaii Press.</w:t>
      </w:r>
    </w:p>
    <w:bookmarkEnd w:id="87"/>
    <w:bookmarkStart w:id="88" w:name="ref-Junker1993"/>
    <w:p>
      <w:pPr>
        <w:pStyle w:val="Bibliography"/>
      </w:pPr>
      <w:r>
        <w:t xml:space="preserve">Junker, L.L., 1993. Craft goods specialization and prestige goods exchange in philippine chiefdoms of the fifteenth and sixteenth centuries. Asian Perspectives 1–35.</w:t>
      </w:r>
    </w:p>
    <w:bookmarkEnd w:id="88"/>
    <w:bookmarkStart w:id="89" w:name="ref-Ke1993"/>
    <w:p>
      <w:pPr>
        <w:pStyle w:val="Bibliography"/>
      </w:pPr>
      <w:r>
        <w:t xml:space="preserve">Ke, P., 1993. Kavalan zhi lue [record of kavalen]. Historical Records Committee of Taiwan Provincial Government, Nantou.</w:t>
      </w:r>
    </w:p>
    <w:bookmarkEnd w:id="89"/>
    <w:bookmarkStart w:id="90" w:name="ref-Krishnamoorthy2014"/>
    <w:p>
      <w:pPr>
        <w:pStyle w:val="Bibliography"/>
      </w:pPr>
      <w:r>
        <w:t xml:space="preserve">Krishnamoorthy, K., Lee, M., 2014. Improved tests for the equality of normal coefficients of variation. Computational Statistics 29, 215–232.</w:t>
      </w:r>
    </w:p>
    <w:bookmarkEnd w:id="90"/>
    <w:bookmarkStart w:id="91" w:name="ref-Kuhl1982"/>
    <w:p>
      <w:pPr>
        <w:pStyle w:val="Bibliography"/>
      </w:pPr>
      <w:r>
        <w:t xml:space="preserve">Kuhl, F.P., Giardina, C.R., 1982. Elliptic fourier features of a closed contour. Computer graphics and image processing 18, 236–258.</w:t>
      </w:r>
    </w:p>
    <w:bookmarkEnd w:id="91"/>
    <w:bookmarkStart w:id="92"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2"/>
    <w:bookmarkStart w:id="93"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3"/>
    <w:bookmarkStart w:id="94" w:name="ref-Lawing2010"/>
    <w:p>
      <w:pPr>
        <w:pStyle w:val="Bibliography"/>
      </w:pPr>
      <w:r>
        <w:t xml:space="preserve">Lawing, A.M., Polly, P.D., 2010. Geometric morphometrics: Recent applications to the study of evolution and development. Journal of Zoology 280, 1–7.</w:t>
      </w:r>
    </w:p>
    <w:bookmarkEnd w:id="94"/>
    <w:bookmarkStart w:id="95"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95"/>
    <w:bookmarkStart w:id="96" w:name="ref-Lycett2008"/>
    <w:p>
      <w:pPr>
        <w:pStyle w:val="Bibliography"/>
      </w:pPr>
      <w:r>
        <w:t xml:space="preserve">Lycett, S.J., Gowlett, J.A., 2008. On questions surrounding the acheulean “tradition”. World Archaeology 40, 295–315.</w:t>
      </w:r>
    </w:p>
    <w:bookmarkEnd w:id="96"/>
    <w:bookmarkStart w:id="98"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7">
        <w:r>
          <w:rPr>
            <w:rStyle w:val="Hyperlink"/>
          </w:rPr>
          <w:t xml:space="preserve">https://doi.org/10.1007/s10816-015-9272-9</w:t>
        </w:r>
      </w:hyperlink>
    </w:p>
    <w:bookmarkEnd w:id="98"/>
    <w:bookmarkStart w:id="99" w:name="ref-Marwick2018"/>
    <w:p>
      <w:pPr>
        <w:pStyle w:val="Bibliography"/>
      </w:pPr>
      <w:r>
        <w:t xml:space="preserve">Marwick, B., Boettiger, C., Mullen, L., 2018. Packaging data analytical work reproducibly using r (and friends). The American Statistician 72, 80–88.</w:t>
      </w:r>
    </w:p>
    <w:bookmarkEnd w:id="99"/>
    <w:bookmarkStart w:id="100" w:name="ref-Marwick2019"/>
    <w:p>
      <w:pPr>
        <w:pStyle w:val="Bibliography"/>
      </w:pPr>
      <w:r>
        <w:t xml:space="preserve">Marwick, B., Krishnamoorthy, K., n.d. Cvequality: Tests for the equality of coefficients of variation from multiple groups.</w:t>
      </w:r>
    </w:p>
    <w:bookmarkEnd w:id="100"/>
    <w:bookmarkStart w:id="101" w:name="ref-Meloro2015"/>
    <w:p>
      <w:pPr>
        <w:pStyle w:val="Bibliography"/>
      </w:pPr>
      <w:r>
        <w:t xml:space="preserve">Meloro, C., Hudson, A., Rook, L., 2015. Feeding habits of extant and fossil canids as determined by their skull geometry. Journal of Zoology 295, 178–188.</w:t>
      </w:r>
    </w:p>
    <w:bookmarkEnd w:id="101"/>
    <w:bookmarkStart w:id="102" w:name="ref-Mullins2011"/>
    <w:p>
      <w:pPr>
        <w:pStyle w:val="Bibliography"/>
      </w:pPr>
      <w:r>
        <w:t xml:space="preserve">Mullins, P.R., 2011. The archaeology of consumption. Annual Review of Anthropology 40, 133–144.</w:t>
      </w:r>
    </w:p>
    <w:bookmarkEnd w:id="102"/>
    <w:bookmarkStart w:id="103"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03"/>
    <w:bookmarkStart w:id="104"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04"/>
    <w:bookmarkStart w:id="105"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05"/>
    <w:bookmarkStart w:id="106" w:name="ref-Perez2007"/>
    <w:p>
      <w:pPr>
        <w:pStyle w:val="Bibliography"/>
      </w:pPr>
      <w:r>
        <w:t xml:space="preserve">Perez, S.I., 2007. Artificial cranial deformation in south america: A geometric morphometrics approximation. Journal of Archaeological Science 34, 1649–1658.</w:t>
      </w:r>
    </w:p>
    <w:bookmarkEnd w:id="106"/>
    <w:bookmarkStart w:id="107" w:name="ref-Rlanguage2019"/>
    <w:p>
      <w:pPr>
        <w:pStyle w:val="Bibliography"/>
      </w:pPr>
      <w:r>
        <w:t xml:space="preserve">R Core Team, 2019. R: A language and environment for statistical computing. R Foundation for Statistical Computing, Vienna, Austria.</w:t>
      </w:r>
    </w:p>
    <w:bookmarkEnd w:id="107"/>
    <w:bookmarkStart w:id="10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08"/>
    <w:bookmarkStart w:id="10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09"/>
    <w:bookmarkStart w:id="110" w:name="ref-Roux2003"/>
    <w:p>
      <w:pPr>
        <w:pStyle w:val="Bibliography"/>
      </w:pPr>
      <w:r>
        <w:t xml:space="preserve">Roux, V., 2003. Ceramic standardization and intensity of production: Quantifying degrees of specialization. American Antiquity 68, 768–782.</w:t>
      </w:r>
    </w:p>
    <w:bookmarkEnd w:id="110"/>
    <w:bookmarkStart w:id="111"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11"/>
    <w:bookmarkStart w:id="112" w:name="ref-Scaramelli2005"/>
    <w:p>
      <w:pPr>
        <w:pStyle w:val="Bibliography"/>
      </w:pPr>
      <w:r>
        <w:t xml:space="preserve">Scaramelli, F., Scaramelli, K.T. de, 2005. The roles of material culture in the colonization of the orinoco, venezuela. Journal of Social Archaeology 5, 135–168.</w:t>
      </w:r>
    </w:p>
    <w:bookmarkEnd w:id="112"/>
    <w:bookmarkStart w:id="113"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13"/>
    <w:bookmarkStart w:id="114" w:name="ref-Selden2019"/>
    <w:p>
      <w:pPr>
        <w:pStyle w:val="Bibliography"/>
      </w:pPr>
      <w:r>
        <w:t xml:space="preserve">Selden Jr, R.Z., 2019. Ceramic morphological organisation in the southern caddo area: The clarence h. Webb collections. Journal of Cultural Heritage 35, 41–55.</w:t>
      </w:r>
    </w:p>
    <w:bookmarkEnd w:id="114"/>
    <w:bookmarkStart w:id="115"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15"/>
    <w:bookmarkStart w:id="116"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16"/>
    <w:bookmarkStart w:id="117" w:name="ref-Silliman2001"/>
    <w:p>
      <w:pPr>
        <w:pStyle w:val="Bibliography"/>
      </w:pPr>
      <w:r>
        <w:t xml:space="preserve">Silliman, S., 2001. Agency, practical politics and the archaeology of culture contact. Journal of social archaeology 1, 190–209.</w:t>
      </w:r>
    </w:p>
    <w:bookmarkEnd w:id="117"/>
    <w:bookmarkStart w:id="118" w:name="ref-Silliman2005"/>
    <w:p>
      <w:pPr>
        <w:pStyle w:val="Bibliography"/>
      </w:pPr>
      <w:r>
        <w:t xml:space="preserve">Silliman, S.W., 2005. Culture contact or colonialism? Challenges in the archaeology of native North America. American Antiquity 55–74.</w:t>
      </w:r>
    </w:p>
    <w:bookmarkEnd w:id="118"/>
    <w:bookmarkStart w:id="119" w:name="ref-Slice2007"/>
    <w:p>
      <w:pPr>
        <w:pStyle w:val="Bibliography"/>
      </w:pPr>
      <w:r>
        <w:t xml:space="preserve">Slice, D.E., 2007. Geometric morphometrics. Annu. Rev. Anthropol. 36, 261–281.</w:t>
      </w:r>
    </w:p>
    <w:bookmarkEnd w:id="119"/>
    <w:bookmarkStart w:id="120"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0"/>
    <w:bookmarkStart w:id="12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21"/>
    <w:bookmarkStart w:id="122" w:name="ref-Tite1999"/>
    <w:p>
      <w:pPr>
        <w:pStyle w:val="Bibliography"/>
      </w:pPr>
      <w:r>
        <w:t xml:space="preserve">Tite, M.S., 1999. Pottery production, distribution, and consumption—the contribution of the physical sciences. Journal of archaeological method and theory 6, 181–233.</w:t>
      </w:r>
    </w:p>
    <w:bookmarkEnd w:id="122"/>
    <w:bookmarkStart w:id="123" w:name="ref-Topi2017"/>
    <w:p>
      <w:pPr>
        <w:pStyle w:val="Bibliography"/>
      </w:pPr>
      <w:r>
        <w:t xml:space="preserve">Topi, J.R., VanPool, C.S., Waller, K.D., VanPool, T.L., 2017. The economy of specialized ceramic craft production in the casas grandes region. Latin American Antiquity 29, 122–142.</w:t>
      </w:r>
    </w:p>
    <w:bookmarkEnd w:id="123"/>
    <w:bookmarkStart w:id="124"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24"/>
    <w:bookmarkStart w:id="125" w:name="ref-Trabert2017"/>
    <w:p>
      <w:pPr>
        <w:pStyle w:val="Bibliography"/>
      </w:pPr>
      <w:r>
        <w:t xml:space="preserve">Trabert, S., 2017. Considering the indirect effects of colonialism: Example from a great plains middle ground. Journal of Anthropological Archaeology 48, 17–27.</w:t>
      </w:r>
    </w:p>
    <w:bookmarkEnd w:id="125"/>
    <w:bookmarkStart w:id="126" w:name="ref-Voss2008"/>
    <w:p>
      <w:pPr>
        <w:pStyle w:val="Bibliography"/>
      </w:pPr>
      <w:r>
        <w:t xml:space="preserve">Voss, B.L., 2008. Between the household and the world system: Social collectivity and community agency in overseas chinese archaeology. Historical Archaeology 37–52.</w:t>
      </w:r>
    </w:p>
    <w:bookmarkEnd w:id="126"/>
    <w:bookmarkStart w:id="127" w:name="ref-Voss2005"/>
    <w:p>
      <w:pPr>
        <w:pStyle w:val="Bibliography"/>
      </w:pPr>
      <w:r>
        <w:t xml:space="preserve">Voss, B.L., 2005. From casta to californio: Social identity and the archaeology of culture contact. American Anthropologist 107, 461–474.</w:t>
      </w:r>
    </w:p>
    <w:bookmarkEnd w:id="127"/>
    <w:bookmarkStart w:id="128" w:name="ref-Wang2011"/>
    <w:p>
      <w:pPr>
        <w:pStyle w:val="Bibliography"/>
      </w:pPr>
      <w:r>
        <w:t xml:space="preserve">Wang, L.-Y., 2011. Yi lan qi wu lan yi zhi chu tu zhuang shi pin zhi xiang guan yan jiu [a research of ornaments excavated at ki-wu-lan site, i-lan] (Master’s thesis).</w:t>
      </w:r>
    </w:p>
    <w:bookmarkEnd w:id="128"/>
    <w:bookmarkStart w:id="12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29"/>
    <w:bookmarkStart w:id="130" w:name="ref-Wills2001"/>
    <w:p>
      <w:pPr>
        <w:pStyle w:val="Bibliography"/>
      </w:pPr>
      <w:r>
        <w:t xml:space="preserve">Wills, M.A., 2001. Morphological disparity: A primer, in: Fossils, Phylogeny, and Form. Springer, pp. 55–144.</w:t>
      </w:r>
    </w:p>
    <w:bookmarkEnd w:id="130"/>
    <w:bookmarkStart w:id="13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31"/>
    <w:bookmarkEnd w:id="132"/>
    <w:p>
      <w:pPr>
        <w:pStyle w:val="Heading5"/>
      </w:pPr>
      <w:bookmarkStart w:id="133" w:name="pagebreak-1"/>
      <w:r>
        <w:t xml:space="preserve">pagebreak</w:t>
      </w:r>
      <w:bookmarkEnd w:id="133"/>
    </w:p>
    <w:p>
      <w:pPr>
        <w:pStyle w:val="Heading3"/>
      </w:pPr>
      <w:bookmarkStart w:id="134" w:name="colophon"/>
      <w:r>
        <w:t xml:space="preserve">Colophon</w:t>
      </w:r>
      <w:bookmarkEnd w:id="134"/>
    </w:p>
    <w:p>
      <w:pPr>
        <w:pStyle w:val="FirstParagraph"/>
      </w:pPr>
      <w:r>
        <w:t xml:space="preserve">This report was generated on 2020-07-24 10:24:24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2020-07-24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ape                5.4      2020-06-03 [1] CRAN (R 4.0.0)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colorspace         1.4-1    2019-03-18 [1] CRAN (R 4.0.0)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crosstalk          1.1.0.1  2020-03-13 [1] CRAN (R 4.0.0)                     </w:t>
      </w:r>
      <w:r>
        <w:br/>
      </w:r>
      <w:r>
        <w:rPr>
          <w:rStyle w:val="VerbatimChar"/>
        </w:rPr>
        <w:t xml:space="preserve">#&gt;  curl               4.3      2019-12-02 [1] CRAN (R 4.0.0)                     </w:t>
      </w:r>
      <w:r>
        <w:br/>
      </w:r>
      <w:r>
        <w:rPr>
          <w:rStyle w:val="VerbatimChar"/>
        </w:rPr>
        <w:t xml:space="preserve">#&gt;  cvequality       * 0.2.0    2019-01-07 [1] CRAN (R 4.0.0)                     </w:t>
      </w:r>
      <w:r>
        <w:br/>
      </w:r>
      <w:r>
        <w:rPr>
          <w:rStyle w:val="VerbatimChar"/>
        </w:rPr>
        <w:t xml:space="preserve">#&gt;  data.table         1.12.8   2019-12-09 [1] CRAN (R 4.0.0)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devtools           2.3.0    2020-04-10 [1] CRAN (R 4.0.0)                     </w:t>
      </w:r>
      <w:r>
        <w:br/>
      </w:r>
      <w:r>
        <w:rPr>
          <w:rStyle w:val="VerbatimChar"/>
        </w:rPr>
        <w:t xml:space="preserve">#&gt;  digest             0.6.25   2020-02-23 [1] CRAN (R 4.0.0)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fastmap            1.0.1    2019-10-08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4.0.0)                     </w:t>
      </w:r>
      <w:r>
        <w:br/>
      </w:r>
      <w:r>
        <w:rPr>
          <w:rStyle w:val="VerbatimChar"/>
        </w:rPr>
        <w:t xml:space="preserve">#&gt;  generics           0.0.2    2018-11-29 [1] CRAN (R 4.0.0)                     </w:t>
      </w:r>
      <w:r>
        <w:br/>
      </w:r>
      <w:r>
        <w:rPr>
          <w:rStyle w:val="VerbatimChar"/>
        </w:rPr>
        <w:t xml:space="preserve">#&gt;  geomorph         * 3.3.1    2020-07-23 [1] Github (geomorphR/geomorph@248e1cd)</w:t>
      </w:r>
      <w:r>
        <w:br/>
      </w:r>
      <w:r>
        <w:rPr>
          <w:rStyle w:val="VerbatimChar"/>
        </w:rPr>
        <w:t xml:space="preserve">#&gt;  ggforce            0.3.2    2020-06-23 [1] CRAN (R 4.0.0)                     </w:t>
      </w:r>
      <w:r>
        <w:br/>
      </w:r>
      <w:r>
        <w:rPr>
          <w:rStyle w:val="VerbatimChar"/>
        </w:rPr>
        <w:t xml:space="preserve">#&gt;  ggplot2          * 3.3.2    2020-06-19 [1] CRAN (R 4.0.0)                     </w:t>
      </w:r>
      <w:r>
        <w:br/>
      </w:r>
      <w:r>
        <w:rPr>
          <w:rStyle w:val="VerbatimChar"/>
        </w:rPr>
        <w:t xml:space="preserve">#&gt;  ggpubr           * 0.4.0    2020-06-27 [1] CRAN (R 4.0.2)                     </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htmlwidgets        1.5.1    2019-10-08 [1] CRAN (R 4.0.0)                     </w:t>
      </w:r>
      <w:r>
        <w:br/>
      </w:r>
      <w:r>
        <w:rPr>
          <w:rStyle w:val="VerbatimChar"/>
        </w:rPr>
        <w:t xml:space="preserve">#&gt;  httpuv             1.5.4    2020-06-06 [1] CRAN (R 4.0.0)                     </w:t>
      </w:r>
      <w:r>
        <w:br/>
      </w:r>
      <w:r>
        <w:rPr>
          <w:rStyle w:val="VerbatimChar"/>
        </w:rPr>
        <w:t xml:space="preserve">#&gt;  httr               1.4.1    2019-08-05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later              1.1.0.1  2020-06-05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4.0.0)                     </w:t>
      </w:r>
      <w:r>
        <w:br/>
      </w:r>
      <w:r>
        <w:rPr>
          <w:rStyle w:val="VerbatimChar"/>
        </w:rPr>
        <w:t xml:space="preserve">#&gt;  magick           * 2.4.0    2020-06-23 [1] CRAN (R 4.0.0)                     </w:t>
      </w:r>
      <w:r>
        <w:br/>
      </w:r>
      <w:r>
        <w:rPr>
          <w:rStyle w:val="VerbatimChar"/>
        </w:rPr>
        <w:t xml:space="preserve">#&gt;  magrittr           1.5      2014-11-22 [1] CRAN (R 4.0.0)                     </w:t>
      </w:r>
      <w:r>
        <w:br/>
      </w:r>
      <w:r>
        <w:rPr>
          <w:rStyle w:val="VerbatimChar"/>
        </w:rPr>
        <w:t xml:space="preserve">#&gt;  manipulateWidget   0.10.1   2020-02-24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mime               0.9      2020-02-04 [1] CRAN (R 4.0.0)                     </w:t>
      </w:r>
      <w:r>
        <w:br/>
      </w:r>
      <w:r>
        <w:rPr>
          <w:rStyle w:val="VerbatimChar"/>
        </w:rPr>
        <w:t xml:space="preserve">#&gt;  miniUI             0.1.1.1  2018-05-18 [1] CRAN (R 4.0.0)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nlme               3.1-148  2020-05-24 [1] CRAN (R 4.0.2)                     </w:t>
      </w:r>
      <w:r>
        <w:br/>
      </w:r>
      <w:r>
        <w:rPr>
          <w:rStyle w:val="VerbatimChar"/>
        </w:rPr>
        <w:t xml:space="preserve">#&gt;  openxlsx           4.1.5    2020-05-06 [1] CRAN (R 4.0.0)                     </w:t>
      </w:r>
      <w:r>
        <w:br/>
      </w:r>
      <w:r>
        <w:rPr>
          <w:rStyle w:val="VerbatimChar"/>
        </w:rPr>
        <w:t xml:space="preserve">#&gt;  pillar             1.4.4    2020-05-05 [1] CRAN (R 4.0.0)                     </w:t>
      </w:r>
      <w:r>
        <w:br/>
      </w:r>
      <w:r>
        <w:rPr>
          <w:rStyle w:val="VerbatimChar"/>
        </w:rPr>
        <w:t xml:space="preserve">#&gt;  pkgbuild           1.0.8    2020-05-07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4.0.0)                     </w:t>
      </w:r>
      <w:r>
        <w:br/>
      </w:r>
      <w:r>
        <w:rPr>
          <w:rStyle w:val="VerbatimChar"/>
        </w:rPr>
        <w:t xml:space="preserve">#&gt;  promises           1.1.1    2020-06-09 [1] CRAN (R 4.0.0)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R6                 2.4.1    2019-11-12 [1] CRAN (R 4.0.0)                     </w:t>
      </w:r>
      <w:r>
        <w:br/>
      </w:r>
      <w:r>
        <w:rPr>
          <w:rStyle w:val="VerbatimChar"/>
        </w:rPr>
        <w:t xml:space="preserve">#&gt;  RColorBrewer       1.1-2    2014-12-07 [1] CRAN (R 4.0.0)                     </w:t>
      </w:r>
      <w:r>
        <w:br/>
      </w:r>
      <w:r>
        <w:rPr>
          <w:rStyle w:val="VerbatimChar"/>
        </w:rPr>
        <w:t xml:space="preserve">#&gt;  Rcpp               1.0.5    2020-07-06 [1] CRAN (R 4.0.0)                     </w:t>
      </w:r>
      <w:r>
        <w:br/>
      </w:r>
      <w:r>
        <w:rPr>
          <w:rStyle w:val="VerbatimChar"/>
        </w:rPr>
        <w:t xml:space="preserve">#&gt;  readr            * 1.3.1    2018-12-21 [1] CRAN (R 4.0.0)                     </w:t>
      </w:r>
      <w:r>
        <w:br/>
      </w:r>
      <w:r>
        <w:rPr>
          <w:rStyle w:val="VerbatimChar"/>
        </w:rPr>
        <w:t xml:space="preserve">#&gt;  readxl             1.3.1    2019-03-13 [1] CRAN (R 4.0.0)                     </w:t>
      </w:r>
      <w:r>
        <w:br/>
      </w:r>
      <w:r>
        <w:rPr>
          <w:rStyle w:val="VerbatimChar"/>
        </w:rPr>
        <w:t xml:space="preserve">#&gt;  remotes            2.1.1    2020-02-15 [1] CRAN (R 4.0.0)                     </w:t>
      </w:r>
      <w:r>
        <w:br/>
      </w:r>
      <w:r>
        <w:rPr>
          <w:rStyle w:val="VerbatimChar"/>
        </w:rPr>
        <w:t xml:space="preserve">#&gt;  reprex             0.3.0    2019-05-16 [1] CRAN (R 4.0.0)                     </w:t>
      </w:r>
      <w:r>
        <w:br/>
      </w:r>
      <w:r>
        <w:rPr>
          <w:rStyle w:val="VerbatimChar"/>
        </w:rPr>
        <w:t xml:space="preserve">#&gt;  rgl              * 0.100.54 2020-04-14 [1] CRAN (R 4.0.0)                     </w:t>
      </w:r>
      <w:r>
        <w:br/>
      </w:r>
      <w:r>
        <w:rPr>
          <w:rStyle w:val="VerbatimChar"/>
        </w:rPr>
        <w:t xml:space="preserve">#&gt;  rio                0.5.16   2018-11-26 [1] CRAN (R 4.0.0)                     </w:t>
      </w:r>
      <w:r>
        <w:br/>
      </w:r>
      <w:r>
        <w:rPr>
          <w:rStyle w:val="VerbatimChar"/>
        </w:rPr>
        <w:t xml:space="preserve">#&gt;  rlang              0.4.7    2020-07-09 [1] CRAN (R 4.0.2)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RRPP             * 0.6.1    2020-06-24 [1] CRAN (R 4.0.0)                     </w:t>
      </w:r>
      <w:r>
        <w:br/>
      </w:r>
      <w:r>
        <w:rPr>
          <w:rStyle w:val="VerbatimChar"/>
        </w:rPr>
        <w:t xml:space="preserve">#&gt;  rrtools            0.1.0    2020-06-24 [1] Github (benmarwick/rrtools@f43aae1)</w:t>
      </w:r>
      <w:r>
        <w:br/>
      </w:r>
      <w:r>
        <w:rPr>
          <w:rStyle w:val="VerbatimChar"/>
        </w:rPr>
        <w:t xml:space="preserve">#&gt;  rstatix            0.6.0    2020-06-18 [1] CRAN (R 4.0.0)                     </w:t>
      </w:r>
      <w:r>
        <w:br/>
      </w:r>
      <w:r>
        <w:rPr>
          <w:rStyle w:val="VerbatimChar"/>
        </w:rPr>
        <w:t xml:space="preserve">#&gt;  rstudioapi         0.11     2020-02-07 [1] CRAN (R 4.0.0)                     </w:t>
      </w:r>
      <w:r>
        <w:br/>
      </w:r>
      <w:r>
        <w:rPr>
          <w:rStyle w:val="VerbatimChar"/>
        </w:rPr>
        <w:t xml:space="preserve">#&gt;  rvest              0.3.5    2019-11-08 [1] CRAN (R 4.0.0)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0.9-4    2020-06-13 [1] CRAN (R 4.0.0)                     </w:t>
      </w:r>
      <w:r>
        <w:br/>
      </w:r>
      <w:r>
        <w:rPr>
          <w:rStyle w:val="VerbatimChar"/>
        </w:rPr>
        <w:t xml:space="preserve">#&gt;  shiny              1.5.0    2020-06-23 [1] CRAN (R 4.0.0)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testthat           2.3.2    2020-03-02 [1] CRAN (R 4.0.0)                     </w:t>
      </w:r>
      <w:r>
        <w:br/>
      </w:r>
      <w:r>
        <w:rPr>
          <w:rStyle w:val="VerbatimChar"/>
        </w:rPr>
        <w:t xml:space="preserve">#&gt;  tibble           * 3.0.2    2020-07-07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tweenr             1.0.1    2018-12-14 [1] CRAN (R 4.0.0)                     </w:t>
      </w:r>
      <w:r>
        <w:br/>
      </w:r>
      <w:r>
        <w:rPr>
          <w:rStyle w:val="VerbatimChar"/>
        </w:rPr>
        <w:t xml:space="preserve">#&gt;  units              0.6-7    2020-06-13 [1] CRAN (R 4.0.0)                     </w:t>
      </w:r>
      <w:r>
        <w:br/>
      </w:r>
      <w:r>
        <w:rPr>
          <w:rStyle w:val="VerbatimChar"/>
        </w:rPr>
        <w:t xml:space="preserve">#&gt;  usethis            1.6.1    2020-04-29 [1] CRAN (R 4.0.0)                     </w:t>
      </w:r>
      <w:r>
        <w:br/>
      </w:r>
      <w:r>
        <w:rPr>
          <w:rStyle w:val="VerbatimChar"/>
        </w:rPr>
        <w:t xml:space="preserve">#&gt;  vctrs              0.3.1    2020-06-05 [1] CRAN (R 4.0.0)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webshot            0.5.2    2019-11-22 [1] CRAN (R 4.0.0)                     </w:t>
      </w:r>
      <w:r>
        <w:br/>
      </w:r>
      <w:r>
        <w:rPr>
          <w:rStyle w:val="VerbatimChar"/>
        </w:rPr>
        <w:t xml:space="preserve">#&gt;  withr              2.2.0    2020-04-20 [1] CRAN (R 4.0.0)                     </w:t>
      </w:r>
      <w:r>
        <w:br/>
      </w:r>
      <w:r>
        <w:rPr>
          <w:rStyle w:val="VerbatimChar"/>
        </w:rPr>
        <w:t xml:space="preserve">#&gt;  xfun               0.15     2020-06-21 [1] CRAN (R 4.0.0)                     </w:t>
      </w:r>
      <w:r>
        <w:br/>
      </w:r>
      <w:r>
        <w:rPr>
          <w:rStyle w:val="VerbatimChar"/>
        </w:rPr>
        <w:t xml:space="preserve">#&gt;  xml2               1.3.2    2020-04-23 [1] CRAN (R 4.0.0)                     </w:t>
      </w:r>
      <w:r>
        <w:br/>
      </w:r>
      <w:r>
        <w:rPr>
          <w:rStyle w:val="VerbatimChar"/>
        </w:rPr>
        <w:t xml:space="preserve">#&gt;  xtable             1.8-4    2019-04-21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[8c33103] 2020-07-24: update description file</w:t>
      </w:r>
    </w:p>
    <w:p>
      <w:pPr>
        <w:pStyle w:val="FirstParagraph"/>
      </w:pPr>
      <w:r>
        <w:t xml:space="preserve">Word count: 5074</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97"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97"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2020-07-24T17:24:39Z</dcterms:created>
  <dcterms:modified xsi:type="dcterms:W3CDTF">2020-07-24T17:24:39Z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24 July,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