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29.png" ContentType="image/png"/>
  <Override PartName="/word/media/rId32.png" ContentType="image/png"/>
  <Override PartName="/word/media/rId33.png" ContentType="image/png"/>
  <Override PartName="/word/media/rId30.png" ContentType="image/png"/>
  <Override PartName="/word/media/rId31.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production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I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1"/>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analyse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are widely used for archaeological objects where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desired number of harmonics</w:t>
      </w:r>
      <w:r>
        <w:t xml:space="preserve"> </w:t>
      </w:r>
      <w:r>
        <w:t xml:space="preserve">(Bonhomme et al., 2014)</w:t>
      </w:r>
      <w:r>
        <w:t xml:space="preserve">. The application of EFA in archaeology is mostly used for bone morphology to understand the biological variation and recently more for stone artefacts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analysed by EFA and DCT matches traditional ceramic typology, which supports that outline-based approaches can be efficiently used for studying variations in ceramic shapes. In addition, the results of shape variation by EFA helps to understand the level of production standardisation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CV is hard to test, we apply some statistics testing for it</w:t>
      </w:r>
    </w:p>
    <w:p>
      <w:pPr>
        <w:pStyle w:val="Heading1"/>
      </w:pPr>
      <w:bookmarkStart w:id="22" w:name="materials-and-methods"/>
      <w:r>
        <w:t xml:space="preserve">Materials and methods</w:t>
      </w:r>
      <w:bookmarkEnd w:id="22"/>
    </w:p>
    <w:p>
      <w:pPr>
        <w:pStyle w:val="Heading2"/>
      </w:pPr>
      <w:bookmarkStart w:id="23" w:name="archaeological-pottery-from-kiwulan"/>
      <w:r>
        <w:t xml:space="preserve">Archaeological pottery from Kiwulan</w:t>
      </w:r>
      <w:bookmarkEnd w:id="23"/>
    </w:p>
    <w:p>
      <w:pPr>
        <w:pStyle w:val="FirstParagraph"/>
      </w:pPr>
      <w:r>
        <w:t xml:space="preserve">Pottery analysed in this paper comes from Kiwulan, northeastern Taiwan. Kiwulan is situated on a hill near a riverside at the northern margin of Yilan, which is characterized by a triangular alluvial plain facing eastwards the Pacific and mountains on three other sides. Kiwulan dates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Ming dynasty of China.</w:t>
      </w:r>
    </w:p>
    <w:p>
      <w:pPr>
        <w:pStyle w:val="BodyText"/>
      </w:pPr>
      <w:r>
        <w:t xml:space="preserve">The upper component experienced frequent foreign contacts including the European colonial presence in the 17th century and great waves of Chinese immigrants since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explains Kiwulan was a large settlement site.</w:t>
      </w:r>
    </w:p>
    <w:p>
      <w:pPr>
        <w:pStyle w:val="BodyText"/>
      </w:pPr>
      <w:r>
        <w:t xml:space="preserve">Pottery found at Kiwulan are all locally made.</w:t>
      </w:r>
      <w:r>
        <w:t xml:space="preserve"> </w:t>
      </w:r>
      <w:r>
        <w:t xml:space="preserve">Most sherds are fired to an orange to brownish color with a fully oxidized core or a reduced core with oxidized fringes. It seems that there is no significant relationship between color and phases. Petrographic analysis for thin sections was conducted at the Department of Geosciences, National Taiwan University. The results shows high percentage of inclusions (15-50%), including argillite, quartz, feldspar, metasandstone, sandstone fragment, and slate. Those minerals are believed to be local materials of the Yilan Plain.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 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Heading2"/>
      </w:pPr>
      <w:bookmarkStart w:id="24" w:name="metric-measurements"/>
      <w:r>
        <w:t xml:space="preserve">Metric measurements</w:t>
      </w:r>
      <w:bookmarkEnd w:id="24"/>
    </w:p>
    <w:p>
      <w:pPr>
        <w:pStyle w:val="FirstParagraph"/>
      </w:pPr>
      <w:r>
        <w:t xml:space="preserve">In this study, 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Heading2"/>
      </w:pPr>
      <w:bookmarkStart w:id="25" w:name="outline-analysis"/>
      <w:r>
        <w:t xml:space="preserve">Outline analysis</w:t>
      </w:r>
      <w:bookmarkEnd w:id="25"/>
    </w:p>
    <w:p>
      <w:pPr>
        <w:pStyle w:val="FirstParagraph"/>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 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2</w:t>
      </w:r>
      <w:r>
        <w:t xml:space="preserve"> </w:t>
      </w:r>
      <w:r>
        <w:t xml:space="preserve">shows the shape variation associated to the first three principal components. From the negative to the positive scores, the PC1 represents the height of the vessels from tall to short and the roundness of the body from round to oval shaped. The PC2 relates to the neck and mouth constriction from narrow to wide. The PC3 explains a smaller portion of the variance (11.23%), which relates to the degree of flare of neck from curved to straight shape. The first two components account for most of the variance in relation to three phases were represented in Figure</w:t>
      </w:r>
      <w:r>
        <w:t xml:space="preserve"> </w:t>
      </w:r>
      <w:r>
        <w:t xml:space="preserve">3</w:t>
      </w:r>
      <w:r>
        <w:t xml:space="preserve">. The result reflects a large overlap of three groupings especially for shapes in the pre-European and post-European period that might show some extent of similarity. However, the spread of shape distribution indications a wider variation in shapes in the pre-European and post-European period compared to those in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SourceCode"/>
      </w:pPr>
      <w:r>
        <w:rPr>
          <w:rStyle w:val="VerbatimChar"/>
        </w:rPr>
        <w:t xml:space="preserve">#&gt; quartz_off_screen </w:t>
      </w:r>
      <w:r>
        <w:br w:type="textWrapping"/>
      </w:r>
      <w:r>
        <w:rPr>
          <w:rStyle w:val="VerbatimChar"/>
        </w:rPr>
        <w:t xml:space="preserve">#&gt;                 3</w:t>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3: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Pottery shape distribution by each occupation phase according to the first two PCs</w:t>
      </w:r>
    </w:p>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 in Table</w:t>
      </w:r>
      <w:r>
        <w:t xml:space="preserve"> </w:t>
      </w:r>
      <w:r>
        <w:t xml:space="preserve">1</w:t>
      </w:r>
      <w:r>
        <w:t xml:space="preserve"> </w:t>
      </w:r>
      <w:r>
        <w:t xml:space="preserve">shows significant differences in shape between Pre-European and Post-European (p = 0.02) and Pre-European and Chinese contact shapes (p &lt; 0.01), which corresponds to the previous observation of the different distribution of shapes in Chinese period. In addition, although there is a considerable overlap of shape variables between Pre-European and Post-European, their PC scores are significantly different to each other. There is not much difference detected between the shapes in Post-European and Chinese contact period.</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drawing>
          <wp:inline>
            <wp:extent cx="5943600" cy="4754880"/>
            <wp:effectExtent b="0" l="0" r="0" t="0"/>
            <wp:docPr descr="" title="" id="1" name="Picture"/>
            <a:graphic>
              <a:graphicData uri="http://schemas.openxmlformats.org/drawingml/2006/picture">
                <pic:pic>
                  <pic:nvPicPr>
                    <pic:cNvPr descr="../figures/unnamed-chunk-1-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unnamed-chunk-1-2.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Family: gaussian </w:t>
      </w:r>
      <w:r>
        <w:br w:type="textWrapping"/>
      </w:r>
      <w:r>
        <w:rPr>
          <w:rStyle w:val="VerbatimChar"/>
        </w:rPr>
        <w:t xml:space="preserve">#&gt;   Links: mu = identity; sigma = identity </w:t>
      </w:r>
      <w:r>
        <w:br w:type="textWrapping"/>
      </w:r>
      <w:r>
        <w:rPr>
          <w:rStyle w:val="VerbatimChar"/>
        </w:rPr>
        <w:t xml:space="preserve">#&gt; Formula: shape_pc1 ~ s(thick_body1) </w:t>
      </w:r>
      <w:r>
        <w:br w:type="textWrapping"/>
      </w:r>
      <w:r>
        <w:rPr>
          <w:rStyle w:val="VerbatimChar"/>
        </w:rPr>
        <w:t xml:space="preserve">#&gt;    Data: gams_input (Number of observations: 73) </w:t>
      </w:r>
      <w:r>
        <w:br w:type="textWrapping"/>
      </w:r>
      <w:r>
        <w:rPr>
          <w:rStyle w:val="VerbatimChar"/>
        </w:rPr>
        <w:t xml:space="preserve">#&gt; Samples: 4 chains, each with iter = 4000; warmup = 1000; thin = 10;</w:t>
      </w:r>
      <w:r>
        <w:br w:type="textWrapping"/>
      </w:r>
      <w:r>
        <w:rPr>
          <w:rStyle w:val="VerbatimChar"/>
        </w:rPr>
        <w:t xml:space="preserve">#&gt;          total post-warmup samples = 1200</w:t>
      </w:r>
      <w:r>
        <w:br w:type="textWrapping"/>
      </w:r>
      <w:r>
        <w:rPr>
          <w:rStyle w:val="VerbatimChar"/>
        </w:rPr>
        <w:t xml:space="preserve">#&gt; </w:t>
      </w:r>
      <w:r>
        <w:br w:type="textWrapping"/>
      </w:r>
      <w:r>
        <w:rPr>
          <w:rStyle w:val="VerbatimChar"/>
        </w:rPr>
        <w:t xml:space="preserve">#&gt; Smooth Terms: </w:t>
      </w:r>
      <w:r>
        <w:br w:type="textWrapping"/>
      </w:r>
      <w:r>
        <w:rPr>
          <w:rStyle w:val="VerbatimChar"/>
        </w:rPr>
        <w:t xml:space="preserve">#&gt;                     Estimate Est.Error l-95% CI u-95% CI Rhat Bulk_ESS Tail_ESS</w:t>
      </w:r>
      <w:r>
        <w:br w:type="textWrapping"/>
      </w:r>
      <w:r>
        <w:rPr>
          <w:rStyle w:val="VerbatimChar"/>
        </w:rPr>
        <w:t xml:space="preserve">#&gt; sds(sthick_body1_1)     0.00      0.00     0.00     0.01 1.00     1121     1172</w:t>
      </w:r>
      <w:r>
        <w:br w:type="textWrapping"/>
      </w:r>
      <w:r>
        <w:rPr>
          <w:rStyle w:val="VerbatimChar"/>
        </w:rPr>
        <w:t xml:space="preserve">#&gt; </w:t>
      </w:r>
      <w:r>
        <w:br w:type="textWrapping"/>
      </w:r>
      <w:r>
        <w:rPr>
          <w:rStyle w:val="VerbatimChar"/>
        </w:rPr>
        <w:t xml:space="preserve">#&gt; Population-Level Effects: </w:t>
      </w:r>
      <w:r>
        <w:br w:type="textWrapping"/>
      </w:r>
      <w:r>
        <w:rPr>
          <w:rStyle w:val="VerbatimChar"/>
        </w:rPr>
        <w:t xml:space="preserve">#&gt;                Estimate Est.Error l-95% CI u-95% CI Rhat Bulk_ESS Tail_ESS</w:t>
      </w:r>
      <w:r>
        <w:br w:type="textWrapping"/>
      </w:r>
      <w:r>
        <w:rPr>
          <w:rStyle w:val="VerbatimChar"/>
        </w:rPr>
        <w:t xml:space="preserve">#&gt; Intercept         -0.00      0.00    -0.00     0.00 1.00     1226     1127</w:t>
      </w:r>
      <w:r>
        <w:br w:type="textWrapping"/>
      </w:r>
      <w:r>
        <w:rPr>
          <w:rStyle w:val="VerbatimChar"/>
        </w:rPr>
        <w:t xml:space="preserve">#&gt; sthick_body1_1     0.00      0.00    -0.00     0.01 1.00     1185     1134</w:t>
      </w:r>
      <w:r>
        <w:br w:type="textWrapping"/>
      </w:r>
      <w:r>
        <w:rPr>
          <w:rStyle w:val="VerbatimChar"/>
        </w:rPr>
        <w:t xml:space="preserve">#&gt; </w:t>
      </w:r>
      <w:r>
        <w:br w:type="textWrapping"/>
      </w:r>
      <w:r>
        <w:rPr>
          <w:rStyle w:val="VerbatimChar"/>
        </w:rPr>
        <w:t xml:space="preserve">#&gt; Family Specific Parameters: </w:t>
      </w:r>
      <w:r>
        <w:br w:type="textWrapping"/>
      </w:r>
      <w:r>
        <w:rPr>
          <w:rStyle w:val="VerbatimChar"/>
        </w:rPr>
        <w:t xml:space="preserve">#&gt;       Estimate Est.Error l-95% CI u-95% CI Rhat Bulk_ESS Tail_ESS</w:t>
      </w:r>
      <w:r>
        <w:br w:type="textWrapping"/>
      </w:r>
      <w:r>
        <w:rPr>
          <w:rStyle w:val="VerbatimChar"/>
        </w:rPr>
        <w:t xml:space="preserve">#&gt; sigma     0.00      0.00     0.00     0.00 1.00     1298     1135</w:t>
      </w:r>
      <w:r>
        <w:br w:type="textWrapping"/>
      </w:r>
      <w:r>
        <w:rPr>
          <w:rStyle w:val="VerbatimChar"/>
        </w:rPr>
        <w:t xml:space="preserve">#&gt; </w:t>
      </w:r>
      <w:r>
        <w:br w:type="textWrapping"/>
      </w:r>
      <w:r>
        <w:rPr>
          <w:rStyle w:val="VerbatimChar"/>
        </w:rPr>
        <w:t xml:space="preserve">#&gt; Samples were drawn using sampling(NUTS). For each parameter, Eff.Sample </w:t>
      </w:r>
      <w:r>
        <w:br w:type="textWrapping"/>
      </w:r>
      <w:r>
        <w:rPr>
          <w:rStyle w:val="VerbatimChar"/>
        </w:rPr>
        <w:t xml:space="preserve">#&gt; is a crude measure of effective sample size, and Rhat is the potential </w:t>
      </w:r>
      <w:r>
        <w:br w:type="textWrapping"/>
      </w:r>
      <w:r>
        <w:rPr>
          <w:rStyle w:val="VerbatimChar"/>
        </w:rPr>
        <w:t xml:space="preserve">#&gt; scale reduction factor on split chains (at convergence, Rhat = 1).</w:t>
      </w:r>
    </w:p>
    <w:p>
      <w:pPr>
        <w:pStyle w:val="FirstParagraph"/>
      </w:pPr>
      <w:r>
        <w:drawing>
          <wp:inline>
            <wp:extent cx="5943600" cy="4754880"/>
            <wp:effectExtent b="0" l="0" r="0" t="0"/>
            <wp:docPr descr="" title="" id="1" name="Picture"/>
            <a:graphic>
              <a:graphicData uri="http://schemas.openxmlformats.org/drawingml/2006/picture">
                <pic:pic>
                  <pic:nvPicPr>
                    <pic:cNvPr descr="../figures/unnamed-chunk-1-3.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w:t>
      </w:r>
      <w:r>
        <w:br w:type="textWrapping"/>
      </w:r>
      <w:r>
        <w:rPr>
          <w:rStyle w:val="VerbatimChar"/>
        </w:rPr>
        <w:t xml:space="preserve">#&gt; Computed from 1200 by 73 log-likelihood matrix</w:t>
      </w:r>
      <w:r>
        <w:br w:type="textWrapping"/>
      </w:r>
      <w:r>
        <w:rPr>
          <w:rStyle w:val="VerbatimChar"/>
        </w:rPr>
        <w:t xml:space="preserve">#&gt; </w:t>
      </w:r>
      <w:r>
        <w:br w:type="textWrapping"/>
      </w:r>
      <w:r>
        <w:rPr>
          <w:rStyle w:val="VerbatimChar"/>
        </w:rPr>
        <w:t xml:space="preserve">#&gt;          Estimate   SE</w:t>
      </w:r>
      <w:r>
        <w:br w:type="textWrapping"/>
      </w:r>
      <w:r>
        <w:rPr>
          <w:rStyle w:val="VerbatimChar"/>
        </w:rPr>
        <w:t xml:space="preserve">#&gt; elpd_loo    366.5  6.2</w:t>
      </w:r>
      <w:r>
        <w:br w:type="textWrapping"/>
      </w:r>
      <w:r>
        <w:rPr>
          <w:rStyle w:val="VerbatimChar"/>
        </w:rPr>
        <w:t xml:space="preserve">#&gt; p_loo         3.8  0.7</w:t>
      </w:r>
      <w:r>
        <w:br w:type="textWrapping"/>
      </w:r>
      <w:r>
        <w:rPr>
          <w:rStyle w:val="VerbatimChar"/>
        </w:rPr>
        <w:t xml:space="preserve">#&gt; looic      -733.0 12.3</w:t>
      </w:r>
      <w:r>
        <w:br w:type="textWrapping"/>
      </w:r>
      <w:r>
        <w:rPr>
          <w:rStyle w:val="VerbatimChar"/>
        </w:rPr>
        <w:t xml:space="preserve">#&gt; ------</w:t>
      </w:r>
      <w:r>
        <w:br w:type="textWrapping"/>
      </w:r>
      <w:r>
        <w:rPr>
          <w:rStyle w:val="VerbatimChar"/>
        </w:rPr>
        <w:t xml:space="preserve">#&gt; Monte Carlo SE of elpd_loo is NA.</w:t>
      </w:r>
      <w:r>
        <w:br w:type="textWrapping"/>
      </w:r>
      <w:r>
        <w:rPr>
          <w:rStyle w:val="VerbatimChar"/>
        </w:rPr>
        <w:t xml:space="preserve">#&gt; </w:t>
      </w:r>
      <w:r>
        <w:br w:type="textWrapping"/>
      </w:r>
      <w:r>
        <w:rPr>
          <w:rStyle w:val="VerbatimChar"/>
        </w:rPr>
        <w:t xml:space="preserve">#&gt; Pareto k diagnostic values:</w:t>
      </w:r>
      <w:r>
        <w:br w:type="textWrapping"/>
      </w:r>
      <w:r>
        <w:rPr>
          <w:rStyle w:val="VerbatimChar"/>
        </w:rPr>
        <w:t xml:space="preserve">#&gt;                          Count Pct.    Min. n_eff</w:t>
      </w:r>
      <w:r>
        <w:br w:type="textWrapping"/>
      </w:r>
      <w:r>
        <w:rPr>
          <w:rStyle w:val="VerbatimChar"/>
        </w:rPr>
        <w:t xml:space="preserve">#&gt; (-Inf, 0.5]   (good)     72    98.6%   753       </w:t>
      </w:r>
      <w:r>
        <w:br w:type="textWrapping"/>
      </w:r>
      <w:r>
        <w:rPr>
          <w:rStyle w:val="VerbatimChar"/>
        </w:rPr>
        <w:t xml:space="preserve">#&gt;  (0.5, 0.7]   (ok)        0     0.0%   &lt;NA&gt;      </w:t>
      </w:r>
      <w:r>
        <w:br w:type="textWrapping"/>
      </w:r>
      <w:r>
        <w:rPr>
          <w:rStyle w:val="VerbatimChar"/>
        </w:rPr>
        <w:t xml:space="preserve">#&gt;    (0.7, 1]   (bad)       1     1.4%   298       </w:t>
      </w:r>
      <w:r>
        <w:br w:type="textWrapping"/>
      </w:r>
      <w:r>
        <w:rPr>
          <w:rStyle w:val="VerbatimChar"/>
        </w:rPr>
        <w:t xml:space="preserve">#&gt;    (1, Inf)   (very bad)  0     0.0%   &lt;NA&gt;      </w:t>
      </w:r>
      <w:r>
        <w:br w:type="textWrapping"/>
      </w:r>
      <w:r>
        <w:rPr>
          <w:rStyle w:val="VerbatimChar"/>
        </w:rPr>
        <w:t xml:space="preserve">#&gt; See help('pareto-k-diagnostic') for details.</w:t>
      </w:r>
    </w:p>
    <w:p>
      <w:pPr>
        <w:pStyle w:val="FirstParagraph"/>
      </w:pPr>
      <w:r>
        <w:drawing>
          <wp:inline>
            <wp:extent cx="5943600" cy="4754880"/>
            <wp:effectExtent b="0" l="0" r="0" t="0"/>
            <wp:docPr descr="" title="" id="1" name="Picture"/>
            <a:graphic>
              <a:graphicData uri="http://schemas.openxmlformats.org/drawingml/2006/picture">
                <pic:pic>
                  <pic:nvPicPr>
                    <pic:cNvPr descr="../figures/unnamed-chunk-1-4.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CV-test-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FirstParagraph"/>
      </w:pPr>
      <w:r>
        <w:drawing>
          <wp:inline>
            <wp:extent cx="5943600" cy="4754880"/>
            <wp:effectExtent b="0" l="0" r="0" t="0"/>
            <wp:docPr descr="" title="" id="1" name="Picture"/>
            <a:graphic>
              <a:graphicData uri="http://schemas.openxmlformats.org/drawingml/2006/picture">
                <pic:pic>
                  <pic:nvPicPr>
                    <pic:cNvPr descr="../figures/CV-test-2.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distributions of the first three PCs for each vessel suggest variations in shape standardization by period. The first PC, the hight of the vessels, shows more variations in the pre-Euro period compared to the Chinese period. Standardization appears strong in the pre-Euro period but weak in the Chinese period. P-values for a modified signed-likelihood ratio test of equality of CVs of PC1 &amp; PC2 show significant differences in standardization of vessel shape across some periods, especially between Chinese contact with either pre-European or post-European.</w:t>
      </w:r>
    </w:p>
    <w:p>
      <w:pPr>
        <w:pStyle w:val="Heading1"/>
      </w:pPr>
      <w:bookmarkStart w:id="40" w:name="discussion"/>
      <w:r>
        <w:t xml:space="preserve">Discussion</w:t>
      </w:r>
      <w:bookmarkEnd w:id="40"/>
    </w:p>
    <w:p>
      <w:pPr>
        <w:pStyle w:val="Heading1"/>
      </w:pPr>
      <w:bookmarkStart w:id="41" w:name="conclusion"/>
      <w:r>
        <w:t xml:space="preserve">Conclusion</w:t>
      </w:r>
      <w:bookmarkEnd w:id="41"/>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2" w:name="acknowledgements"/>
      <w:r>
        <w:t xml:space="preserve">Acknowledgements</w:t>
      </w:r>
      <w:bookmarkEnd w:id="42"/>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77" w:name="refs"/>
    <w:bookmarkStart w:id="45" w:name="ref-Adams2004"/>
    <w:p>
      <w:pPr>
        <w:pStyle w:val="FirstParagraph"/>
      </w:pPr>
      <w:r>
        <w:t xml:space="preserve">Adams, D.C., Rohlf, F.J., Slice, D.E., 2004. Geometric morphometrics: Ten years of progress following the “revolution”. Italian Journal of Zoology 71, 5–16.</w:t>
      </w:r>
    </w:p>
    <w:bookmarkEnd w:id="45"/>
    <w:bookmarkStart w:id="46" w:name="ref-Arnold2000"/>
    <w:p>
      <w:pPr>
        <w:pStyle w:val="BodyText"/>
      </w:pPr>
      <w:r>
        <w:t xml:space="preserve">Arnold, D.E., 2000. Does the standardization of ceramic pastes really mean specialization? Journal of Archaeological Method and Theory 7, 333–375.</w:t>
      </w:r>
    </w:p>
    <w:bookmarkEnd w:id="46"/>
    <w:bookmarkStart w:id="47"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7"/>
    <w:bookmarkStart w:id="48"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8"/>
    <w:bookmarkStart w:id="49" w:name="ref-Bonhomme2014"/>
    <w:p>
      <w:pPr>
        <w:pStyle w:val="BodyText"/>
      </w:pPr>
      <w:r>
        <w:t xml:space="preserve">Bonhomme, V., Picq, S., Gaucherel, C., Claude, J., others, 2014. Momocs: Outline analysis using r. Journal of Statistical Software 56, 1–24.</w:t>
      </w:r>
    </w:p>
    <w:bookmarkEnd w:id="49"/>
    <w:bookmarkStart w:id="50" w:name="ref-Bookstein1997"/>
    <w:p>
      <w:pPr>
        <w:pStyle w:val="BodyText"/>
      </w:pPr>
      <w:r>
        <w:t xml:space="preserve">Bookstein, F.L., 1997. Landmark methods for forms without landmarks: Morphometrics of group differences in outline shape. Medical image analysis 1, 225–243.</w:t>
      </w:r>
    </w:p>
    <w:bookmarkEnd w:id="50"/>
    <w:bookmarkStart w:id="51" w:name="ref-Bookstein1991"/>
    <w:p>
      <w:pPr>
        <w:pStyle w:val="BodyText"/>
      </w:pPr>
      <w:r>
        <w:t xml:space="preserve">Bookstein, F.L., 1991. Morphometric tools for landmark data: Geometry and biology. Cambridge University Press.</w:t>
      </w:r>
    </w:p>
    <w:bookmarkEnd w:id="51"/>
    <w:bookmarkStart w:id="52" w:name="ref-Buchanan2019"/>
    <w:p>
      <w:pPr>
        <w:pStyle w:val="BodyText"/>
      </w:pPr>
      <w:r>
        <w:t xml:space="preserve">Buchanan, B., Collard, M., O’Brien, M.J., 2019. Geometric morphometric analyses support incorporating the goshen point type into plainview. American Antiquity 1–11.</w:t>
      </w:r>
    </w:p>
    <w:bookmarkEnd w:id="52"/>
    <w:bookmarkStart w:id="53" w:name="ref-Cardillo2010"/>
    <w:p>
      <w:pPr>
        <w:pStyle w:val="BodyText"/>
      </w:pPr>
      <w:r>
        <w:t xml:space="preserve">Cardillo, M., 2010. Some applications of geometric morphometrics to archaeology, in: Elewa, A.M.T. (Ed.), Morphometrics for Nonmorphometricians. Springer, pp. 325–341.</w:t>
      </w:r>
    </w:p>
    <w:bookmarkEnd w:id="53"/>
    <w:bookmarkStart w:id="54" w:name="ref-Claude2008"/>
    <w:p>
      <w:pPr>
        <w:pStyle w:val="BodyText"/>
      </w:pPr>
      <w:r>
        <w:t xml:space="preserve">Claude, J., 2008. Morphometrics with r. Springer Science &amp; Business Media.</w:t>
      </w:r>
    </w:p>
    <w:bookmarkEnd w:id="54"/>
    <w:bookmarkStart w:id="55" w:name="ref-Costin1991"/>
    <w:p>
      <w:pPr>
        <w:pStyle w:val="BodyText"/>
      </w:pPr>
      <w:r>
        <w:t xml:space="preserve">Costin, C.L., 1991. Craft specialization: Issues in defining, documenting, and explaining the organization of production. Archaeological method and theory 1–56.</w:t>
      </w:r>
    </w:p>
    <w:bookmarkEnd w:id="55"/>
    <w:bookmarkStart w:id="56" w:name="ref-Costin1995"/>
    <w:p>
      <w:pPr>
        <w:pStyle w:val="BodyText"/>
      </w:pPr>
      <w:r>
        <w:t xml:space="preserve">Costin, C.L., Hagstrum, M.B., 1995. Standardization, labor investment, skill, and the organization of ceramic production in late prehispanic highland Peru. American Antiquity 619–639.</w:t>
      </w:r>
    </w:p>
    <w:bookmarkEnd w:id="56"/>
    <w:bookmarkStart w:id="57" w:name="ref-Fox2015"/>
    <w:p>
      <w:pPr>
        <w:pStyle w:val="BodyText"/>
      </w:pPr>
      <w:r>
        <w:t xml:space="preserve">Fox, A.N., 2015. A study of late woodland projectile point typology in new york using elliptical fourier outline analysis. Journal of Archaeological Science: Reports 4, 501–509.</w:t>
      </w:r>
    </w:p>
    <w:bookmarkEnd w:id="57"/>
    <w:bookmarkStart w:id="58" w:name="ref-Gunz2013"/>
    <w:p>
      <w:pPr>
        <w:pStyle w:val="BodyText"/>
      </w:pPr>
      <w:r>
        <w:t xml:space="preserve">Gunz, P., Mitteroecker, P., 2013. Semilandmarks: A method for quantifying curves and surfaces. Hystrix, the Italian Journal of Mammalogy 24, 103–109.</w:t>
      </w:r>
    </w:p>
    <w:bookmarkEnd w:id="58"/>
    <w:bookmarkStart w:id="59"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59"/>
    <w:bookmarkStart w:id="60" w:name="ref-Hirshman2010"/>
    <w:p>
      <w:pPr>
        <w:pStyle w:val="BodyText"/>
      </w:pPr>
      <w:r>
        <w:t xml:space="preserve">Hirshman, A.J., Lovis, W.A., Pollard, H.P., 2010. Specialization of ceramic production: A sherd assemblage based analytic perspective. Journal of Anthropological Archaeology 29, 265–277.</w:t>
      </w:r>
    </w:p>
    <w:bookmarkEnd w:id="60"/>
    <w:bookmarkStart w:id="61"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1"/>
    <w:bookmarkStart w:id="62" w:name="ref-Iovictua2010"/>
    <w:p>
      <w:pPr>
        <w:pStyle w:val="BodyText"/>
      </w:pPr>
      <w:r>
        <w:t xml:space="preserve">Ioviţă, R., 2010. Comparing stone tool resharpening trajectories with the aid of elliptical fourier analysis, in: New Perspectives on Old Stones. Springer, pp. 235–253.</w:t>
      </w:r>
    </w:p>
    <w:bookmarkEnd w:id="62"/>
    <w:bookmarkStart w:id="63" w:name="ref-Kuhl1982"/>
    <w:p>
      <w:pPr>
        <w:pStyle w:val="BodyText"/>
      </w:pPr>
      <w:r>
        <w:t xml:space="preserve">Kuhl, F.P., Giardina, C.R., 1982. Elliptic fourier features of a closed contour. Computer graphics and image processing 18, 236–258.</w:t>
      </w:r>
    </w:p>
    <w:bookmarkEnd w:id="63"/>
    <w:bookmarkStart w:id="64" w:name="ref-Lawing2010"/>
    <w:p>
      <w:pPr>
        <w:pStyle w:val="BodyText"/>
      </w:pPr>
      <w:r>
        <w:t xml:space="preserve">Lawing, A.M., Polly, P.D., 2010. Geometric morphometrics: Recent applications to the study of evolution and development. Journal of Zoology 280, 1–7.</w:t>
      </w:r>
    </w:p>
    <w:bookmarkEnd w:id="64"/>
    <w:bookmarkStart w:id="65"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5"/>
    <w:bookmarkStart w:id="67"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66">
        <w:r>
          <w:rPr>
            <w:rStyle w:val="Hyperlink"/>
          </w:rPr>
          <w:t xml:space="preserve">https://doi.org/10.1007/s10816-015-9272-9</w:t>
        </w:r>
      </w:hyperlink>
    </w:p>
    <w:bookmarkEnd w:id="67"/>
    <w:bookmarkStart w:id="68" w:name="ref-Marwick2018"/>
    <w:p>
      <w:pPr>
        <w:pStyle w:val="BodyText"/>
      </w:pPr>
      <w:r>
        <w:t xml:space="preserve">Marwick, B., Boettiger, C., Mullen, L., 2018. Packaging data analytical work reproducibly using r (and friends). The American Statistician 72, 80–88.</w:t>
      </w:r>
    </w:p>
    <w:bookmarkEnd w:id="68"/>
    <w:bookmarkStart w:id="69" w:name="ref-Marwick2019"/>
    <w:p>
      <w:pPr>
        <w:pStyle w:val="BodyText"/>
      </w:pPr>
      <w:r>
        <w:t xml:space="preserve">Marwick, B., Krishnamoorthy, K., n.d. Cvequality: Tests for the equality of coefficients of variation from multiple groups.</w:t>
      </w:r>
    </w:p>
    <w:bookmarkEnd w:id="69"/>
    <w:bookmarkStart w:id="70" w:name="ref-Meloro2015"/>
    <w:p>
      <w:pPr>
        <w:pStyle w:val="BodyText"/>
      </w:pPr>
      <w:r>
        <w:t xml:space="preserve">Meloro, C., Hudson, A., Rook, L., 2015. Feeding habits of extant and fossil canids as determined by their skull geometry. Journal of Zoology 295, 178–188.</w:t>
      </w:r>
    </w:p>
    <w:bookmarkEnd w:id="70"/>
    <w:bookmarkStart w:id="71" w:name="ref-Rlanguage2019"/>
    <w:p>
      <w:pPr>
        <w:pStyle w:val="BodyText"/>
      </w:pPr>
      <w:r>
        <w:t xml:space="preserve">R Core Team, 2019. R: A language and environment for statistical computing. R Foundation for Statistical Computing, Vienna, Austria.</w:t>
      </w:r>
    </w:p>
    <w:bookmarkEnd w:id="71"/>
    <w:bookmarkStart w:id="7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2"/>
    <w:bookmarkStart w:id="73" w:name="ref-Slice2007"/>
    <w:p>
      <w:pPr>
        <w:pStyle w:val="BodyText"/>
      </w:pPr>
      <w:r>
        <w:t xml:space="preserve">Slice, D.E., 2007. Geometric morphometrics. Annu. Rev. Anthropol. 36, 261–281.</w:t>
      </w:r>
    </w:p>
    <w:bookmarkEnd w:id="73"/>
    <w:bookmarkStart w:id="74"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4"/>
    <w:bookmarkStart w:id="75" w:name="ref-Tite1999"/>
    <w:p>
      <w:pPr>
        <w:pStyle w:val="BodyText"/>
      </w:pPr>
      <w:r>
        <w:t xml:space="preserve">Tite, M.S., 1999. Pottery production, distribution, and consumption—the contribution of the physical sciences. Journal of archaeological method and theory 6, 181–233.</w:t>
      </w:r>
    </w:p>
    <w:bookmarkEnd w:id="75"/>
    <w:bookmarkStart w:id="7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76"/>
    <w:bookmarkEnd w:id="77"/>
    <w:p>
      <w:pPr>
        <w:pStyle w:val="Heading5"/>
      </w:pPr>
      <w:bookmarkStart w:id="78" w:name="pagebreak-1"/>
      <w:r>
        <w:t xml:space="preserve">pagebreak</w:t>
      </w:r>
      <w:bookmarkEnd w:id="78"/>
    </w:p>
    <w:p>
      <w:pPr>
        <w:pStyle w:val="Heading3"/>
      </w:pPr>
      <w:bookmarkStart w:id="79" w:name="colophon"/>
      <w:r>
        <w:t xml:space="preserve">Colophon</w:t>
      </w:r>
      <w:bookmarkEnd w:id="79"/>
    </w:p>
    <w:p>
      <w:pPr>
        <w:pStyle w:val="FirstParagraph"/>
      </w:pPr>
      <w:r>
        <w:t xml:space="preserve">This report was generated on 2019-12-22 18:25:51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3.6.0)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base64enc        0.1-3    2015-07-28 [1] CRAN (R 3.6.0)              </w:t>
      </w:r>
      <w:r>
        <w:br w:type="textWrapping"/>
      </w:r>
      <w:r>
        <w:rPr>
          <w:rStyle w:val="VerbatimChar"/>
        </w:rPr>
        <w:t xml:space="preserve">#&gt;  bayesplot        1.7.0    2019-05-23 [1] CRAN (R 3.6.0)              </w:t>
      </w:r>
      <w:r>
        <w:br w:type="textWrapping"/>
      </w:r>
      <w:r>
        <w:rPr>
          <w:rStyle w:val="VerbatimChar"/>
        </w:rPr>
        <w:t xml:space="preserve">#&gt;  bookdown         0.16     2019-11-22 [1] CRAN (R 3.6.0)              </w:t>
      </w:r>
      <w:r>
        <w:br w:type="textWrapping"/>
      </w:r>
      <w:r>
        <w:rPr>
          <w:rStyle w:val="VerbatimChar"/>
        </w:rPr>
        <w:t xml:space="preserve">#&gt;  bridgesampling   0.7-2    2019-07-21 [1] CRAN (R 3.6.0)              </w:t>
      </w:r>
      <w:r>
        <w:br w:type="textWrapping"/>
      </w:r>
      <w:r>
        <w:rPr>
          <w:rStyle w:val="VerbatimChar"/>
        </w:rPr>
        <w:t xml:space="preserve">#&gt;  brms           * 2.10.0   2019-08-29 [1] CRAN (R 3.6.0)              </w:t>
      </w:r>
      <w:r>
        <w:br w:type="textWrapping"/>
      </w:r>
      <w:r>
        <w:rPr>
          <w:rStyle w:val="VerbatimChar"/>
        </w:rPr>
        <w:t xml:space="preserve">#&gt;  Brobdingnag      1.2-6    2018-08-13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coda             0.19-3   2019-07-05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colourpicker     1.0      2017-09-27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crosstalk        1.0.0    2016-12-21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DT               0.8      2019-08-07 [1] CRAN (R 3.6.0)              </w:t>
      </w:r>
      <w:r>
        <w:br w:type="textWrapping"/>
      </w:r>
      <w:r>
        <w:rPr>
          <w:rStyle w:val="VerbatimChar"/>
        </w:rPr>
        <w:t xml:space="preserve">#&gt;  dygraphs         1.1.1.6  2018-07-11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ggridges         0.5.1    2018-09-27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gtools           3.8.1    2018-06-26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htmlwidgets      1.3      2018-09-30 [1] CRAN (R 3.6.0)              </w:t>
      </w:r>
      <w:r>
        <w:br w:type="textWrapping"/>
      </w:r>
      <w:r>
        <w:rPr>
          <w:rStyle w:val="VerbatimChar"/>
        </w:rPr>
        <w:t xml:space="preserve">#&gt;  httpuv           1.5.2    2019-09-11 [1] CRAN (R 3.6.0)              </w:t>
      </w:r>
      <w:r>
        <w:br w:type="textWrapping"/>
      </w:r>
      <w:r>
        <w:rPr>
          <w:rStyle w:val="VerbatimChar"/>
        </w:rPr>
        <w:t xml:space="preserve">#&gt;  httr             1.4.1    2019-08-05 [1] CRAN (R 3.6.0)              </w:t>
      </w:r>
      <w:r>
        <w:br w:type="textWrapping"/>
      </w:r>
      <w:r>
        <w:rPr>
          <w:rStyle w:val="VerbatimChar"/>
        </w:rPr>
        <w:t xml:space="preserve">#&gt;  igraph           1.2.4.1  2019-04-22 [1] CRAN (R 3.6.0)              </w:t>
      </w:r>
      <w:r>
        <w:br w:type="textWrapping"/>
      </w:r>
      <w:r>
        <w:rPr>
          <w:rStyle w:val="VerbatimChar"/>
        </w:rPr>
        <w:t xml:space="preserve">#&gt;  inline           0.3.15   2018-05-18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later            0.8.0    2019-02-11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loo              2.1.0    2019-03-13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markdown         1.1      2019-08-07 [1] CRAN (R 3.6.0)              </w:t>
      </w:r>
      <w:r>
        <w:br w:type="textWrapping"/>
      </w:r>
      <w:r>
        <w:rPr>
          <w:rStyle w:val="VerbatimChar"/>
        </w:rPr>
        <w:t xml:space="preserve">#&gt;  MASS             7.3-51.4 2019-03-31 [1] CRAN (R 3.6.1)              </w:t>
      </w:r>
      <w:r>
        <w:br w:type="textWrapping"/>
      </w:r>
      <w:r>
        <w:rPr>
          <w:rStyle w:val="VerbatimChar"/>
        </w:rPr>
        <w:t xml:space="preserve">#&gt;  Matrix           1.2-17   2019-03-22 [1] CRAN (R 3.6.1)              </w:t>
      </w:r>
      <w:r>
        <w:br w:type="textWrapping"/>
      </w:r>
      <w:r>
        <w:rPr>
          <w:rStyle w:val="VerbatimChar"/>
        </w:rPr>
        <w:t xml:space="preserve">#&gt;  matrixStats      0.55.0   2019-09-07 [1] CRAN (R 3.6.0)              </w:t>
      </w:r>
      <w:r>
        <w:br w:type="textWrapping"/>
      </w:r>
      <w:r>
        <w:rPr>
          <w:rStyle w:val="VerbatimChar"/>
        </w:rPr>
        <w:t xml:space="preserve">#&gt;  memoise          1.1.0    2017-04-21 [1] CRAN (R 3.6.0)              </w:t>
      </w:r>
      <w:r>
        <w:br w:type="textWrapping"/>
      </w:r>
      <w:r>
        <w:rPr>
          <w:rStyle w:val="VerbatimChar"/>
        </w:rPr>
        <w:t xml:space="preserve">#&gt;  mgcv             1.8-28   2019-03-21 [1] CRAN (R 3.6.1)              </w:t>
      </w:r>
      <w:r>
        <w:br w:type="textWrapping"/>
      </w:r>
      <w:r>
        <w:rPr>
          <w:rStyle w:val="VerbatimChar"/>
        </w:rPr>
        <w:t xml:space="preserve">#&gt;  mime             0.7      2019-06-11 [1] CRAN (R 3.6.0)              </w:t>
      </w:r>
      <w:r>
        <w:br w:type="textWrapping"/>
      </w:r>
      <w:r>
        <w:rPr>
          <w:rStyle w:val="VerbatimChar"/>
        </w:rPr>
        <w:t xml:space="preserve">#&gt;  miniUI           0.1.1.1  2018-05-18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1.4.2    2019-06-29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promises         1.0.1    2018-04-13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rsconnect        0.8.15   2019-07-22 [1] CRAN (R 3.6.0)              </w:t>
      </w:r>
      <w:r>
        <w:br w:type="textWrapping"/>
      </w:r>
      <w:r>
        <w:rPr>
          <w:rStyle w:val="VerbatimChar"/>
        </w:rPr>
        <w:t xml:space="preserve">#&gt;  rstan            2.19.2   2019-07-09 [1] CRAN (R 3.6.0)              </w:t>
      </w:r>
      <w:r>
        <w:br w:type="textWrapping"/>
      </w:r>
      <w:r>
        <w:rPr>
          <w:rStyle w:val="VerbatimChar"/>
        </w:rPr>
        <w:t xml:space="preserve">#&gt;  rstantools       2.0.0    2019-09-15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shiny            1.3.2    2019-04-22 [1] CRAN (R 3.6.0)              </w:t>
      </w:r>
      <w:r>
        <w:br w:type="textWrapping"/>
      </w:r>
      <w:r>
        <w:rPr>
          <w:rStyle w:val="VerbatimChar"/>
        </w:rPr>
        <w:t xml:space="preserve">#&gt;  shinyjs          1.0      2018-01-08 [1] CRAN (R 3.6.0)              </w:t>
      </w:r>
      <w:r>
        <w:br w:type="textWrapping"/>
      </w:r>
      <w:r>
        <w:rPr>
          <w:rStyle w:val="VerbatimChar"/>
        </w:rPr>
        <w:t xml:space="preserve">#&gt;  shinystan        2.5.0    2018-05-01 [1] CRAN (R 3.6.0)              </w:t>
      </w:r>
      <w:r>
        <w:br w:type="textWrapping"/>
      </w:r>
      <w:r>
        <w:rPr>
          <w:rStyle w:val="VerbatimChar"/>
        </w:rPr>
        <w:t xml:space="preserve">#&gt;  shinythemes      1.1.2    2018-11-06 [1] CRAN (R 3.6.0)              </w:t>
      </w:r>
      <w:r>
        <w:br w:type="textWrapping"/>
      </w:r>
      <w:r>
        <w:rPr>
          <w:rStyle w:val="VerbatimChar"/>
        </w:rPr>
        <w:t xml:space="preserve">#&gt;  StanHeaders      2.19.0   2019-09-07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threejs          0.3.1    2017-08-13 [1] CRAN (R 3.6.0)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0.2.0    2019-07-05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xtable           1.8-4    2019-04-21 [1] CRAN (R 3.6.0)              </w:t>
      </w:r>
      <w:r>
        <w:br w:type="textWrapping"/>
      </w:r>
      <w:r>
        <w:rPr>
          <w:rStyle w:val="VerbatimChar"/>
        </w:rPr>
        <w:t xml:space="preserve">#&gt;  xts              0.11-2   2018-11-05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zoo              1.8-6    2019-05-28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[f457c5b] 2019-12-23: work on PCA results</w:t>
      </w:r>
    </w:p>
    <w:p>
      <w:pPr>
        <w:pStyle w:val="FirstParagraph"/>
      </w:pPr>
      <w:r>
        <w:t xml:space="preserve">Word count: 3291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27" Target="http:XXX" TargetMode="External" /><Relationship Type="http://schemas.openxmlformats.org/officeDocument/2006/relationships/hyperlink" Id="rId66"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66"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2019-12-23T02:25:59Z</dcterms:created>
  <dcterms:modified xsi:type="dcterms:W3CDTF">2019-12-23T02:25:59Z</dcterms:modified>
</cp:coreProperties>
</file>