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3.png" ContentType="image/png"/>
  <Override PartName="/word/media/rId35.png" ContentType="image/png"/>
  <Override PartName="/word/media/rId24.jpg" ContentType="image/jpeg"/>
  <Override PartName="/word/media/rId32.png" ContentType="image/pn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shape</w:t>
      </w:r>
      <w:r>
        <w:t xml:space="preserve"> </w:t>
      </w:r>
      <w:r>
        <w:t xml:space="preserve">standardization</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11</w:t>
      </w:r>
      <w:r>
        <w:t xml:space="preserve"> </w:t>
      </w:r>
      <w:r>
        <w:t xml:space="preserve">April,</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that is often linked to social change in small-scale societies is colonial settlers introducing foreign trade goods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often short-lived and unsuccessful, but their commercial activities had economic and political impacts on Indigenous peoples living on the periphery of colonial control</w:t>
      </w:r>
      <w:r>
        <w:t xml:space="preserve"> </w:t>
      </w:r>
      <w:r>
        <w:t xml:space="preserve">(Acabado, 2017; Trabert, 2017)</w:t>
      </w:r>
      <w:r>
        <w:t xml:space="preserve">. Pericolonial situations were common during the seventeenth to nineteenth centuries in East and Southeast Asia where European trading activity was extensive, but direct European rule less widespread. An emerging priority in archaeological research in this region is identifying the indirect influences are apparent on Indigenous communities during this time. For example,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w:t>
      </w:r>
    </w:p>
    <w:p>
      <w:pPr>
        <w:pStyle w:val="BodyText"/>
      </w:pPr>
      <w:r>
        <w:t xml:space="preserve">Indigenous societies’ responses to colonial contact range from passive acceptance through to active negotiation with the colonists, and accommodation or resistance of foreign intrusion. These responses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(1350-1850 AD),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Indigenous communities there were isolated by geographical barriers that limited the frequency of direct contact with the Spanish and the Dutch settlers in northern Taiwan. Kiwulan is situated on a hill near a riverside at the northern margin of Yilan County, which is characterized by a triangular alluvial plain facing eastwards the Pacific with high mountains on three other sides.</w:t>
      </w:r>
    </w:p>
    <w:p>
      <w:pPr>
        <w:pStyle w:val="BodyText"/>
      </w:pPr>
      <w:r>
        <w:t xml:space="preserve">Our specific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We predict that competition within the Indigenous community at Kiwulan for foreign resources and trade partnerships with European or Chinese colonizers may have led to the emergence of craft specialization caused by greater economic and social control of pottery production by a small group of individuals. Using pottery shape as a proxy to study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such as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The coefficient of variation statistic is commonly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pottery shape using geometric morphometric methods.</w:t>
      </w:r>
    </w:p>
    <w:p>
      <w:pPr>
        <w:pStyle w:val="Heading2"/>
      </w:pPr>
      <w:bookmarkStart w:id="21" w:name="geometric-morphometry"/>
      <w:r>
        <w:t xml:space="preserve">Geometric Morphometry</w:t>
      </w:r>
      <w:bookmarkEnd w:id="21"/>
    </w:p>
    <w:p>
      <w:pPr>
        <w:pStyle w:val="FirstParagraph"/>
      </w:pPr>
      <w:r>
        <w:t xml:space="preserve">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Landmark-based morphometrics are widely applied to archaeological objects with obvious morphological features that can provide unambiguous reference points for landmark placement, such as projectile point tips or visually distinctive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a key limitation of the landmark approach is that landmarks may be difficult to reproducibly locate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EFA is suitable for shapes lacking representative landmarks or where curves contain the most meaningful variation. Applications in archaeology include human remains and zooarchaeology, stone artifacts, and ceramics</w:t>
      </w:r>
      <w:r>
        <w:t xml:space="preserve"> </w:t>
      </w:r>
      <w:r>
        <w:t xml:space="preserve">(Fox, 2015; Hoggard et al., 2019; Ioviţă, 2010; Selden Jr, 2019; Topi et al., 2018; Wilczek et al., 2014)</w:t>
      </w:r>
      <w:r>
        <w:t xml:space="preserve">. 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1850, covering the late Iron Age and the historical period, which we define as the European occupation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bmarwick/Desktop/kwl.pottery/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bmarwick/Desktop/kwl.pottery/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(Chen, 2007; Hsieh, 2009; Wang, 2011)</w:t>
      </w:r>
      <w:r>
        <w:t xml:space="preserve">. The deposit shows signs of continuous human occupation during each of the three phases across the sampling area.</w:t>
      </w:r>
    </w:p>
    <w:p>
      <w:pPr>
        <w:pStyle w:val="BodyText"/>
      </w:pPr>
      <w:r>
        <w:t xml:space="preserve">The most abundant artifacts in the upper component are locally made ceramics, which are distributed throughout the sequence and across the site. More than 550,000 sherds were excavated, and around 1,200 vessels could be partially reconstructed (i.e. complete rim, or complete base).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Heading1"/>
      </w:pPr>
      <w:bookmarkStart w:id="25" w:name="methods"/>
      <w:r>
        <w:t xml:space="preserve">Methods</w:t>
      </w:r>
      <w:bookmarkEnd w:id="25"/>
    </w:p>
    <w:p>
      <w:pPr>
        <w:pStyle w:val="FirstParagraph"/>
      </w:pPr>
      <w:r>
        <w:t xml:space="preserve">We used all 73 vessels that could be reconstructed with rim, body and base parts and securely provenanced to pre-contact contexts (n = 32), post-European contexts (n = 27), and Chinese contact contexts (n = 14) for elliptic Fourier analysis.</w:t>
      </w:r>
    </w:p>
    <w:p>
      <w:pPr>
        <w:pStyle w:val="Heading2"/>
      </w:pPr>
      <w:bookmarkStart w:id="26" w:name="digitizing-and-analyzing-by-efa"/>
      <w:r>
        <w:t xml:space="preserve">Digitizing and analyzing by EFA</w:t>
      </w:r>
      <w:bookmarkEnd w:id="26"/>
    </w:p>
    <w:p>
      <w:pPr>
        <w:pStyle w:val="FirstParagraph"/>
      </w:pPr>
      <w:r>
        <w:t xml:space="preserve">We used scans of pottery drawings acquired from the Bureau of Cultural Affairs in Yilan. All drawings present a two-dimensional view of vessel cross-sections with indications of metric measurements. The scanned drawings were imported into Inkscape (</w:t>
      </w:r>
      <w:hyperlink r:id="rId27">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 (R Core Team, 2019) and the functions included in the Momocs, a R package intended to quantify and analyze shapes (</w:t>
      </w:r>
      <w:r>
        <w:t xml:space="preserve">(Bonhomme et al., 2014)</w:t>
      </w:r>
      <w:r>
        <w:t xml:space="preserve">. The digilized outlines were converted into a list of successive xy pixel coordinates for elliptic Fourier analysis (EFA). The harmonic coefficients generated by EFA were analyzed by principal component analysis (PCA) for dimensionality reduction to illustrate the diversity of the shape data and identify major patterns of variation.</w:t>
      </w:r>
    </w:p>
    <w:p>
      <w:pPr>
        <w:pStyle w:val="Heading2"/>
      </w:pPr>
      <w:bookmarkStart w:id="28" w:name="statistical-analysis"/>
      <w:r>
        <w:t xml:space="preserve">Statistical analysis</w:t>
      </w:r>
      <w:bookmarkEnd w:id="28"/>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29" w:name="X1d9039aecbbcb44c2dfa3a9268a6c9535658f66"/>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0">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We found that 13 harmonics captured 99% of the total harmonic power in our elliptic Fourier coefficients of 73 vessels from three phases. Figure</w:t>
      </w:r>
      <w:r>
        <w:t xml:space="preserve"> </w:t>
      </w:r>
      <w:r>
        <w:t xml:space="preserve">3</w:t>
      </w:r>
      <w:r>
        <w:t xml:space="preserve"> </w:t>
      </w:r>
      <w:r>
        <w:t xml:space="preserve">shows vessel shape changes described using thin-plate spline warping for paired periods, pre- and post-European periods, and post-European and Chinese periods, with the most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principle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3</w:t>
      </w:r>
      <w:r>
        <w:t xml:space="preserve">). PC2 relates to the neck and mouth constriction, from narrow to wide. PC3 explains a smaller portion of the variance (11.23%), which relates to the degree of the flare of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3: Left: Comparison of average vessel shapes across phases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bmarwick/Desktop/kwl.pottery/analysis/figures/iso_pca_composit_crop.png" id="0" name="Picture"/>
                    <pic:cNvPicPr>
                      <a:picLocks noChangeArrowheads="1" noChangeAspect="1"/>
                    </pic:cNvPicPr>
                  </pic:nvPicPr>
                  <pic:blipFill>
                    <a:blip r:embed="rId32"/>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3: Left: Comparison of average vessel shapes across phases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Comnparison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4</w:t>
      </w:r>
      <w:r>
        <w:t xml:space="preserve">). The first PC, capturing vessel height and roundness,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n.d.)</w:t>
      </w:r>
      <w:r>
        <w:t xml:space="preserve">.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w:t>
      </w:r>
      <w:r>
        <w:t xml:space="preserve">, Table</w:t>
      </w:r>
      <w:r>
        <w:t xml:space="preserve"> </w:t>
      </w:r>
      <w:r>
        <w:t xml:space="preserve">2</w:t>
      </w:r>
      <w:r>
        <w:t xml:space="preserve">). A significant difference was also detected between the pre-European and post-European periods.</w:t>
      </w:r>
    </w:p>
    <w:p>
      <w:pPr>
        <w:pStyle w:val="CaptionedFigure"/>
      </w:pPr>
      <w:r>
        <w:drawing>
          <wp:inline>
            <wp:extent cx="5943600" cy="4754880"/>
            <wp:effectExtent b="0" l="0" r="0" t="0"/>
            <wp:docPr descr="Figure 4: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0.1384</w:t>
            </w:r>
          </w:p>
        </w:tc>
        <w:tc>
          <w:p>
            <w:pPr>
              <w:pStyle w:val="Compact"/>
              <w:jc w:val="right"/>
            </w:pPr>
            <w:r>
              <w:t xml:space="preserve">0.7099</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9.0015</w:t>
            </w:r>
          </w:p>
        </w:tc>
        <w:tc>
          <w:p>
            <w:pPr>
              <w:pStyle w:val="Compact"/>
              <w:jc w:val="right"/>
            </w:pPr>
            <w:r>
              <w:t xml:space="preserve">0.0027</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8.1614</w:t>
            </w:r>
          </w:p>
        </w:tc>
        <w:tc>
          <w:p>
            <w:pPr>
              <w:pStyle w:val="Compact"/>
              <w:jc w:val="right"/>
            </w:pPr>
            <w:r>
              <w:t xml:space="preserve">0.0043</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0.0362</w:t>
            </w:r>
          </w:p>
        </w:tc>
        <w:tc>
          <w:p>
            <w:pPr>
              <w:pStyle w:val="Compact"/>
              <w:jc w:val="right"/>
            </w:pPr>
            <w:r>
              <w:t xml:space="preserve">0.8491</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0.2516</w:t>
            </w:r>
          </w:p>
        </w:tc>
        <w:tc>
          <w:p>
            <w:pPr>
              <w:pStyle w:val="Compact"/>
              <w:jc w:val="right"/>
            </w:pPr>
            <w:r>
              <w:t xml:space="preserve">0.6159</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0.0697</w:t>
            </w:r>
          </w:p>
        </w:tc>
        <w:tc>
          <w:p>
            <w:pPr>
              <w:pStyle w:val="Compact"/>
              <w:jc w:val="right"/>
            </w:pPr>
            <w:r>
              <w:t xml:space="preserve">0.7918</w:t>
            </w:r>
          </w:p>
        </w:tc>
        <w:tc>
          <w:p>
            <w:pPr>
              <w:pStyle w:val="Compact"/>
              <w:jc w:val="left"/>
            </w:pPr>
            <w:r>
              <w:t xml:space="preserve">Chinese Contact vs Post-European</w:t>
            </w:r>
          </w:p>
        </w:tc>
      </w:tr>
    </w:tbl>
    <w:p>
      <w:pPr>
        <w:pStyle w:val="Heading1"/>
      </w:pPr>
      <w:bookmarkStart w:id="34" w:name="discussion"/>
      <w:r>
        <w:t xml:space="preserve">Discussion</w:t>
      </w:r>
      <w:bookmarkEnd w:id="34"/>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(Cheng, 2008; Wang, 2011)</w:t>
      </w:r>
      <w:r>
        <w:t xml:space="preserve">, hinting at an emergence of social inequality in the Indigenous community. We have examined ceramic vessel shape standardization to measure craft specialization as a proxy for social differentiation</w:t>
      </w:r>
      <w:r>
        <w:t xml:space="preserve"> </w:t>
      </w:r>
      <w:r>
        <w:t xml:space="preserve">(Costin, 2001; Junker, 1999)</w:t>
      </w:r>
      <w:r>
        <w:t xml:space="preserve">.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Pottery shape became more homogeneous and standardized after contact with Europeans and even more so after contact with the Chinese.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The spatial analysis (Figure</w:t>
      </w:r>
      <w:r>
        <w:t xml:space="preserve"> </w:t>
      </w:r>
      <w:r>
        <w:t xml:space="preserve">5</w:t>
      </w:r>
      <w:r>
        <w:t xml:space="preserve">)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Although the overall number of vessels is smaller during the Chinese contact period, (Figure</w:t>
      </w:r>
      <w:r>
        <w:t xml:space="preserve"> </w:t>
      </w:r>
      <w:r>
        <w:t xml:space="preserve">5</w:t>
      </w:r>
      <w:r>
        <w:t xml:space="preserve">) shows that pottery is distributed randomly across the sampling area without any distinctive clusters during this time.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5: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6: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6"/>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6: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(Feinman, 2000)</w:t>
      </w:r>
      <w:r>
        <w:t xml:space="preserve">. However, strong claims for an emergence of social complexity resulting from foreign contact at Kiwulan will need support from multiple and diverse sources of evidence that are beyond the scope of this paper. We find vessel shapes were more standardized in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7" w:name="conclusion"/>
      <w:r>
        <w:t xml:space="preserve">Conclusion</w:t>
      </w:r>
      <w:bookmarkEnd w:id="37"/>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pericolonial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38" w:name="acknowledgments"/>
      <w:r>
        <w:t xml:space="preserve">Acknowledgments</w:t>
      </w:r>
      <w:bookmarkEnd w:id="38"/>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39" w:name="pagebreak"/>
      <w:r>
        <w:t xml:space="preserve">pagebreak</w:t>
      </w:r>
      <w:bookmarkEnd w:id="39"/>
    </w:p>
    <w:p>
      <w:pPr>
        <w:pStyle w:val="Heading1"/>
      </w:pPr>
      <w:bookmarkStart w:id="40" w:name="references"/>
      <w:r>
        <w:t xml:space="preserve">References</w:t>
      </w:r>
      <w:bookmarkEnd w:id="40"/>
    </w:p>
    <w:bookmarkStart w:id="111" w:name="refs"/>
    <w:bookmarkStart w:id="41"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1"/>
    <w:bookmarkStart w:id="42" w:name="ref-Adams2004"/>
    <w:p>
      <w:pPr>
        <w:pStyle w:val="Bibliography"/>
      </w:pPr>
      <w:r>
        <w:t xml:space="preserve">Adams, D.C., Rohlf, F.J., Slice, D.E., 2004. Geometric morphometrics: Ten years of progress following the “revolution”. Italian Journal of Zoology 71, 5–16.</w:t>
      </w:r>
    </w:p>
    <w:bookmarkEnd w:id="42"/>
    <w:bookmarkStart w:id="43" w:name="ref-Andrade2007"/>
    <w:p>
      <w:pPr>
        <w:pStyle w:val="Bibliography"/>
      </w:pPr>
      <w:r>
        <w:t xml:space="preserve">Andrade, T., 2007. How Taiwan became chinese : Dutch, spanish, and han colonization in the seventeenth century. Columbia University Press, New York.</w:t>
      </w:r>
    </w:p>
    <w:bookmarkEnd w:id="43"/>
    <w:bookmarkStart w:id="44" w:name="ref-Arnold2000"/>
    <w:p>
      <w:pPr>
        <w:pStyle w:val="Bibliography"/>
      </w:pPr>
      <w:r>
        <w:t xml:space="preserve">Arnold, D.E., 2000. Does the standardization of ceramic pastes really mean specialization? Journal of Archaeological Method and Theory 7, 333–375.</w:t>
      </w:r>
    </w:p>
    <w:bookmarkEnd w:id="44"/>
    <w:bookmarkStart w:id="45"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45"/>
    <w:bookmarkStart w:id="46"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46"/>
    <w:bookmarkStart w:id="47" w:name="ref-Boness2015"/>
    <w:p>
      <w:pPr>
        <w:pStyle w:val="Bibliography"/>
      </w:pPr>
      <w:r>
        <w:t xml:space="preserve">Boness, D., Clarke, J., Goren, Y., 2015. Ceramic neolithic pottery in cyprus—origin, technology and possible implications for social structure and identity. Levant 47, 233–254.</w:t>
      </w:r>
    </w:p>
    <w:bookmarkEnd w:id="47"/>
    <w:bookmarkStart w:id="48" w:name="ref-Bonhomme2014"/>
    <w:p>
      <w:pPr>
        <w:pStyle w:val="Bibliography"/>
      </w:pPr>
      <w:r>
        <w:t xml:space="preserve">Bonhomme, V., Picq, S., Gaucherel, C., Claude, J., others, 2014. Momocs: Outline analysis using r. Journal of Statistical Software 56, 1–24.</w:t>
      </w:r>
    </w:p>
    <w:bookmarkEnd w:id="48"/>
    <w:bookmarkStart w:id="49" w:name="ref-Bookstein1997"/>
    <w:p>
      <w:pPr>
        <w:pStyle w:val="Bibliography"/>
      </w:pPr>
      <w:r>
        <w:t xml:space="preserve">Bookstein, F.L., 1997. Landmark methods for forms without landmarks: Morphometrics of group differences in outline shape. Medical image analysis 1, 225–243.</w:t>
      </w:r>
    </w:p>
    <w:bookmarkEnd w:id="49"/>
    <w:bookmarkStart w:id="50" w:name="ref-Buchanan2019"/>
    <w:p>
      <w:pPr>
        <w:pStyle w:val="Bibliography"/>
      </w:pPr>
      <w:r>
        <w:t xml:space="preserve">Buchanan, B., Collard, M., O’Brien, M.J., 2019. Geometric morphometric analyses support incorporating the goshen point type into plainview. American Antiquity 1–11.</w:t>
      </w:r>
    </w:p>
    <w:bookmarkEnd w:id="50"/>
    <w:bookmarkStart w:id="51" w:name="ref-Cardillo2010"/>
    <w:p>
      <w:pPr>
        <w:pStyle w:val="Bibliography"/>
      </w:pPr>
      <w:r>
        <w:t xml:space="preserve">Cardillo, M., 2010. Some applications of geometric morphometrics to archaeology, in: Elewa, A.M.T. (Ed.), Morphometrics for Nonmorphometricians. Springer, pp. 325–341.</w:t>
      </w:r>
    </w:p>
    <w:bookmarkEnd w:id="51"/>
    <w:bookmarkStart w:id="52" w:name="ref-Chen1963"/>
    <w:p>
      <w:pPr>
        <w:pStyle w:val="Bibliography"/>
      </w:pPr>
      <w:r>
        <w:t xml:space="preserve">Chen, S., 1963. Kavalan ting zhi [kavalen culture history], taiwan wen xian cong kan di 106 zhong [taiwan literature series: 106]. Economic Research Office, Bank ofTaiwan, Taipei.</w:t>
      </w:r>
    </w:p>
    <w:bookmarkEnd w:id="52"/>
    <w:bookmarkStart w:id="53" w:name="ref-Chen2016"/>
    <w:p>
      <w:pPr>
        <w:pStyle w:val="Bibliography"/>
      </w:pPr>
      <w:r>
        <w:t xml:space="preserve">Chen, W.-S., 2016. Tai wan di zhi gai lun [an introduction to the geology of taiwan]. Geological Society Located in Taipei.</w:t>
      </w:r>
    </w:p>
    <w:bookmarkEnd w:id="53"/>
    <w:bookmarkStart w:id="54" w:name="ref-Chen2007"/>
    <w:p>
      <w:pPr>
        <w:pStyle w:val="Bibliography"/>
      </w:pPr>
      <w:r>
        <w:t xml:space="preserve">Chen, Y.-p., 2007. Qi wu lan yi zhi qiang jiu fa jue bao gao [report on the archaeological excavations at ki-wu-lan site]. Lanyang museum, Yilan, Taiwan.</w:t>
      </w:r>
    </w:p>
    <w:bookmarkEnd w:id="54"/>
    <w:bookmarkStart w:id="55" w:name="ref-Cheng2008"/>
    <w:p>
      <w:pPr>
        <w:pStyle w:val="Bibliography"/>
      </w:pPr>
      <w:r>
        <w:t xml:space="preserve">Cheng, C.-f., 2008. Qi wu lan yi zhi yu she nei yi zhi chu tu bo li zhu de xiang guan yan jiu [studies of glass beads excavated from kivulan and shenei site, Taiwan] (Master’s thesis).</w:t>
      </w:r>
    </w:p>
    <w:bookmarkEnd w:id="55"/>
    <w:bookmarkStart w:id="56" w:name="ref-Chiu2004"/>
    <w:p>
      <w:pPr>
        <w:pStyle w:val="Bibliography"/>
      </w:pPr>
      <w:r>
        <w:t xml:space="preserve">Chiu, H.-l., 2004. Investigations of mortuary behaviors and cultural change of the kivulan site in i-lan county, Taiwan (Dissertation).</w:t>
      </w:r>
    </w:p>
    <w:bookmarkEnd w:id="56"/>
    <w:bookmarkStart w:id="57" w:name="ref-Claude2008"/>
    <w:p>
      <w:pPr>
        <w:pStyle w:val="Bibliography"/>
      </w:pPr>
      <w:r>
        <w:t xml:space="preserve">Claude, J., 2008. Morphometrics with r. Springer Science &amp; Business Media.</w:t>
      </w:r>
    </w:p>
    <w:bookmarkEnd w:id="57"/>
    <w:bookmarkStart w:id="58" w:name="ref-Costin2001"/>
    <w:p>
      <w:pPr>
        <w:pStyle w:val="Bibliography"/>
      </w:pPr>
      <w:r>
        <w:t xml:space="preserve">Costin, C.L., 2001. Craft production systems, in: Archaeology at the Millennium. Springer, pp. 273–327.</w:t>
      </w:r>
    </w:p>
    <w:bookmarkEnd w:id="58"/>
    <w:bookmarkStart w:id="59" w:name="ref-Costin1991"/>
    <w:p>
      <w:pPr>
        <w:pStyle w:val="Bibliography"/>
      </w:pPr>
      <w:r>
        <w:t xml:space="preserve">Costin, C.L., 1991. Craft specialization: Issues in defining, documenting, and explaining the organization of production. Archaeological method and theory 1–56.</w:t>
      </w:r>
    </w:p>
    <w:bookmarkEnd w:id="59"/>
    <w:bookmarkStart w:id="60" w:name="ref-Dietler2015"/>
    <w:p>
      <w:pPr>
        <w:pStyle w:val="Bibliography"/>
      </w:pPr>
      <w:r>
        <w:t xml:space="preserve">Dietler, M., 2015. Archaeologies of colonialism: Consumption, entanglement, and violence in ancient mediterranean france. Univ of California Press.</w:t>
      </w:r>
    </w:p>
    <w:bookmarkEnd w:id="60"/>
    <w:bookmarkStart w:id="61"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1"/>
    <w:bookmarkStart w:id="62" w:name="ref-Dietler1997"/>
    <w:p>
      <w:pPr>
        <w:pStyle w:val="Bibliography"/>
      </w:pPr>
      <w:r>
        <w:t xml:space="preserve">Dietler, M., 1997. The iron age in mediterranean france: Colonial encounters, entanglements, and transformations. Journal of World Prehistory 11, 269–358.</w:t>
      </w:r>
    </w:p>
    <w:bookmarkEnd w:id="62"/>
    <w:bookmarkStart w:id="63" w:name="ref-Eerkens2000"/>
    <w:p>
      <w:pPr>
        <w:pStyle w:val="Bibliography"/>
      </w:pPr>
      <w:r>
        <w:t xml:space="preserve">Eerkens, J.W., 2000. Practice makes within 5% of perfect: Visual perception, motor skills, and memory in artifact variation. Current Anthropology 41, 663–668.</w:t>
      </w:r>
    </w:p>
    <w:bookmarkEnd w:id="63"/>
    <w:bookmarkStart w:id="64" w:name="ref-Eerkens2001"/>
    <w:p>
      <w:pPr>
        <w:pStyle w:val="Bibliography"/>
      </w:pPr>
      <w:r>
        <w:t xml:space="preserve">Eerkens, J.W., Bettinger, R.L., 2001. Techniques for assessing standardization in artifact assemblages: Can we scale material variability? American Antiquity 66, 493–504.</w:t>
      </w:r>
    </w:p>
    <w:bookmarkEnd w:id="64"/>
    <w:bookmarkStart w:id="65" w:name="ref-Evershed2008"/>
    <w:p>
      <w:pPr>
        <w:pStyle w:val="Bibliography"/>
      </w:pPr>
      <w:r>
        <w:t xml:space="preserve">Evershed, R.P., 2008. Organic residue analysis in archaeology: The archaeological biomarker revolution. Archaeometry 50, 895–924.</w:t>
      </w:r>
    </w:p>
    <w:bookmarkEnd w:id="65"/>
    <w:bookmarkStart w:id="66"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66"/>
    <w:bookmarkStart w:id="67" w:name="ref-Feltz1996"/>
    <w:p>
      <w:pPr>
        <w:pStyle w:val="Bibliography"/>
      </w:pPr>
      <w:r>
        <w:t xml:space="preserve">Feltz, C.J., Miller, G.E., 1996. An asymptotic test for the equality of coefficients of variation from k populations. Statistics in medicine 15, 647–658.</w:t>
      </w:r>
    </w:p>
    <w:bookmarkEnd w:id="67"/>
    <w:bookmarkStart w:id="68" w:name="ref-Fox2015"/>
    <w:p>
      <w:pPr>
        <w:pStyle w:val="Bibliography"/>
      </w:pPr>
      <w:r>
        <w:t xml:space="preserve">Fox, A.N., 2015. A study of late woodland projectile point typology in new york using elliptical fourier outline analysis. Journal of Archaeological Science: Reports 4, 501–509.</w:t>
      </w:r>
    </w:p>
    <w:bookmarkEnd w:id="68"/>
    <w:bookmarkStart w:id="69" w:name="ref-Given2004"/>
    <w:p>
      <w:pPr>
        <w:pStyle w:val="Bibliography"/>
      </w:pPr>
      <w:r>
        <w:t xml:space="preserve">Given, M., 2004. The archaeology of the colonized. Routledge, London; New York.</w:t>
      </w:r>
    </w:p>
    <w:bookmarkEnd w:id="69"/>
    <w:bookmarkStart w:id="70" w:name="ref-Gunz2013"/>
    <w:p>
      <w:pPr>
        <w:pStyle w:val="Bibliography"/>
      </w:pPr>
      <w:r>
        <w:t xml:space="preserve">Gunz, P., Mitteroecker, P., 2013. Semilandmarks: A method for quantifying curves and surfaces. Hystrix, the Italian Journal of Mammalogy 24, 103–109.</w:t>
      </w:r>
    </w:p>
    <w:bookmarkEnd w:id="70"/>
    <w:bookmarkStart w:id="71"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1"/>
    <w:bookmarkStart w:id="72"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72"/>
    <w:bookmarkStart w:id="73"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73"/>
    <w:bookmarkStart w:id="74" w:name="ref-Hsieh2009"/>
    <w:p>
      <w:pPr>
        <w:pStyle w:val="Bibliography"/>
      </w:pPr>
      <w:r>
        <w:t xml:space="preserve">Hsieh, E., 2009. Yi lan qi wu lan yi zhi chu tu wai lai tao ci qi zhi xiang guan yan jiu [the study of imported ceramics excavated at the ki-wu-lan site, i-lan] (Master’s thesis).</w:t>
      </w:r>
    </w:p>
    <w:bookmarkEnd w:id="74"/>
    <w:bookmarkStart w:id="75" w:name="ref-Iovictua2010"/>
    <w:p>
      <w:pPr>
        <w:pStyle w:val="Bibliography"/>
      </w:pPr>
      <w:r>
        <w:t xml:space="preserve">Ioviţă, R., 2010. Comparing stone tool resharpening trajectories with the aid of elliptical fourier analysis, in: New Perspectives on Old Stones. Springer, pp. 235–253.</w:t>
      </w:r>
    </w:p>
    <w:bookmarkEnd w:id="75"/>
    <w:bookmarkStart w:id="76" w:name="ref-Junker1999"/>
    <w:p>
      <w:pPr>
        <w:pStyle w:val="Bibliography"/>
      </w:pPr>
      <w:r>
        <w:t xml:space="preserve">Junker, L.L., 1999. Raiding, trading, and feasting: The political economy of philippine chiefdoms. University of Hawaii Press.</w:t>
      </w:r>
    </w:p>
    <w:bookmarkEnd w:id="76"/>
    <w:bookmarkStart w:id="77" w:name="ref-Junker1993"/>
    <w:p>
      <w:pPr>
        <w:pStyle w:val="Bibliography"/>
      </w:pPr>
      <w:r>
        <w:t xml:space="preserve">Junker, L.L., 1993. Craft goods specialization and prestige goods exchange in philippine chiefdoms of the fifteenth and sixteenth centuries. Asian Perspectives 1–35.</w:t>
      </w:r>
    </w:p>
    <w:bookmarkEnd w:id="77"/>
    <w:bookmarkStart w:id="78" w:name="ref-Ke1993"/>
    <w:p>
      <w:pPr>
        <w:pStyle w:val="Bibliography"/>
      </w:pPr>
      <w:r>
        <w:t xml:space="preserve">Ke, P., 1993. Kavalan zhi lue [record of kavalen]. Historical Records Committee of Taiwan Provincial Government, Nantou.</w:t>
      </w:r>
    </w:p>
    <w:bookmarkEnd w:id="78"/>
    <w:bookmarkStart w:id="79" w:name="ref-Krishnamoorthy2014"/>
    <w:p>
      <w:pPr>
        <w:pStyle w:val="Bibliography"/>
      </w:pPr>
      <w:r>
        <w:t xml:space="preserve">Krishnamoorthy, K., Lee, M., 2014. Improved tests for the equality of normal coefficients of variation. Computational Statistics 29, 215–232.</w:t>
      </w:r>
    </w:p>
    <w:bookmarkEnd w:id="79"/>
    <w:bookmarkStart w:id="80" w:name="ref-Kuhl1982"/>
    <w:p>
      <w:pPr>
        <w:pStyle w:val="Bibliography"/>
      </w:pPr>
      <w:r>
        <w:t xml:space="preserve">Kuhl, F.P., Giardina, C.R., 1982. Elliptic fourier features of a closed contour. Computer graphics and image processing 18, 236–258.</w:t>
      </w:r>
    </w:p>
    <w:bookmarkEnd w:id="80"/>
    <w:bookmarkStart w:id="81"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81"/>
    <w:bookmarkStart w:id="82" w:name="ref-Lawing2010"/>
    <w:p>
      <w:pPr>
        <w:pStyle w:val="Bibliography"/>
      </w:pPr>
      <w:r>
        <w:t xml:space="preserve">Lawing, A.M., Polly, P.D., 2010. Geometric morphometrics: Recent applications to the study of evolution and development. Journal of Zoology 280, 1–7.</w:t>
      </w:r>
    </w:p>
    <w:bookmarkEnd w:id="82"/>
    <w:bookmarkStart w:id="83"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83"/>
    <w:bookmarkStart w:id="84" w:name="ref-Lycett2008"/>
    <w:p>
      <w:pPr>
        <w:pStyle w:val="Bibliography"/>
      </w:pPr>
      <w:r>
        <w:t xml:space="preserve">Lycett, S.J., Gowlett, J.A., 2008. On questions surrounding the acheulean “tradition”. World Archaeology 40, 295–315.</w:t>
      </w:r>
    </w:p>
    <w:bookmarkEnd w:id="84"/>
    <w:bookmarkStart w:id="86"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5">
        <w:r>
          <w:rPr>
            <w:rStyle w:val="Hyperlink"/>
          </w:rPr>
          <w:t xml:space="preserve">https://doi.org/10.1007/s10816-015-9272-9</w:t>
        </w:r>
      </w:hyperlink>
    </w:p>
    <w:bookmarkEnd w:id="86"/>
    <w:bookmarkStart w:id="87" w:name="ref-Marwick2018"/>
    <w:p>
      <w:pPr>
        <w:pStyle w:val="Bibliography"/>
      </w:pPr>
      <w:r>
        <w:t xml:space="preserve">Marwick, B., Boettiger, C., Mullen, L., 2018. Packaging data analytical work reproducibly using r (and friends). The American Statistician 72, 80–88.</w:t>
      </w:r>
    </w:p>
    <w:bookmarkEnd w:id="87"/>
    <w:bookmarkStart w:id="88" w:name="ref-Marwick2019"/>
    <w:p>
      <w:pPr>
        <w:pStyle w:val="Bibliography"/>
      </w:pPr>
      <w:r>
        <w:t xml:space="preserve">Marwick, B., Krishnamoorthy, K., n.d. Cvequality: Tests for the equality of coefficients of variation from multiple groups.</w:t>
      </w:r>
    </w:p>
    <w:bookmarkEnd w:id="88"/>
    <w:bookmarkStart w:id="89" w:name="ref-Meloro2015"/>
    <w:p>
      <w:pPr>
        <w:pStyle w:val="Bibliography"/>
      </w:pPr>
      <w:r>
        <w:t xml:space="preserve">Meloro, C., Hudson, A., Rook, L., 2015. Feeding habits of extant and fossil canids as determined by their skull geometry. Journal of Zoology 295, 178–188.</w:t>
      </w:r>
    </w:p>
    <w:bookmarkEnd w:id="89"/>
    <w:bookmarkStart w:id="90" w:name="ref-Mullins2011"/>
    <w:p>
      <w:pPr>
        <w:pStyle w:val="Bibliography"/>
      </w:pPr>
      <w:r>
        <w:t xml:space="preserve">Mullins, P.R., 2011. The archaeology of consumption. Annual Review of Anthropology 40, 133–144.</w:t>
      </w:r>
    </w:p>
    <w:bookmarkEnd w:id="90"/>
    <w:bookmarkStart w:id="91"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91"/>
    <w:bookmarkStart w:id="92" w:name="ref-Rlanguage2019"/>
    <w:p>
      <w:pPr>
        <w:pStyle w:val="Bibliography"/>
      </w:pPr>
      <w:r>
        <w:t xml:space="preserve">R Core Team, 2019. R: A language and environment for statistical computing. R Foundation for Statistical Computing, Vienna, Austria.</w:t>
      </w:r>
    </w:p>
    <w:bookmarkEnd w:id="92"/>
    <w:bookmarkStart w:id="93"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93"/>
    <w:bookmarkStart w:id="94"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94"/>
    <w:bookmarkStart w:id="95" w:name="ref-Roux2003"/>
    <w:p>
      <w:pPr>
        <w:pStyle w:val="Bibliography"/>
      </w:pPr>
      <w:r>
        <w:t xml:space="preserve">Roux, V., 2003. Ceramic standardization and intensity of production: Quantifying degrees of specialization. American Antiquity 68, 768–782.</w:t>
      </w:r>
    </w:p>
    <w:bookmarkEnd w:id="95"/>
    <w:bookmarkStart w:id="96" w:name="ref-Scaramelli2005"/>
    <w:p>
      <w:pPr>
        <w:pStyle w:val="Bibliography"/>
      </w:pPr>
      <w:r>
        <w:t xml:space="preserve">Scaramelli, F., Scaramelli, K.T. de, 2005. The roles of material culture in the colonization of the orinoco, venezuela. Journal of Social Archaeology 5, 135–168.</w:t>
      </w:r>
    </w:p>
    <w:bookmarkEnd w:id="96"/>
    <w:bookmarkStart w:id="97" w:name="ref-Selden2019"/>
    <w:p>
      <w:pPr>
        <w:pStyle w:val="Bibliography"/>
      </w:pPr>
      <w:r>
        <w:t xml:space="preserve">Selden Jr, R.Z., 2019. Ceramic morphological organisation in the southern caddo area: The clarence h. Webb collections. Journal of Cultural Heritage 35, 41–55.</w:t>
      </w:r>
    </w:p>
    <w:bookmarkEnd w:id="97"/>
    <w:bookmarkStart w:id="98" w:name="ref-Silliman2001"/>
    <w:p>
      <w:pPr>
        <w:pStyle w:val="Bibliography"/>
      </w:pPr>
      <w:r>
        <w:t xml:space="preserve">Silliman, S., 2001. Agency, practical politics and the archaeology of culture contact. Journal of social archaeology 1, 190–209.</w:t>
      </w:r>
    </w:p>
    <w:bookmarkEnd w:id="98"/>
    <w:bookmarkStart w:id="99" w:name="ref-Silliman2005"/>
    <w:p>
      <w:pPr>
        <w:pStyle w:val="Bibliography"/>
      </w:pPr>
      <w:r>
        <w:t xml:space="preserve">Silliman, S.W., 2005. Culture contact or colonialism? Challenges in the archaeology of native North America. American Antiquity 55–74.</w:t>
      </w:r>
    </w:p>
    <w:bookmarkEnd w:id="99"/>
    <w:bookmarkStart w:id="100" w:name="ref-Slice2007"/>
    <w:p>
      <w:pPr>
        <w:pStyle w:val="Bibliography"/>
      </w:pPr>
      <w:r>
        <w:t xml:space="preserve">Slice, D.E., 2007. Geometric morphometrics. Annu. Rev. Anthropol. 36, 261–281.</w:t>
      </w:r>
    </w:p>
    <w:bookmarkEnd w:id="100"/>
    <w:bookmarkStart w:id="101"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01"/>
    <w:bookmarkStart w:id="102" w:name="ref-Tite1999"/>
    <w:p>
      <w:pPr>
        <w:pStyle w:val="Bibliography"/>
      </w:pPr>
      <w:r>
        <w:t xml:space="preserve">Tite, M.S., 1999. Pottery production, distribution, and consumption—the contribution of the physical sciences. Journal of archaeological method and theory 6, 181–233.</w:t>
      </w:r>
    </w:p>
    <w:bookmarkEnd w:id="102"/>
    <w:bookmarkStart w:id="103" w:name="ref-Topi2018"/>
    <w:p>
      <w:pPr>
        <w:pStyle w:val="Bibliography"/>
      </w:pPr>
      <w:r>
        <w:t xml:space="preserve">Topi, J.R., VanPool, C.S., Waller, K.D., VanPool, T.L., 2018. The economy of specialized ceramic craft production in the casas grandes region. Latin American Antiquity 29, 122–142.</w:t>
      </w:r>
    </w:p>
    <w:bookmarkEnd w:id="103"/>
    <w:bookmarkStart w:id="104"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4"/>
    <w:bookmarkStart w:id="105" w:name="ref-Trabert2017"/>
    <w:p>
      <w:pPr>
        <w:pStyle w:val="Bibliography"/>
      </w:pPr>
      <w:r>
        <w:t xml:space="preserve">Trabert, S., 2017. Considering the indirect effects of colonialism: Example from a great plains middle ground. Journal of Anthropological Archaeology 48, 17–27.</w:t>
      </w:r>
    </w:p>
    <w:bookmarkEnd w:id="105"/>
    <w:bookmarkStart w:id="106" w:name="ref-Voss2008"/>
    <w:p>
      <w:pPr>
        <w:pStyle w:val="Bibliography"/>
      </w:pPr>
      <w:r>
        <w:t xml:space="preserve">Voss, B.L., 2008. Between the household and the world system: Social collectivity and community agency in overseas chinese archaeology. Historical Archaeology 37–52.</w:t>
      </w:r>
    </w:p>
    <w:bookmarkEnd w:id="106"/>
    <w:bookmarkStart w:id="107" w:name="ref-Voss2005"/>
    <w:p>
      <w:pPr>
        <w:pStyle w:val="Bibliography"/>
      </w:pPr>
      <w:r>
        <w:t xml:space="preserve">Voss, B.L., 2005. From casta to californio: Social identity and the archaeology of culture contact. American Anthropologist 107, 461–474.</w:t>
      </w:r>
    </w:p>
    <w:bookmarkEnd w:id="107"/>
    <w:bookmarkStart w:id="108" w:name="ref-Wang2011"/>
    <w:p>
      <w:pPr>
        <w:pStyle w:val="Bibliography"/>
      </w:pPr>
      <w:r>
        <w:t xml:space="preserve">Wang, L.-Y., 2011. Yi lan qi wu lan yi zhi chu tu zhuang shi pin zhi xiang guan yan jiu [a research of ornaments excavated at ki-wu-lan site, i-lan] (Master’s thesis).</w:t>
      </w:r>
    </w:p>
    <w:bookmarkEnd w:id="108"/>
    <w:bookmarkStart w:id="109"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09"/>
    <w:bookmarkStart w:id="110"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0"/>
    <w:bookmarkEnd w:id="111"/>
    <w:p>
      <w:pPr>
        <w:pStyle w:val="Heading5"/>
      </w:pPr>
      <w:bookmarkStart w:id="112" w:name="pagebreak-1"/>
      <w:r>
        <w:t xml:space="preserve">pagebreak</w:t>
      </w:r>
      <w:bookmarkEnd w:id="112"/>
    </w:p>
    <w:p>
      <w:pPr>
        <w:pStyle w:val="Heading3"/>
      </w:pPr>
      <w:bookmarkStart w:id="113" w:name="colophon"/>
      <w:r>
        <w:t xml:space="preserve">Colophon</w:t>
      </w:r>
      <w:bookmarkEnd w:id="113"/>
    </w:p>
    <w:p>
      <w:pPr>
        <w:pStyle w:val="FirstParagraph"/>
      </w:pPr>
      <w:r>
        <w:t xml:space="preserve">This report was generated on 2020-04-11 01:04:43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3.6.0 (2019-04-26)</w:t>
      </w:r>
      <w:r>
        <w:br/>
      </w:r>
      <w:r>
        <w:rPr>
          <w:rStyle w:val="VerbatimChar"/>
        </w:rPr>
        <w:t xml:space="preserve">#&gt;  os       macOS  10.15.2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2020-04-11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3.6.0)                     </w:t>
      </w:r>
      <w:r>
        <w:br/>
      </w:r>
      <w:r>
        <w:rPr>
          <w:rStyle w:val="VerbatimChar"/>
        </w:rPr>
        <w:t xml:space="preserve">#&gt;  backports      1.1.5      2019-10-02 [1] CRAN (R 3.6.0)                     </w:t>
      </w:r>
      <w:r>
        <w:br/>
      </w:r>
      <w:r>
        <w:rPr>
          <w:rStyle w:val="VerbatimChar"/>
        </w:rPr>
        <w:t xml:space="preserve">#&gt;  bookdown       0.18       2020-03-05 [1] CRAN (R 3.6.0)                     </w:t>
      </w:r>
      <w:r>
        <w:br/>
      </w:r>
      <w:r>
        <w:rPr>
          <w:rStyle w:val="VerbatimChar"/>
        </w:rPr>
        <w:t xml:space="preserve">#&gt;  broom          0.5.5      2020-02-29 [1] CRAN (R 3.6.0)                     </w:t>
      </w:r>
      <w:r>
        <w:br/>
      </w:r>
      <w:r>
        <w:rPr>
          <w:rStyle w:val="VerbatimChar"/>
        </w:rPr>
        <w:t xml:space="preserve">#&gt;  callr          3.4.3      2020-03-28 [1] CRAN (R 3.6.2)                     </w:t>
      </w:r>
      <w:r>
        <w:br/>
      </w:r>
      <w:r>
        <w:rPr>
          <w:rStyle w:val="VerbatimChar"/>
        </w:rPr>
        <w:t xml:space="preserve">#&gt;  cellranger     1.1.0.9000 2019-05-28 [1] Github (rsheets/cellranger@7ecde54)</w:t>
      </w:r>
      <w:r>
        <w:br/>
      </w:r>
      <w:r>
        <w:rPr>
          <w:rStyle w:val="VerbatimChar"/>
        </w:rPr>
        <w:t xml:space="preserve">#&gt;  class          7.3-15     2019-01-01 [1] CRAN (R 3.6.0)                     </w:t>
      </w:r>
      <w:r>
        <w:br/>
      </w:r>
      <w:r>
        <w:rPr>
          <w:rStyle w:val="VerbatimChar"/>
        </w:rPr>
        <w:t xml:space="preserve">#&gt;  classInt       0.4-2      2019-10-17 [1] CRAN (R 3.6.0)                     </w:t>
      </w:r>
      <w:r>
        <w:br/>
      </w:r>
      <w:r>
        <w:rPr>
          <w:rStyle w:val="VerbatimChar"/>
        </w:rPr>
        <w:t xml:space="preserve">#&gt;  cli            2.0.2      2020-02-28 [1] CRAN (R 3.6.0)                     </w:t>
      </w:r>
      <w:r>
        <w:br/>
      </w:r>
      <w:r>
        <w:rPr>
          <w:rStyle w:val="VerbatimChar"/>
        </w:rPr>
        <w:t xml:space="preserve">#&gt;  colorspace     1.4-1      2019-03-18 [1] CRAN (R 3.6.0)                     </w:t>
      </w:r>
      <w:r>
        <w:br/>
      </w:r>
      <w:r>
        <w:rPr>
          <w:rStyle w:val="VerbatimChar"/>
        </w:rPr>
        <w:t xml:space="preserve">#&gt;  cowplot      * 1.0.0      2019-07-11 [1] CRAN (R 3.6.0)                     </w:t>
      </w:r>
      <w:r>
        <w:br/>
      </w:r>
      <w:r>
        <w:rPr>
          <w:rStyle w:val="VerbatimChar"/>
        </w:rPr>
        <w:t xml:space="preserve">#&gt;  crayon         1.3.4.9000 2020-04-07 [1] Github (gaborcsardi/crayon@e949005)</w:t>
      </w:r>
      <w:r>
        <w:br/>
      </w:r>
      <w:r>
        <w:rPr>
          <w:rStyle w:val="VerbatimChar"/>
        </w:rPr>
        <w:t xml:space="preserve">#&gt;  curl           4.3        2019-12-02 [1] CRAN (R 3.6.0)                     </w:t>
      </w:r>
      <w:r>
        <w:br/>
      </w:r>
      <w:r>
        <w:rPr>
          <w:rStyle w:val="VerbatimChar"/>
        </w:rPr>
        <w:t xml:space="preserve">#&gt;  cvequality   * 0.2.0      2019-01-07 [1] CRAN (R 3.6.0)                     </w:t>
      </w:r>
      <w:r>
        <w:br/>
      </w:r>
      <w:r>
        <w:rPr>
          <w:rStyle w:val="VerbatimChar"/>
        </w:rPr>
        <w:t xml:space="preserve">#&gt;  DBI            1.1.0      2019-12-15 [1] CRAN (R 3.6.0)                     </w:t>
      </w:r>
      <w:r>
        <w:br/>
      </w:r>
      <w:r>
        <w:rPr>
          <w:rStyle w:val="VerbatimChar"/>
        </w:rPr>
        <w:t xml:space="preserve">#&gt;  dbplyr         1.4.2      2019-06-17 [1] CRAN (R 3.6.0)                     </w:t>
      </w:r>
      <w:r>
        <w:br/>
      </w:r>
      <w:r>
        <w:rPr>
          <w:rStyle w:val="VerbatimChar"/>
        </w:rPr>
        <w:t xml:space="preserve">#&gt;  desc           1.2.0      2018-05-01 [1] CRAN (R 3.6.0)                     </w:t>
      </w:r>
      <w:r>
        <w:br/>
      </w:r>
      <w:r>
        <w:rPr>
          <w:rStyle w:val="VerbatimChar"/>
        </w:rPr>
        <w:t xml:space="preserve">#&gt;  devtools       2.2.2      2020-02-17 [1] CRAN (R 3.6.0)                     </w:t>
      </w:r>
      <w:r>
        <w:br/>
      </w:r>
      <w:r>
        <w:rPr>
          <w:rStyle w:val="VerbatimChar"/>
        </w:rPr>
        <w:t xml:space="preserve">#&gt;  digest         0.6.25     2020-02-23 [1] CRAN (R 3.6.0)                     </w:t>
      </w:r>
      <w:r>
        <w:br/>
      </w:r>
      <w:r>
        <w:rPr>
          <w:rStyle w:val="VerbatimChar"/>
        </w:rPr>
        <w:t xml:space="preserve">#&gt;  dplyr        * 0.8.5      2020-03-07 [1] CRAN (R 3.6.0)                     </w:t>
      </w:r>
      <w:r>
        <w:br/>
      </w:r>
      <w:r>
        <w:rPr>
          <w:rStyle w:val="VerbatimChar"/>
        </w:rPr>
        <w:t xml:space="preserve">#&gt;  e1071          1.7-3      2019-11-26 [1] CRAN (R 3.6.0)                     </w:t>
      </w:r>
      <w:r>
        <w:br/>
      </w:r>
      <w:r>
        <w:rPr>
          <w:rStyle w:val="VerbatimChar"/>
        </w:rPr>
        <w:t xml:space="preserve">#&gt;  ellipsis       0.3.0      2019-09-20 [1] CRAN (R 3.6.0)                     </w:t>
      </w:r>
      <w:r>
        <w:br/>
      </w:r>
      <w:r>
        <w:rPr>
          <w:rStyle w:val="VerbatimChar"/>
        </w:rPr>
        <w:t xml:space="preserve">#&gt;  evaluate       0.14       2019-05-28 [1] CRAN (R 3.6.0)                     </w:t>
      </w:r>
      <w:r>
        <w:br/>
      </w:r>
      <w:r>
        <w:rPr>
          <w:rStyle w:val="VerbatimChar"/>
        </w:rPr>
        <w:t xml:space="preserve">#&gt;  fansi          0.4.1      2020-01-08 [1] CRAN (R 3.6.0)                     </w:t>
      </w:r>
      <w:r>
        <w:br/>
      </w:r>
      <w:r>
        <w:rPr>
          <w:rStyle w:val="VerbatimChar"/>
        </w:rPr>
        <w:t xml:space="preserve">#&gt;  farver         2.0.3      2020-01-16 [1] CRAN (R 3.6.0)                     </w:t>
      </w:r>
      <w:r>
        <w:br/>
      </w:r>
      <w:r>
        <w:rPr>
          <w:rStyle w:val="VerbatimChar"/>
        </w:rPr>
        <w:t xml:space="preserve">#&gt;  forcats      * 0.5.0      2020-03-01 [1] CRAN (R 3.6.0)                     </w:t>
      </w:r>
      <w:r>
        <w:br/>
      </w:r>
      <w:r>
        <w:rPr>
          <w:rStyle w:val="VerbatimChar"/>
        </w:rPr>
        <w:t xml:space="preserve">#&gt;  fs             1.3.2      2020-03-05 [1] CRAN (R 3.6.0)                     </w:t>
      </w:r>
      <w:r>
        <w:br/>
      </w:r>
      <w:r>
        <w:rPr>
          <w:rStyle w:val="VerbatimChar"/>
        </w:rPr>
        <w:t xml:space="preserve">#&gt;  generics       0.0.2      2018-11-29 [1] CRAN (R 3.6.0)                     </w:t>
      </w:r>
      <w:r>
        <w:br/>
      </w:r>
      <w:r>
        <w:rPr>
          <w:rStyle w:val="VerbatimChar"/>
        </w:rPr>
        <w:t xml:space="preserve">#&gt;  ggforce        0.3.1      2019-08-20 [1] CRAN (R 3.6.0)                     </w:t>
      </w:r>
      <w:r>
        <w:br/>
      </w:r>
      <w:r>
        <w:rPr>
          <w:rStyle w:val="VerbatimChar"/>
        </w:rPr>
        <w:t xml:space="preserve">#&gt;  ggplot2      * 3.3.0      2020-03-05 [1] CRAN (R 3.6.0)                     </w:t>
      </w:r>
      <w:r>
        <w:br/>
      </w:r>
      <w:r>
        <w:rPr>
          <w:rStyle w:val="VerbatimChar"/>
        </w:rPr>
        <w:t xml:space="preserve">#&gt;  glue           1.3.2      2020-03-12 [1] CRAN (R 3.6.0)                     </w:t>
      </w:r>
      <w:r>
        <w:br/>
      </w:r>
      <w:r>
        <w:rPr>
          <w:rStyle w:val="VerbatimChar"/>
        </w:rPr>
        <w:t xml:space="preserve">#&gt;  gridExtra      2.3        2017-09-09 [1] CRAN (R 3.6.0)                     </w:t>
      </w:r>
      <w:r>
        <w:br/>
      </w:r>
      <w:r>
        <w:rPr>
          <w:rStyle w:val="VerbatimChar"/>
        </w:rPr>
        <w:t xml:space="preserve">#&gt;  gtable         0.3.0      2019-03-25 [1] CRAN (R 3.6.0)                     </w:t>
      </w:r>
      <w:r>
        <w:br/>
      </w:r>
      <w:r>
        <w:rPr>
          <w:rStyle w:val="VerbatimChar"/>
        </w:rPr>
        <w:t xml:space="preserve">#&gt;  haven          2.2.0      2019-11-08 [1] CRAN (R 3.6.0)                     </w:t>
      </w:r>
      <w:r>
        <w:br/>
      </w:r>
      <w:r>
        <w:rPr>
          <w:rStyle w:val="VerbatimChar"/>
        </w:rPr>
        <w:t xml:space="preserve">#&gt;  here         * 0.1        2017-05-28 [1] CRAN (R 3.6.0)                     </w:t>
      </w:r>
      <w:r>
        <w:br/>
      </w:r>
      <w:r>
        <w:rPr>
          <w:rStyle w:val="VerbatimChar"/>
        </w:rPr>
        <w:t xml:space="preserve">#&gt;  highr          0.8        2019-03-20 [1] CRAN (R 3.6.0)                     </w:t>
      </w:r>
      <w:r>
        <w:br/>
      </w:r>
      <w:r>
        <w:rPr>
          <w:rStyle w:val="VerbatimChar"/>
        </w:rPr>
        <w:t xml:space="preserve">#&gt;  hms            0.5.3      2020-01-08 [1] CRAN (R 3.6.0)                     </w:t>
      </w:r>
      <w:r>
        <w:br/>
      </w:r>
      <w:r>
        <w:rPr>
          <w:rStyle w:val="VerbatimChar"/>
        </w:rPr>
        <w:t xml:space="preserve">#&gt;  htmltools      0.4.0      2019-10-04 [1] CRAN (R 3.6.0)                     </w:t>
      </w:r>
      <w:r>
        <w:br/>
      </w:r>
      <w:r>
        <w:rPr>
          <w:rStyle w:val="VerbatimChar"/>
        </w:rPr>
        <w:t xml:space="preserve">#&gt;  httr           1.4.1      2019-08-05 [1] CRAN (R 3.6.0)                     </w:t>
      </w:r>
      <w:r>
        <w:br/>
      </w:r>
      <w:r>
        <w:rPr>
          <w:rStyle w:val="VerbatimChar"/>
        </w:rPr>
        <w:t xml:space="preserve">#&gt;  jpeg           0.1-8.1    2019-10-24 [1] CRAN (R 3.6.0)                     </w:t>
      </w:r>
      <w:r>
        <w:br/>
      </w:r>
      <w:r>
        <w:rPr>
          <w:rStyle w:val="VerbatimChar"/>
        </w:rPr>
        <w:t xml:space="preserve">#&gt;  jsonlite       1.6.1      2020-02-02 [1] CRAN (R 3.6.0)                     </w:t>
      </w:r>
      <w:r>
        <w:br/>
      </w:r>
      <w:r>
        <w:rPr>
          <w:rStyle w:val="VerbatimChar"/>
        </w:rPr>
        <w:t xml:space="preserve">#&gt;  KernSmooth     2.23-16    2019-10-15 [1] CRAN (R 3.6.0)                     </w:t>
      </w:r>
      <w:r>
        <w:br/>
      </w:r>
      <w:r>
        <w:rPr>
          <w:rStyle w:val="VerbatimChar"/>
        </w:rPr>
        <w:t xml:space="preserve">#&gt;  knitr          1.28       2020-02-06 [1] CRAN (R 3.6.0)                     </w:t>
      </w:r>
      <w:r>
        <w:br/>
      </w:r>
      <w:r>
        <w:rPr>
          <w:rStyle w:val="VerbatimChar"/>
        </w:rPr>
        <w:t xml:space="preserve">#&gt;  labeling       0.3        2014-08-23 [1] CRAN (R 3.6.0)                     </w:t>
      </w:r>
      <w:r>
        <w:br/>
      </w:r>
      <w:r>
        <w:rPr>
          <w:rStyle w:val="VerbatimChar"/>
        </w:rPr>
        <w:t xml:space="preserve">#&gt;  lattice        0.20-40    2020-02-19 [1] CRAN (R 3.6.0)                     </w:t>
      </w:r>
      <w:r>
        <w:br/>
      </w:r>
      <w:r>
        <w:rPr>
          <w:rStyle w:val="VerbatimChar"/>
        </w:rPr>
        <w:t xml:space="preserve">#&gt;  lifecycle      0.2.0      2020-03-06 [1] CRAN (R 3.6.0)                     </w:t>
      </w:r>
      <w:r>
        <w:br/>
      </w:r>
      <w:r>
        <w:rPr>
          <w:rStyle w:val="VerbatimChar"/>
        </w:rPr>
        <w:t xml:space="preserve">#&gt;  lubridate      1.7.4      2018-04-11 [1] CRAN (R 3.6.0)                     </w:t>
      </w:r>
      <w:r>
        <w:br/>
      </w:r>
      <w:r>
        <w:rPr>
          <w:rStyle w:val="VerbatimChar"/>
        </w:rPr>
        <w:t xml:space="preserve">#&gt;  magick       * 2.3        2020-01-24 [1] CRAN (R 3.6.0)                     </w:t>
      </w:r>
      <w:r>
        <w:br/>
      </w:r>
      <w:r>
        <w:rPr>
          <w:rStyle w:val="VerbatimChar"/>
        </w:rPr>
        <w:t xml:space="preserve">#&gt;  magrittr       1.5        2014-11-22 [1] CRAN (R 3.6.0)                     </w:t>
      </w:r>
      <w:r>
        <w:br/>
      </w:r>
      <w:r>
        <w:rPr>
          <w:rStyle w:val="VerbatimChar"/>
        </w:rPr>
        <w:t xml:space="preserve">#&gt;  MASS           7.3-51.5   2019-12-20 [1] CRAN (R 3.6.0)                     </w:t>
      </w:r>
      <w:r>
        <w:br/>
      </w:r>
      <w:r>
        <w:rPr>
          <w:rStyle w:val="VerbatimChar"/>
        </w:rPr>
        <w:t xml:space="preserve">#&gt;  memoise        1.1.0      2017-04-21 [1] CRAN (R 3.6.0)                     </w:t>
      </w:r>
      <w:r>
        <w:br/>
      </w:r>
      <w:r>
        <w:rPr>
          <w:rStyle w:val="VerbatimChar"/>
        </w:rPr>
        <w:t xml:space="preserve">#&gt;  modelr         0.1.6      2020-02-22 [1] CRAN (R 3.6.0)                     </w:t>
      </w:r>
      <w:r>
        <w:br/>
      </w:r>
      <w:r>
        <w:rPr>
          <w:rStyle w:val="VerbatimChar"/>
        </w:rPr>
        <w:t xml:space="preserve">#&gt;  Momocs       * 1.3.0      2019-12-19 [1] Github (MomX/Momocs@028e70e)       </w:t>
      </w:r>
      <w:r>
        <w:br/>
      </w:r>
      <w:r>
        <w:rPr>
          <w:rStyle w:val="VerbatimChar"/>
        </w:rPr>
        <w:t xml:space="preserve">#&gt;  munsell        0.5.0      2018-06-12 [1] CRAN (R 3.6.0)                     </w:t>
      </w:r>
      <w:r>
        <w:br/>
      </w:r>
      <w:r>
        <w:rPr>
          <w:rStyle w:val="VerbatimChar"/>
        </w:rPr>
        <w:t xml:space="preserve">#&gt;  nlme           3.1-145    2020-03-04 [1] CRAN (R 3.6.0)                     </w:t>
      </w:r>
      <w:r>
        <w:br/>
      </w:r>
      <w:r>
        <w:rPr>
          <w:rStyle w:val="VerbatimChar"/>
        </w:rPr>
        <w:t xml:space="preserve">#&gt;  pillar         1.4.3      2019-12-20 [1] CRAN (R 3.6.0)                     </w:t>
      </w:r>
      <w:r>
        <w:br/>
      </w:r>
      <w:r>
        <w:rPr>
          <w:rStyle w:val="VerbatimChar"/>
        </w:rPr>
        <w:t xml:space="preserve">#&gt;  pkgbuild       1.0.6      2019-10-09 [1] CRAN (R 3.6.0)                     </w:t>
      </w:r>
      <w:r>
        <w:br/>
      </w:r>
      <w:r>
        <w:rPr>
          <w:rStyle w:val="VerbatimChar"/>
        </w:rPr>
        <w:t xml:space="preserve">#&gt;  pkgconfig      2.0.3      2019-09-22 [1] CRAN (R 3.6.0)                     </w:t>
      </w:r>
      <w:r>
        <w:br/>
      </w:r>
      <w:r>
        <w:rPr>
          <w:rStyle w:val="VerbatimChar"/>
        </w:rPr>
        <w:t xml:space="preserve">#&gt;  pkgload        1.0.2      2018-10-29 [1] CRAN (R 3.6.0)                     </w:t>
      </w:r>
      <w:r>
        <w:br/>
      </w:r>
      <w:r>
        <w:rPr>
          <w:rStyle w:val="VerbatimChar"/>
        </w:rPr>
        <w:t xml:space="preserve">#&gt;  png            0.1-7      2013-12-03 [1] CRAN (R 3.6.0)                     </w:t>
      </w:r>
      <w:r>
        <w:br/>
      </w:r>
      <w:r>
        <w:rPr>
          <w:rStyle w:val="VerbatimChar"/>
        </w:rPr>
        <w:t xml:space="preserve">#&gt;  polyclip       1.10-0     2019-03-14 [1] CRAN (R 3.6.0)                     </w:t>
      </w:r>
      <w:r>
        <w:br/>
      </w:r>
      <w:r>
        <w:rPr>
          <w:rStyle w:val="VerbatimChar"/>
        </w:rPr>
        <w:t xml:space="preserve">#&gt;  prettyunits    1.1.1      2020-01-24 [1] CRAN (R 3.6.0)                     </w:t>
      </w:r>
      <w:r>
        <w:br/>
      </w:r>
      <w:r>
        <w:rPr>
          <w:rStyle w:val="VerbatimChar"/>
        </w:rPr>
        <w:t xml:space="preserve">#&gt;  processx       3.4.2      2020-02-09 [1] CRAN (R 3.6.0)                     </w:t>
      </w:r>
      <w:r>
        <w:br/>
      </w:r>
      <w:r>
        <w:rPr>
          <w:rStyle w:val="VerbatimChar"/>
        </w:rPr>
        <w:t xml:space="preserve">#&gt;  ps             1.3.2      2020-02-13 [1] CRAN (R 3.6.0)                     </w:t>
      </w:r>
      <w:r>
        <w:br/>
      </w:r>
      <w:r>
        <w:rPr>
          <w:rStyle w:val="VerbatimChar"/>
        </w:rPr>
        <w:t xml:space="preserve">#&gt;  purrr        * 0.3.3      2019-10-18 [1] CRAN (R 3.6.0)                     </w:t>
      </w:r>
      <w:r>
        <w:br/>
      </w:r>
      <w:r>
        <w:rPr>
          <w:rStyle w:val="VerbatimChar"/>
        </w:rPr>
        <w:t xml:space="preserve">#&gt;  R6             2.4.1      2019-11-12 [1] CRAN (R 3.6.0)                     </w:t>
      </w:r>
      <w:r>
        <w:br/>
      </w:r>
      <w:r>
        <w:rPr>
          <w:rStyle w:val="VerbatimChar"/>
        </w:rPr>
        <w:t xml:space="preserve">#&gt;  RColorBrewer   1.1-2      2014-12-07 [1] CRAN (R 3.6.0)                     </w:t>
      </w:r>
      <w:r>
        <w:br/>
      </w:r>
      <w:r>
        <w:rPr>
          <w:rStyle w:val="VerbatimChar"/>
        </w:rPr>
        <w:t xml:space="preserve">#&gt;  Rcpp           1.0.4      2020-03-17 [1] CRAN (R 3.6.0)                     </w:t>
      </w:r>
      <w:r>
        <w:br/>
      </w:r>
      <w:r>
        <w:rPr>
          <w:rStyle w:val="VerbatimChar"/>
        </w:rPr>
        <w:t xml:space="preserve">#&gt;  readr        * 1.3.1      2018-12-21 [1] CRAN (R 3.6.0)                     </w:t>
      </w:r>
      <w:r>
        <w:br/>
      </w:r>
      <w:r>
        <w:rPr>
          <w:rStyle w:val="VerbatimChar"/>
        </w:rPr>
        <w:t xml:space="preserve">#&gt;  readxl         1.3.1      2019-03-13 [1] CRAN (R 3.6.0)                     </w:t>
      </w:r>
      <w:r>
        <w:br/>
      </w:r>
      <w:r>
        <w:rPr>
          <w:rStyle w:val="VerbatimChar"/>
        </w:rPr>
        <w:t xml:space="preserve">#&gt;  remotes        2.1.1      2020-02-15 [1] CRAN (R 3.6.0)                     </w:t>
      </w:r>
      <w:r>
        <w:br/>
      </w:r>
      <w:r>
        <w:rPr>
          <w:rStyle w:val="VerbatimChar"/>
        </w:rPr>
        <w:t xml:space="preserve">#&gt;  reprex         0.3.0      2019-05-16 [1] CRAN (R 3.6.0)                     </w:t>
      </w:r>
      <w:r>
        <w:br/>
      </w:r>
      <w:r>
        <w:rPr>
          <w:rStyle w:val="VerbatimChar"/>
        </w:rPr>
        <w:t xml:space="preserve">#&gt;  rlang          0.4.5      2020-03-01 [1] CRAN (R 3.6.0)                     </w:t>
      </w:r>
      <w:r>
        <w:br/>
      </w:r>
      <w:r>
        <w:rPr>
          <w:rStyle w:val="VerbatimChar"/>
        </w:rPr>
        <w:t xml:space="preserve">#&gt;  rmarkdown      2.1        2020-01-20 [1] CRAN (R 3.6.0)                     </w:t>
      </w:r>
      <w:r>
        <w:br/>
      </w:r>
      <w:r>
        <w:rPr>
          <w:rStyle w:val="VerbatimChar"/>
        </w:rPr>
        <w:t xml:space="preserve">#&gt;  rprojroot      1.3-2      2018-01-03 [1] CRAN (R 3.6.0)                     </w:t>
      </w:r>
      <w:r>
        <w:br/>
      </w:r>
      <w:r>
        <w:rPr>
          <w:rStyle w:val="VerbatimChar"/>
        </w:rPr>
        <w:t xml:space="preserve">#&gt;  rrtools        0.1.0      2019-09-13 [1] local                              </w:t>
      </w:r>
      <w:r>
        <w:br/>
      </w:r>
      <w:r>
        <w:rPr>
          <w:rStyle w:val="VerbatimChar"/>
        </w:rPr>
        <w:t xml:space="preserve">#&gt;  rstudioapi     0.11       2020-02-07 [1] CRAN (R 3.6.0)                     </w:t>
      </w:r>
      <w:r>
        <w:br/>
      </w:r>
      <w:r>
        <w:rPr>
          <w:rStyle w:val="VerbatimChar"/>
        </w:rPr>
        <w:t xml:space="preserve">#&gt;  rvest          0.3.5      2019-11-08 [1] CRAN (R 3.6.0)                     </w:t>
      </w:r>
      <w:r>
        <w:br/>
      </w:r>
      <w:r>
        <w:rPr>
          <w:rStyle w:val="VerbatimChar"/>
        </w:rPr>
        <w:t xml:space="preserve">#&gt;  scales         1.1.0      2019-11-18 [1] CRAN (R 3.6.0)                     </w:t>
      </w:r>
      <w:r>
        <w:br/>
      </w:r>
      <w:r>
        <w:rPr>
          <w:rStyle w:val="VerbatimChar"/>
        </w:rPr>
        <w:t xml:space="preserve">#&gt;  sessioninfo    1.1.1      2018-11-05 [1] CRAN (R 3.6.0)                     </w:t>
      </w:r>
      <w:r>
        <w:br/>
      </w:r>
      <w:r>
        <w:rPr>
          <w:rStyle w:val="VerbatimChar"/>
        </w:rPr>
        <w:t xml:space="preserve">#&gt;  sf           * 0.8-1      2020-01-28 [1] CRAN (R 3.6.0)                     </w:t>
      </w:r>
      <w:r>
        <w:br/>
      </w:r>
      <w:r>
        <w:rPr>
          <w:rStyle w:val="VerbatimChar"/>
        </w:rPr>
        <w:t xml:space="preserve">#&gt;  stringi        1.4.6      2020-02-17 [1] CRAN (R 3.6.0)                     </w:t>
      </w:r>
      <w:r>
        <w:br/>
      </w:r>
      <w:r>
        <w:rPr>
          <w:rStyle w:val="VerbatimChar"/>
        </w:rPr>
        <w:t xml:space="preserve">#&gt;  stringr      * 1.4.0      2019-02-10 [1] CRAN (R 3.6.0)                     </w:t>
      </w:r>
      <w:r>
        <w:br/>
      </w:r>
      <w:r>
        <w:rPr>
          <w:rStyle w:val="VerbatimChar"/>
        </w:rPr>
        <w:t xml:space="preserve">#&gt;  testthat       2.3.2      2020-03-02 [1] CRAN (R 3.6.0)                     </w:t>
      </w:r>
      <w:r>
        <w:br/>
      </w:r>
      <w:r>
        <w:rPr>
          <w:rStyle w:val="VerbatimChar"/>
        </w:rPr>
        <w:t xml:space="preserve">#&gt;  tibble       * 3.0.0      2020-03-30 [1] CRAN (R 3.6.2)                     </w:t>
      </w:r>
      <w:r>
        <w:br/>
      </w:r>
      <w:r>
        <w:rPr>
          <w:rStyle w:val="VerbatimChar"/>
        </w:rPr>
        <w:t xml:space="preserve">#&gt;  tidyr        * 1.0.2      2020-01-24 [1] CRAN (R 3.6.0)                     </w:t>
      </w:r>
      <w:r>
        <w:br/>
      </w:r>
      <w:r>
        <w:rPr>
          <w:rStyle w:val="VerbatimChar"/>
        </w:rPr>
        <w:t xml:space="preserve">#&gt;  tidyselect     1.0.0.9000 2020-02-23 [1] Github (r-lib/tidyselect@bb145af)  </w:t>
      </w:r>
      <w:r>
        <w:br/>
      </w:r>
      <w:r>
        <w:rPr>
          <w:rStyle w:val="VerbatimChar"/>
        </w:rPr>
        <w:t xml:space="preserve">#&gt;  tidyverse    * 1.3.0      2019-11-21 [1] CRAN (R 3.6.0)                     </w:t>
      </w:r>
      <w:r>
        <w:br/>
      </w:r>
      <w:r>
        <w:rPr>
          <w:rStyle w:val="VerbatimChar"/>
        </w:rPr>
        <w:t xml:space="preserve">#&gt;  tweenr         1.0.1      2018-12-14 [1] CRAN (R 3.6.0)                     </w:t>
      </w:r>
      <w:r>
        <w:br/>
      </w:r>
      <w:r>
        <w:rPr>
          <w:rStyle w:val="VerbatimChar"/>
        </w:rPr>
        <w:t xml:space="preserve">#&gt;  units          0.6-5      2019-10-08 [1] CRAN (R 3.6.0)                     </w:t>
      </w:r>
      <w:r>
        <w:br/>
      </w:r>
      <w:r>
        <w:rPr>
          <w:rStyle w:val="VerbatimChar"/>
        </w:rPr>
        <w:t xml:space="preserve">#&gt;  usethis        1.5.1.9000 2020-03-20 [1] Github (r-lib/usethis@4cfa070)     </w:t>
      </w:r>
      <w:r>
        <w:br/>
      </w:r>
      <w:r>
        <w:rPr>
          <w:rStyle w:val="VerbatimChar"/>
        </w:rPr>
        <w:t xml:space="preserve">#&gt;  vctrs          0.2.4      2020-03-10 [1] CRAN (R 3.6.0)                     </w:t>
      </w:r>
      <w:r>
        <w:br/>
      </w:r>
      <w:r>
        <w:rPr>
          <w:rStyle w:val="VerbatimChar"/>
        </w:rPr>
        <w:t xml:space="preserve">#&gt;  viridis      * 0.5.1      2018-03-29 [1] CRAN (R 3.6.0)                     </w:t>
      </w:r>
      <w:r>
        <w:br/>
      </w:r>
      <w:r>
        <w:rPr>
          <w:rStyle w:val="VerbatimChar"/>
        </w:rPr>
        <w:t xml:space="preserve">#&gt;  viridisLite  * 0.3.0      2018-02-01 [1] CRAN (R 3.6.0)                     </w:t>
      </w:r>
      <w:r>
        <w:br/>
      </w:r>
      <w:r>
        <w:rPr>
          <w:rStyle w:val="VerbatimChar"/>
        </w:rPr>
        <w:t xml:space="preserve">#&gt;  withr          2.1.2      2018-03-15 [1] CRAN (R 3.6.0)                     </w:t>
      </w:r>
      <w:r>
        <w:br/>
      </w:r>
      <w:r>
        <w:rPr>
          <w:rStyle w:val="VerbatimChar"/>
        </w:rPr>
        <w:t xml:space="preserve">#&gt;  xfun           0.12       2020-01-13 [1] CRAN (R 3.6.0)                     </w:t>
      </w:r>
      <w:r>
        <w:br/>
      </w:r>
      <w:r>
        <w:rPr>
          <w:rStyle w:val="VerbatimChar"/>
        </w:rPr>
        <w:t xml:space="preserve">#&gt;  xml2           1.3.0      2020-04-01 [1] CRAN (R 3.6.2)                     </w:t>
      </w:r>
      <w:r>
        <w:br/>
      </w:r>
      <w:r>
        <w:rPr>
          <w:rStyle w:val="VerbatimChar"/>
        </w:rPr>
        <w:t xml:space="preserve">#&gt;  yaml           2.2.1      2020-02-01 [1] CRAN (R 3.6.0)                     </w:t>
      </w:r>
      <w:r>
        <w:br/>
      </w:r>
      <w:r>
        <w:rPr>
          <w:rStyle w:val="VerbatimChar"/>
        </w:rPr>
        <w:t xml:space="preserve">#&gt; </w:t>
      </w:r>
      <w:r>
        <w:br/>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/Users/bmarwick/Desktop/kwl.pottery</w:t>
      </w:r>
      <w:r>
        <w:br/>
      </w:r>
      <w:r>
        <w:rPr>
          <w:rStyle w:val="VerbatimChar"/>
        </w:rPr>
        <w:t xml:space="preserve">#&gt; Remote:   master @ origin (https://github.com/LiYingWang/kwl.pottery)</w:t>
      </w:r>
      <w:r>
        <w:br/>
      </w:r>
      <w:r>
        <w:rPr>
          <w:rStyle w:val="VerbatimChar"/>
        </w:rPr>
        <w:t xml:space="preserve">#&gt; Head:     [14c247c] 2020-04-11: add phase column to MANOVA table</w:t>
      </w:r>
    </w:p>
    <w:p>
      <w:pPr>
        <w:pStyle w:val="FirstParagraph"/>
      </w:pPr>
      <w:r>
        <w:t xml:space="preserve">Word count: 4515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24" Target="media/rId24.jpg" /><Relationship Type="http://schemas.openxmlformats.org/officeDocument/2006/relationships/image" Id="rId32" Target="media/rId32.png" /><Relationship Type="http://schemas.openxmlformats.org/officeDocument/2006/relationships/image" Id="rId23" Target="media/rId23.jpg" /><Relationship Type="http://schemas.openxmlformats.org/officeDocument/2006/relationships/hyperlink" Id="rId27" Target="http://inkscape.org" TargetMode="External" /><Relationship Type="http://schemas.openxmlformats.org/officeDocument/2006/relationships/hyperlink" Id="rId85" Target="https://doi.org/10.1007/s10816-015-9272-9" TargetMode="External" /><Relationship Type="http://schemas.openxmlformats.org/officeDocument/2006/relationships/hyperlink" Id="rId30"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7" Target="http://inkscape.org" TargetMode="External" /><Relationship Type="http://schemas.openxmlformats.org/officeDocument/2006/relationships/hyperlink" Id="rId85" Target="https://doi.org/10.1007/s10816-015-9272-9" TargetMode="External" /><Relationship Type="http://schemas.openxmlformats.org/officeDocument/2006/relationships/hyperlink" Id="rId30"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shape standardization using geometric morphometry of pottery from Iron Age northeastern Taiwan</dc:title>
  <dc:creator>Li-Ying Wang; Ben Marwick</dc:creator>
  <cp:keywords/>
  <dcterms:created xsi:type="dcterms:W3CDTF">2020-04-11T08:04:49Z</dcterms:created>
  <dcterms:modified xsi:type="dcterms:W3CDTF">2020-04-11T08:04:49Z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specialized pottery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11 April, 2020</vt:lpwstr>
  </property>
  <property fmtid="{D5CDD505-2E9C-101B-9397-08002B2CF9AE}" pid="6" name="highlights">
    <vt:lpwstr>These are the highlights.</vt:lpwstr>
  </property>
  <property fmtid="{D5CDD505-2E9C-101B-9397-08002B2CF9AE}" pid="7" name="output">
    <vt:lpwstr/>
  </property>
</Properties>
</file>