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9.png" ContentType="image/png"/>
  <Override PartName="/word/media/rId29.png" ContentType="image/png"/>
  <Override PartName="/word/media/rId34.png" ContentType="image/png"/>
  <Override PartName="/word/media/rId35.png" ContentType="image/png"/>
  <Override PartName="/word/media/rId36.png" ContentType="image/png"/>
  <Override PartName="/word/media/rId37.png" ContentType="image/png"/>
  <Override PartName="/word/media/rId32.png" ContentType="image/png"/>
  <Override PartName="/word/media/rId33.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December,</w:t>
      </w:r>
      <w:r>
        <w:t xml:space="preserve"> </w:t>
      </w:r>
      <w:r>
        <w:t xml:space="preserve">2019</w:t>
      </w:r>
    </w:p>
    <w:p>
      <w:pPr>
        <w:pStyle w:val="Compact"/>
        <w:pStyle w:val="Abstract"/>
      </w:pPr>
      <w:r>
        <w:t xml:space="preserve">Text</w:t>
      </w:r>
      <w:r>
        <w:t xml:space="preserve"> </w:t>
      </w:r>
      <w:r>
        <w:t xml:space="preserve">of</w:t>
      </w:r>
      <w:r>
        <w:t xml:space="preserve"> </w:t>
      </w:r>
      <w:r>
        <w:t xml:space="preserve">abstract</w:t>
      </w:r>
    </w:p>
    <w:p>
      <w:pPr>
        <w:pStyle w:val="Heading1"/>
      </w:pPr>
      <w:bookmarkStart w:id="20" w:name="introduction"/>
      <w:r>
        <w:t xml:space="preserve">Introduction</w:t>
      </w:r>
      <w:bookmarkEnd w:id="20"/>
    </w:p>
    <w:p>
      <w:pPr>
        <w:pStyle w:val="FirstParagraph"/>
      </w:pPr>
      <w:r>
        <w:t xml:space="preserve">Ceramic production can reflect prehistoric socioeconomic patterns since it relates to not only economic base for households but also societies as a whole when specialized production was organized. Identifying the specialization in ceramic production will help to understand how complex societies form and further explore the underlying mechanism. One way to examine ceramic specialization is to identify whether ceramics present standardization in production, which based on the assumption that the specialized mass production will lead to uniformity of the product due to increased skills, routinization, and lower diversity of producers that enable us to interpret social organization or social relations such as type of production, and the presence of elite control</w:t>
      </w:r>
      <w:r>
        <w:t xml:space="preserve"> </w:t>
      </w:r>
      <w:r>
        <w:t xml:space="preserve">(Arnold, 2000, p. 334; Costin, 1991; Stark, 1995)</w:t>
      </w:r>
      <w:r>
        <w:t xml:space="preserve">.</w:t>
      </w:r>
    </w:p>
    <w:p>
      <w:pPr>
        <w:pStyle w:val="BodyText"/>
      </w:pPr>
      <w:r>
        <w:t xml:space="preserve">Several variables have been proposed to measure ceramic standardization, including metric, compositional, and technological attributes</w:t>
      </w:r>
      <w:r>
        <w:t xml:space="preserve"> </w:t>
      </w:r>
      <w:r>
        <w:t xml:space="preserve">(Blackman et al., 1993; Costin, 1991; Hirshman et al., 2010; Rice, 1991; Tite, 1999)</w:t>
      </w:r>
      <w:r>
        <w:t xml:space="preserve">. However, traditional typological and linear measurements are limited because they can be insensitive to subtle variations resulting from changes in craft specialization. Taking a new approach to the measurement of craft specialization, we studied shape and standardization of locally made pottery to identify changes in pottery production at Kiwulan (1400-1900 AD), a large multi-component archaeological site in northeastern Taiwan. We apply geometric morphometric methods to study artifact shapes to investigate if there are any changes resulting from foreign contact of European and Chinese that might indicate social changes in the indigenous society.</w:t>
      </w:r>
    </w:p>
    <w:p>
      <w:pPr>
        <w:pStyle w:val="BodyText"/>
      </w:pPr>
      <w:r>
        <w:t xml:space="preserve">Culture contact between indigenous people and colonizer with imperial power usually leads to profound changes in local indigenous societies. We explore the culture changes in indigenous societies in northeastern Taiwan that experienced foreign contacts with the Europeans and Chinese since 17th century by examining the local pottery production. We observed pottery production in northeastern Taiwan in the late Iron Age period and historical period (1400-1900 AD) presenting a high consistency in form and shape compared to other pottery found from other regions on this island that hints the emergence of pottery specialization. Our aim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600 years at this site? Did pottery become more homogeneous and standardized in shape after foreign contacts with the European colonizer or the Chinese immigrant?</w:t>
      </w:r>
    </w:p>
    <w:p>
      <w:pPr>
        <w:pStyle w:val="BodyText"/>
      </w:pPr>
      <w:r>
        <w:t xml:space="preserve">Our hypothesis is that if foreign contacts including European and Chinese had impact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I expect the local pottery will show more homogeneous features after contact due to the craft specialization caused by control of small group of individuals. The first step is to detecting pottery standardization when discussing the emergence of craft specialization and the possible changes in social organization. This paper uses Elliptic Fourier Analysis, one outline approach in Geometric morphometric methods, to test whether there was increasing pottery standardization in relation to foreign contacts.</w:t>
      </w:r>
    </w:p>
    <w:p>
      <w:pPr>
        <w:pStyle w:val="Heading1"/>
      </w:pPr>
      <w:bookmarkStart w:id="21" w:name="geometric-morphometric-approach-shape-analysis-for-pottery-specialization"/>
      <w:r>
        <w:t xml:space="preserve">Geometric Morphometric approach: shape analysis for pottery specialization</w:t>
      </w:r>
      <w:bookmarkEnd w:id="21"/>
    </w:p>
    <w:p>
      <w:pPr>
        <w:pStyle w:val="FirstParagraph"/>
      </w:pPr>
      <w:r>
        <w:t xml:space="preserve">Geometric morphometric methods (GMM) has been widely applied recently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analyse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are widely used for archaeological objects where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desired number of harmonics</w:t>
      </w:r>
      <w:r>
        <w:t xml:space="preserve"> </w:t>
      </w:r>
      <w:r>
        <w:t xml:space="preserve">(Bonhomme et al., 2014)</w:t>
      </w:r>
      <w:r>
        <w:t xml:space="preserve">. The application of EFA in archaeology is mostly used for bone morphology to understand the biological variation and recently more for stone artefacts to explore stone tool technology</w:t>
      </w:r>
      <w:r>
        <w:t xml:space="preserve"> </w:t>
      </w:r>
      <w:r>
        <w:t xml:space="preserve">(Fox, 2015; Hoggard et al., 2019; Ioviţă, 2010)</w:t>
      </w:r>
      <w:r>
        <w:t xml:space="preserve">. 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analysed by EFA and DCT matches traditional ceramic typology, which supports that outline-based approaches can be efficiently used for studying variations in ceramic shapes. In addition, the results of shape variation by EFA helps to understand the level of production standardisation over time across that region.</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1"/>
          <w:ilvl w:val="0"/>
        </w:numPr>
      </w:pPr>
      <w:r>
        <w:t xml:space="preserve">CV is hard to test, we apply some statistics testing for it</w:t>
      </w:r>
    </w:p>
    <w:p>
      <w:pPr>
        <w:pStyle w:val="Heading1"/>
      </w:pPr>
      <w:bookmarkStart w:id="22" w:name="materials-and-methods"/>
      <w:r>
        <w:t xml:space="preserve">Materials and methods</w:t>
      </w:r>
      <w:bookmarkEnd w:id="22"/>
    </w:p>
    <w:p>
      <w:pPr>
        <w:pStyle w:val="Heading2"/>
      </w:pPr>
      <w:bookmarkStart w:id="23" w:name="archaeological-pottery-from-kiwulan"/>
      <w:r>
        <w:t xml:space="preserve">Archaeological pottery from Kiwulan</w:t>
      </w:r>
      <w:bookmarkEnd w:id="23"/>
    </w:p>
    <w:p>
      <w:pPr>
        <w:pStyle w:val="FirstParagraph"/>
      </w:pPr>
      <w:r>
        <w:t xml:space="preserve">Pottery analysed in this paper comes from Kiwulan, northeastern Taiwan. Kiwulan is situated on a hill near a riverside at the northern margin of Yilan, which is characterized by a triangular alluvial plain facing eastwards the Pacific and mountains on three other sides. Kiwulan dates to AD 1350 to AD 1950, which covers around 600 years from the late Iron Age to the historical period started with the European presence in Taiwan in the early 17th century. The Dutch first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Ming dynasty of China.</w:t>
      </w:r>
    </w:p>
    <w:p>
      <w:pPr>
        <w:pStyle w:val="BodyText"/>
      </w:pPr>
      <w:r>
        <w:t xml:space="preserve">The upper component experienced frequent foreign contacts including the European colonial presence in the 17th century and great waves of Chinese immigrants since 19th century. The excavation revealed abundant artifacts in which potsherds are the dominate materials throughout the site. Imported ceramics from mainland China, stonewares, and ornament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explains Kiwulan was a large settlement site.</w:t>
      </w:r>
    </w:p>
    <w:p>
      <w:pPr>
        <w:pStyle w:val="BodyText"/>
      </w:pPr>
      <w:r>
        <w:t xml:space="preserve">Pottery found at Kiwulan are all locally made.</w:t>
      </w:r>
      <w:r>
        <w:t xml:space="preserve"> </w:t>
      </w:r>
      <w:r>
        <w:t xml:space="preserve">Most sherds are fired to an orange to brownish color with a fully oxidized core or a reduced core with oxidized fringes. It seems that there is no significant relationship between color and phases. Petrographic analysis for thin sections was conducted at the Department of Geosciences, National Taiwan University. The results shows high percentage of inclusions (15-50%), including argillite, quartz, feldspar, metasandstone, sandstone fragment, and slate. Those minerals are believed to be local materials of the Yilan Plain.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 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w:t>
      </w:r>
    </w:p>
    <w:p>
      <w:pPr>
        <w:pStyle w:val="Heading2"/>
      </w:pPr>
      <w:bookmarkStart w:id="24" w:name="metric-measurements"/>
      <w:r>
        <w:t xml:space="preserve">Metric measurements</w:t>
      </w:r>
      <w:bookmarkEnd w:id="24"/>
    </w:p>
    <w:p>
      <w:pPr>
        <w:pStyle w:val="FirstParagraph"/>
      </w:pPr>
      <w:r>
        <w:t xml:space="preserve">In this study, 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Heading2"/>
      </w:pPr>
      <w:bookmarkStart w:id="25" w:name="outline-analysis"/>
      <w:r>
        <w:t xml:space="preserve">Outline analysis</w:t>
      </w:r>
      <w:bookmarkEnd w:id="25"/>
    </w:p>
    <w:p>
      <w:pPr>
        <w:pStyle w:val="FirstParagraph"/>
      </w:pPr>
      <w:r>
        <w:t xml:space="preserve">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 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2</w:t>
      </w:r>
      <w:r>
        <w:t xml:space="preserve"> </w:t>
      </w:r>
      <w:r>
        <w:t xml:space="preserve">shows the shape variation associated to the first three principal components. The first component represents the height of the vessels from tall to short and the roundness of the body from round to oval shaped, and the second component relates to the neck and mouth constriction from narrow to wide. The third component explains a smaller portion of the variance (11.23%), which relates to the degree of flare of neck from curved to straight shape. The first two components account for most of the variance in relation to three phases were represented in Figure</w:t>
      </w:r>
      <w:r>
        <w:t xml:space="preserve"> </w:t>
      </w:r>
      <w:r>
        <w:t xml:space="preserve">3</w:t>
      </w:r>
      <w:r>
        <w:t xml:space="preserve">. The result reflects a large overlap of three phase groupings especially for shapes in the pre-European and post-European period that shows some extent of similarity and consistency. However, the spread of shape distribution indications a wider variation in shapes in the pre-European and post-European period compared to those in Chinese period along both PC1 and PC2 axes. In other words, there is a decreasing in shape variance in the Chinese period that shares the features of shorter height and narrower mouth.</w:t>
      </w:r>
    </w:p>
    <w:p>
      <w:pPr>
        <w:pStyle w:val="CaptionedFigure"/>
      </w:pPr>
      <w:r>
        <w:drawing>
          <wp:inline>
            <wp:extent cx="5943600" cy="4754880"/>
            <wp:effectExtent b="0" l="0" r="0" t="0"/>
            <wp:docPr descr="Figure 2: Pottery shape variation along principal component axes. The rows from the top to the bottom represent the first to third principal component respectively. Each column shows the shape variable according to the mean ±2 standard deviation (SD) labelled at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Pottery shape variation along principal component axes. The rows from the top to the bottom represent the first to third principal component respectively. Each column shows the shape variable according to the mean ±2 standard deviation (SD) labelled at 0.5 interval</w:t>
      </w:r>
    </w:p>
    <w:p>
      <w:pPr>
        <w:pStyle w:val="SourceCode"/>
      </w:pPr>
      <w:r>
        <w:rPr>
          <w:rStyle w:val="VerbatimChar"/>
        </w:rPr>
        <w:t xml:space="preserve">#&gt; quartz_off_screen </w:t>
      </w:r>
      <w:r>
        <w:br w:type="textWrapping"/>
      </w:r>
      <w:r>
        <w:rPr>
          <w:rStyle w:val="VerbatimChar"/>
        </w:rPr>
        <w:t xml:space="preserve">#&gt;                 3</w:t>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3: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MANOVA-2.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Family: gaussian </w:t>
      </w:r>
      <w:r>
        <w:br w:type="textWrapping"/>
      </w:r>
      <w:r>
        <w:rPr>
          <w:rStyle w:val="VerbatimChar"/>
        </w:rPr>
        <w:t xml:space="preserve">#&gt;   Links: mu = identity; sigma = identity </w:t>
      </w:r>
      <w:r>
        <w:br w:type="textWrapping"/>
      </w:r>
      <w:r>
        <w:rPr>
          <w:rStyle w:val="VerbatimChar"/>
        </w:rPr>
        <w:t xml:space="preserve">#&gt; Formula: shape_pc1 ~ s(thick_body1) </w:t>
      </w:r>
      <w:r>
        <w:br w:type="textWrapping"/>
      </w:r>
      <w:r>
        <w:rPr>
          <w:rStyle w:val="VerbatimChar"/>
        </w:rPr>
        <w:t xml:space="preserve">#&gt;    Data: gams_input (Number of observations: 73) </w:t>
      </w:r>
      <w:r>
        <w:br w:type="textWrapping"/>
      </w:r>
      <w:r>
        <w:rPr>
          <w:rStyle w:val="VerbatimChar"/>
        </w:rPr>
        <w:t xml:space="preserve">#&gt; Samples: 4 chains, each with iter = 4000; warmup = 1000; thin = 10;</w:t>
      </w:r>
      <w:r>
        <w:br w:type="textWrapping"/>
      </w:r>
      <w:r>
        <w:rPr>
          <w:rStyle w:val="VerbatimChar"/>
        </w:rPr>
        <w:t xml:space="preserve">#&gt;          total post-warmup samples = 1200</w:t>
      </w:r>
      <w:r>
        <w:br w:type="textWrapping"/>
      </w:r>
      <w:r>
        <w:rPr>
          <w:rStyle w:val="VerbatimChar"/>
        </w:rPr>
        <w:t xml:space="preserve">#&gt; </w:t>
      </w:r>
      <w:r>
        <w:br w:type="textWrapping"/>
      </w:r>
      <w:r>
        <w:rPr>
          <w:rStyle w:val="VerbatimChar"/>
        </w:rPr>
        <w:t xml:space="preserve">#&gt; Smooth Terms: </w:t>
      </w:r>
      <w:r>
        <w:br w:type="textWrapping"/>
      </w:r>
      <w:r>
        <w:rPr>
          <w:rStyle w:val="VerbatimChar"/>
        </w:rPr>
        <w:t xml:space="preserve">#&gt;                     Estimate Est.Error l-95% CI u-95% CI Rhat Bulk_ESS Tail_ESS</w:t>
      </w:r>
      <w:r>
        <w:br w:type="textWrapping"/>
      </w:r>
      <w:r>
        <w:rPr>
          <w:rStyle w:val="VerbatimChar"/>
        </w:rPr>
        <w:t xml:space="preserve">#&gt; sds(sthick_body1_1)     0.00      0.00     0.00     0.01 1.00     1121     1172</w:t>
      </w:r>
      <w:r>
        <w:br w:type="textWrapping"/>
      </w:r>
      <w:r>
        <w:rPr>
          <w:rStyle w:val="VerbatimChar"/>
        </w:rPr>
        <w:t xml:space="preserve">#&gt; </w:t>
      </w:r>
      <w:r>
        <w:br w:type="textWrapping"/>
      </w:r>
      <w:r>
        <w:rPr>
          <w:rStyle w:val="VerbatimChar"/>
        </w:rPr>
        <w:t xml:space="preserve">#&gt; Population-Level Effects: </w:t>
      </w:r>
      <w:r>
        <w:br w:type="textWrapping"/>
      </w:r>
      <w:r>
        <w:rPr>
          <w:rStyle w:val="VerbatimChar"/>
        </w:rPr>
        <w:t xml:space="preserve">#&gt;                Estimate Est.Error l-95% CI u-95% CI Rhat Bulk_ESS Tail_ESS</w:t>
      </w:r>
      <w:r>
        <w:br w:type="textWrapping"/>
      </w:r>
      <w:r>
        <w:rPr>
          <w:rStyle w:val="VerbatimChar"/>
        </w:rPr>
        <w:t xml:space="preserve">#&gt; Intercept         -0.00      0.00    -0.00     0.00 1.00     1226     1127</w:t>
      </w:r>
      <w:r>
        <w:br w:type="textWrapping"/>
      </w:r>
      <w:r>
        <w:rPr>
          <w:rStyle w:val="VerbatimChar"/>
        </w:rPr>
        <w:t xml:space="preserve">#&gt; sthick_body1_1     0.00      0.00    -0.00     0.01 1.00     1185     1134</w:t>
      </w:r>
      <w:r>
        <w:br w:type="textWrapping"/>
      </w:r>
      <w:r>
        <w:rPr>
          <w:rStyle w:val="VerbatimChar"/>
        </w:rPr>
        <w:t xml:space="preserve">#&gt; </w:t>
      </w:r>
      <w:r>
        <w:br w:type="textWrapping"/>
      </w:r>
      <w:r>
        <w:rPr>
          <w:rStyle w:val="VerbatimChar"/>
        </w:rPr>
        <w:t xml:space="preserve">#&gt; Family Specific Parameters: </w:t>
      </w:r>
      <w:r>
        <w:br w:type="textWrapping"/>
      </w:r>
      <w:r>
        <w:rPr>
          <w:rStyle w:val="VerbatimChar"/>
        </w:rPr>
        <w:t xml:space="preserve">#&gt;       Estimate Est.Error l-95% CI u-95% CI Rhat Bulk_ESS Tail_ESS</w:t>
      </w:r>
      <w:r>
        <w:br w:type="textWrapping"/>
      </w:r>
      <w:r>
        <w:rPr>
          <w:rStyle w:val="VerbatimChar"/>
        </w:rPr>
        <w:t xml:space="preserve">#&gt; sigma     0.00      0.00     0.00     0.00 1.00     1298     1135</w:t>
      </w:r>
      <w:r>
        <w:br w:type="textWrapping"/>
      </w:r>
      <w:r>
        <w:rPr>
          <w:rStyle w:val="VerbatimChar"/>
        </w:rPr>
        <w:t xml:space="preserve">#&gt; </w:t>
      </w:r>
      <w:r>
        <w:br w:type="textWrapping"/>
      </w:r>
      <w:r>
        <w:rPr>
          <w:rStyle w:val="VerbatimChar"/>
        </w:rPr>
        <w:t xml:space="preserve">#&gt; Samples were drawn using sampling(NUTS). For each parameter, Eff.Sample </w:t>
      </w:r>
      <w:r>
        <w:br w:type="textWrapping"/>
      </w:r>
      <w:r>
        <w:rPr>
          <w:rStyle w:val="VerbatimChar"/>
        </w:rPr>
        <w:t xml:space="preserve">#&gt; is a crude measure of effective sample size, and Rhat is the potential </w:t>
      </w:r>
      <w:r>
        <w:br w:type="textWrapping"/>
      </w:r>
      <w:r>
        <w:rPr>
          <w:rStyle w:val="VerbatimChar"/>
        </w:rPr>
        <w:t xml:space="preserve">#&gt; scale reduction factor on split chains (at convergence, Rhat = 1).</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3.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w:t>
      </w:r>
      <w:r>
        <w:br w:type="textWrapping"/>
      </w:r>
      <w:r>
        <w:rPr>
          <w:rStyle w:val="VerbatimChar"/>
        </w:rPr>
        <w:t xml:space="preserve">#&gt; Computed from 1200 by 73 log-likelihood matrix</w:t>
      </w:r>
      <w:r>
        <w:br w:type="textWrapping"/>
      </w:r>
      <w:r>
        <w:rPr>
          <w:rStyle w:val="VerbatimChar"/>
        </w:rPr>
        <w:t xml:space="preserve">#&gt; </w:t>
      </w:r>
      <w:r>
        <w:br w:type="textWrapping"/>
      </w:r>
      <w:r>
        <w:rPr>
          <w:rStyle w:val="VerbatimChar"/>
        </w:rPr>
        <w:t xml:space="preserve">#&gt;          Estimate   SE</w:t>
      </w:r>
      <w:r>
        <w:br w:type="textWrapping"/>
      </w:r>
      <w:r>
        <w:rPr>
          <w:rStyle w:val="VerbatimChar"/>
        </w:rPr>
        <w:t xml:space="preserve">#&gt; elpd_loo    366.5  6.2</w:t>
      </w:r>
      <w:r>
        <w:br w:type="textWrapping"/>
      </w:r>
      <w:r>
        <w:rPr>
          <w:rStyle w:val="VerbatimChar"/>
        </w:rPr>
        <w:t xml:space="preserve">#&gt; p_loo         3.8  0.7</w:t>
      </w:r>
      <w:r>
        <w:br w:type="textWrapping"/>
      </w:r>
      <w:r>
        <w:rPr>
          <w:rStyle w:val="VerbatimChar"/>
        </w:rPr>
        <w:t xml:space="preserve">#&gt; looic      -733.0 12.3</w:t>
      </w:r>
      <w:r>
        <w:br w:type="textWrapping"/>
      </w:r>
      <w:r>
        <w:rPr>
          <w:rStyle w:val="VerbatimChar"/>
        </w:rPr>
        <w:t xml:space="preserve">#&gt; ------</w:t>
      </w:r>
      <w:r>
        <w:br w:type="textWrapping"/>
      </w:r>
      <w:r>
        <w:rPr>
          <w:rStyle w:val="VerbatimChar"/>
        </w:rPr>
        <w:t xml:space="preserve">#&gt; Monte Carlo SE of elpd_loo is NA.</w:t>
      </w:r>
      <w:r>
        <w:br w:type="textWrapping"/>
      </w:r>
      <w:r>
        <w:rPr>
          <w:rStyle w:val="VerbatimChar"/>
        </w:rPr>
        <w:t xml:space="preserve">#&gt; </w:t>
      </w:r>
      <w:r>
        <w:br w:type="textWrapping"/>
      </w:r>
      <w:r>
        <w:rPr>
          <w:rStyle w:val="VerbatimChar"/>
        </w:rPr>
        <w:t xml:space="preserve">#&gt; Pareto k diagnostic values:</w:t>
      </w:r>
      <w:r>
        <w:br w:type="textWrapping"/>
      </w:r>
      <w:r>
        <w:rPr>
          <w:rStyle w:val="VerbatimChar"/>
        </w:rPr>
        <w:t xml:space="preserve">#&gt;                          Count Pct.    Min. n_eff</w:t>
      </w:r>
      <w:r>
        <w:br w:type="textWrapping"/>
      </w:r>
      <w:r>
        <w:rPr>
          <w:rStyle w:val="VerbatimChar"/>
        </w:rPr>
        <w:t xml:space="preserve">#&gt; (-Inf, 0.5]   (good)     72    98.6%   753       </w:t>
      </w:r>
      <w:r>
        <w:br w:type="textWrapping"/>
      </w:r>
      <w:r>
        <w:rPr>
          <w:rStyle w:val="VerbatimChar"/>
        </w:rPr>
        <w:t xml:space="preserve">#&gt;  (0.5, 0.7]   (ok)        0     0.0%   &lt;NA&gt;      </w:t>
      </w:r>
      <w:r>
        <w:br w:type="textWrapping"/>
      </w:r>
      <w:r>
        <w:rPr>
          <w:rStyle w:val="VerbatimChar"/>
        </w:rPr>
        <w:t xml:space="preserve">#&gt;    (0.7, 1]   (bad)       1     1.4%   298       </w:t>
      </w:r>
      <w:r>
        <w:br w:type="textWrapping"/>
      </w:r>
      <w:r>
        <w:rPr>
          <w:rStyle w:val="VerbatimChar"/>
        </w:rPr>
        <w:t xml:space="preserve">#&gt;    (1, Inf)   (very bad)  0     0.0%   &lt;NA&gt;      </w:t>
      </w:r>
      <w:r>
        <w:br w:type="textWrapping"/>
      </w:r>
      <w:r>
        <w:rPr>
          <w:rStyle w:val="VerbatimChar"/>
        </w:rPr>
        <w:t xml:space="preserve">#&gt; See help('pareto-k-diagnostic') for details.</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4.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gures/CV-test-1.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FirstParagraph"/>
      </w:pPr>
      <w:r>
        <w:drawing>
          <wp:inline>
            <wp:extent cx="5943600" cy="4754880"/>
            <wp:effectExtent b="0" l="0" r="0" t="0"/>
            <wp:docPr descr="" title="" id="1" name="Picture"/>
            <a:graphic>
              <a:graphicData uri="http://schemas.openxmlformats.org/drawingml/2006/picture">
                <pic:pic>
                  <pic:nvPicPr>
                    <pic:cNvPr descr="../figures/CV-test-2.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Multivariate analysis of variance (MANOVA) is used to test the difference in three shape varaibles from three phases. The result shows significant differences in shape between Pre-European and Post-European (p = 0.02) and Pre-European and Chinese contact shapes (p &lt; 0.01). The distributions of the first three PCs for each vessel suggest variations in shape standardization by period. The first PC, the hight of the vessels, shows more variations in the pre-Euro period compared to the Chinese period. Standardization appears strong in the pre-Euro period but weak in the Chinese period. P-values for a modified signed-likelihood ratio test of equality of CVs of PC1 &amp; PC2 show significant differences in standardization of vessel shape across some periods, especially between Chinese contact with either pre-European or post-European.</w:t>
      </w:r>
    </w:p>
    <w:p>
      <w:pPr>
        <w:pStyle w:val="Heading1"/>
      </w:pPr>
      <w:bookmarkStart w:id="40" w:name="discussion"/>
      <w:r>
        <w:t xml:space="preserve">Discussion</w:t>
      </w:r>
      <w:bookmarkEnd w:id="40"/>
    </w:p>
    <w:p>
      <w:pPr>
        <w:pStyle w:val="Heading1"/>
      </w:pPr>
      <w:bookmarkStart w:id="41" w:name="conclusion"/>
      <w:r>
        <w:t xml:space="preserve">Conclusion</w:t>
      </w:r>
      <w:bookmarkEnd w:id="41"/>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2" w:name="acknowledgements"/>
      <w:r>
        <w:t xml:space="preserve">Acknowledgements</w:t>
      </w:r>
      <w:bookmarkEnd w:id="42"/>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77" w:name="refs"/>
    <w:bookmarkStart w:id="45" w:name="ref-Adams2004"/>
    <w:p>
      <w:pPr>
        <w:pStyle w:val="FirstParagraph"/>
      </w:pPr>
      <w:r>
        <w:t xml:space="preserve">Adams, D.C., Rohlf, F.J., Slice, D.E., 2004. Geometric morphometrics: Ten years of progress following the “revolution”. Italian Journal of Zoology 71, 5–16.</w:t>
      </w:r>
    </w:p>
    <w:bookmarkEnd w:id="45"/>
    <w:bookmarkStart w:id="46" w:name="ref-Arnold2000"/>
    <w:p>
      <w:pPr>
        <w:pStyle w:val="BodyText"/>
      </w:pPr>
      <w:r>
        <w:t xml:space="preserve">Arnold, D.E., 2000. Does the standardization of ceramic pastes really mean specialization? Journal of Archaeological Method and Theory 7, 333–375.</w:t>
      </w:r>
    </w:p>
    <w:bookmarkEnd w:id="46"/>
    <w:bookmarkStart w:id="47"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7"/>
    <w:bookmarkStart w:id="48"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8"/>
    <w:bookmarkStart w:id="49" w:name="ref-Bonhomme2014"/>
    <w:p>
      <w:pPr>
        <w:pStyle w:val="BodyText"/>
      </w:pPr>
      <w:r>
        <w:t xml:space="preserve">Bonhomme, V., Picq, S., Gaucherel, C., Claude, J., others, 2014. Momocs: Outline analysis using r. Journal of Statistical Software 56, 1–24.</w:t>
      </w:r>
    </w:p>
    <w:bookmarkEnd w:id="49"/>
    <w:bookmarkStart w:id="50" w:name="ref-Bookstein1997"/>
    <w:p>
      <w:pPr>
        <w:pStyle w:val="BodyText"/>
      </w:pPr>
      <w:r>
        <w:t xml:space="preserve">Bookstein, F.L., 1997. Landmark methods for forms without landmarks: Morphometrics of group differences in outline shape. Medical image analysis 1, 225–243.</w:t>
      </w:r>
    </w:p>
    <w:bookmarkEnd w:id="50"/>
    <w:bookmarkStart w:id="51" w:name="ref-Bookstein1991"/>
    <w:p>
      <w:pPr>
        <w:pStyle w:val="BodyText"/>
      </w:pPr>
      <w:r>
        <w:t xml:space="preserve">Bookstein, F.L., 1991. Morphometric tools for landmark data: Geometry and biology. Cambridge University Press.</w:t>
      </w:r>
    </w:p>
    <w:bookmarkEnd w:id="51"/>
    <w:bookmarkStart w:id="52" w:name="ref-Buchanan2019"/>
    <w:p>
      <w:pPr>
        <w:pStyle w:val="BodyText"/>
      </w:pPr>
      <w:r>
        <w:t xml:space="preserve">Buchanan, B., Collard, M., O’Brien, M.J., 2019. Geometric morphometric analyses support incorporating the goshen point type into plainview. American Antiquity 1–11.</w:t>
      </w:r>
    </w:p>
    <w:bookmarkEnd w:id="52"/>
    <w:bookmarkStart w:id="53" w:name="ref-Cardillo2010"/>
    <w:p>
      <w:pPr>
        <w:pStyle w:val="BodyText"/>
      </w:pPr>
      <w:r>
        <w:t xml:space="preserve">Cardillo, M., 2010. Some applications of geometric morphometrics to archaeology, in: Elewa, A.M.T. (Ed.), Morphometrics for Nonmorphometricians. Springer, pp. 325–341.</w:t>
      </w:r>
    </w:p>
    <w:bookmarkEnd w:id="53"/>
    <w:bookmarkStart w:id="54" w:name="ref-Claude2008"/>
    <w:p>
      <w:pPr>
        <w:pStyle w:val="BodyText"/>
      </w:pPr>
      <w:r>
        <w:t xml:space="preserve">Claude, J., 2008. Morphometrics with r. Springer Science &amp; Business Media.</w:t>
      </w:r>
    </w:p>
    <w:bookmarkEnd w:id="54"/>
    <w:bookmarkStart w:id="55" w:name="ref-Costin1991"/>
    <w:p>
      <w:pPr>
        <w:pStyle w:val="BodyText"/>
      </w:pPr>
      <w:r>
        <w:t xml:space="preserve">Costin, C.L., 1991. Craft specialization: Issues in defining, documenting, and explaining the organization of production. Archaeological method and theory 1–56.</w:t>
      </w:r>
    </w:p>
    <w:bookmarkEnd w:id="55"/>
    <w:bookmarkStart w:id="56" w:name="ref-Costin1995"/>
    <w:p>
      <w:pPr>
        <w:pStyle w:val="BodyText"/>
      </w:pPr>
      <w:r>
        <w:t xml:space="preserve">Costin, C.L., Hagstrum, M.B., 1995. Standardization, labor investment, skill, and the organization of ceramic production in late prehispanic highland Peru. American Antiquity 619–639.</w:t>
      </w:r>
    </w:p>
    <w:bookmarkEnd w:id="56"/>
    <w:bookmarkStart w:id="57" w:name="ref-Fox2015"/>
    <w:p>
      <w:pPr>
        <w:pStyle w:val="BodyText"/>
      </w:pPr>
      <w:r>
        <w:t xml:space="preserve">Fox, A.N., 2015. A study of late woodland projectile point typology in new york using elliptical fourier outline analysis. Journal of Archaeological Science: Reports 4, 501–509.</w:t>
      </w:r>
    </w:p>
    <w:bookmarkEnd w:id="57"/>
    <w:bookmarkStart w:id="58" w:name="ref-Gunz2013"/>
    <w:p>
      <w:pPr>
        <w:pStyle w:val="BodyText"/>
      </w:pPr>
      <w:r>
        <w:t xml:space="preserve">Gunz, P., Mitteroecker, P., 2013. Semilandmarks: A method for quantifying curves and surfaces. Hystrix, the Italian Journal of Mammalogy 24, 103–109.</w:t>
      </w:r>
    </w:p>
    <w:bookmarkEnd w:id="58"/>
    <w:bookmarkStart w:id="59"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59"/>
    <w:bookmarkStart w:id="60" w:name="ref-Hirshman2010"/>
    <w:p>
      <w:pPr>
        <w:pStyle w:val="BodyText"/>
      </w:pPr>
      <w:r>
        <w:t xml:space="preserve">Hirshman, A.J., Lovis, W.A., Pollard, H.P., 2010. Specialization of ceramic production: A sherd assemblage based analytic perspective. Journal of Anthropological Archaeology 29, 265–277.</w:t>
      </w:r>
    </w:p>
    <w:bookmarkEnd w:id="60"/>
    <w:bookmarkStart w:id="61"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1"/>
    <w:bookmarkStart w:id="62" w:name="ref-Iovictua2010"/>
    <w:p>
      <w:pPr>
        <w:pStyle w:val="BodyText"/>
      </w:pPr>
      <w:r>
        <w:t xml:space="preserve">Ioviţă, R., 2010. Comparing stone tool resharpening trajectories with the aid of elliptical fourier analysis, in: New Perspectives on Old Stones. Springer, pp. 235–253.</w:t>
      </w:r>
    </w:p>
    <w:bookmarkEnd w:id="62"/>
    <w:bookmarkStart w:id="63" w:name="ref-Kuhl1982"/>
    <w:p>
      <w:pPr>
        <w:pStyle w:val="BodyText"/>
      </w:pPr>
      <w:r>
        <w:t xml:space="preserve">Kuhl, F.P., Giardina, C.R., 1982. Elliptic fourier features of a closed contour. Computer graphics and image processing 18, 236–258.</w:t>
      </w:r>
    </w:p>
    <w:bookmarkEnd w:id="63"/>
    <w:bookmarkStart w:id="64" w:name="ref-Lawing2010"/>
    <w:p>
      <w:pPr>
        <w:pStyle w:val="BodyText"/>
      </w:pPr>
      <w:r>
        <w:t xml:space="preserve">Lawing, A.M., Polly, P.D., 2010. Geometric morphometrics: Recent applications to the study of evolution and development. Journal of Zoology 280, 1–7.</w:t>
      </w:r>
    </w:p>
    <w:bookmarkEnd w:id="64"/>
    <w:bookmarkStart w:id="65"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65"/>
    <w:bookmarkStart w:id="67"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66">
        <w:r>
          <w:rPr>
            <w:rStyle w:val="Hyperlink"/>
          </w:rPr>
          <w:t xml:space="preserve">https://doi.org/10.1007/s10816-015-9272-9</w:t>
        </w:r>
      </w:hyperlink>
    </w:p>
    <w:bookmarkEnd w:id="67"/>
    <w:bookmarkStart w:id="68" w:name="ref-Marwick2018"/>
    <w:p>
      <w:pPr>
        <w:pStyle w:val="BodyText"/>
      </w:pPr>
      <w:r>
        <w:t xml:space="preserve">Marwick, B., Boettiger, C., Mullen, L., 2018. Packaging data analytical work reproducibly using r (and friends). The American Statistician 72, 80–88.</w:t>
      </w:r>
    </w:p>
    <w:bookmarkEnd w:id="68"/>
    <w:bookmarkStart w:id="69" w:name="ref-Marwick2019"/>
    <w:p>
      <w:pPr>
        <w:pStyle w:val="BodyText"/>
      </w:pPr>
      <w:r>
        <w:t xml:space="preserve">Marwick, B., Krishnamoorthy, K., n.d. Cvequality: Tests for the equality of coefficients of variation from multiple groups.</w:t>
      </w:r>
    </w:p>
    <w:bookmarkEnd w:id="69"/>
    <w:bookmarkStart w:id="70" w:name="ref-Meloro2015"/>
    <w:p>
      <w:pPr>
        <w:pStyle w:val="BodyText"/>
      </w:pPr>
      <w:r>
        <w:t xml:space="preserve">Meloro, C., Hudson, A., Rook, L., 2015. Feeding habits of extant and fossil canids as determined by their skull geometry. Journal of Zoology 295, 178–188.</w:t>
      </w:r>
    </w:p>
    <w:bookmarkEnd w:id="70"/>
    <w:bookmarkStart w:id="71" w:name="ref-Rlanguage2019"/>
    <w:p>
      <w:pPr>
        <w:pStyle w:val="BodyText"/>
      </w:pPr>
      <w:r>
        <w:t xml:space="preserve">R Core Team, 2019. R: A language and environment for statistical computing. R Foundation for Statistical Computing, Vienna, Austria.</w:t>
      </w:r>
    </w:p>
    <w:bookmarkEnd w:id="71"/>
    <w:bookmarkStart w:id="72"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72"/>
    <w:bookmarkStart w:id="73" w:name="ref-Slice2007"/>
    <w:p>
      <w:pPr>
        <w:pStyle w:val="BodyText"/>
      </w:pPr>
      <w:r>
        <w:t xml:space="preserve">Slice, D.E., 2007. Geometric morphometrics. Annu. Rev. Anthropol. 36, 261–281.</w:t>
      </w:r>
    </w:p>
    <w:bookmarkEnd w:id="73"/>
    <w:bookmarkStart w:id="74"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74"/>
    <w:bookmarkStart w:id="75" w:name="ref-Tite1999"/>
    <w:p>
      <w:pPr>
        <w:pStyle w:val="BodyText"/>
      </w:pPr>
      <w:r>
        <w:t xml:space="preserve">Tite, M.S., 1999. Pottery production, distribution, and consumption—the contribution of the physical sciences. Journal of archaeological method and theory 6, 181–233.</w:t>
      </w:r>
    </w:p>
    <w:bookmarkEnd w:id="75"/>
    <w:bookmarkStart w:id="76"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76"/>
    <w:bookmarkEnd w:id="77"/>
    <w:p>
      <w:pPr>
        <w:pStyle w:val="Heading5"/>
      </w:pPr>
      <w:bookmarkStart w:id="78" w:name="pagebreak-1"/>
      <w:r>
        <w:t xml:space="preserve">pagebreak</w:t>
      </w:r>
      <w:bookmarkEnd w:id="78"/>
    </w:p>
    <w:p>
      <w:pPr>
        <w:pStyle w:val="Heading3"/>
      </w:pPr>
      <w:bookmarkStart w:id="79" w:name="colophon"/>
      <w:r>
        <w:t xml:space="preserve">Colophon</w:t>
      </w:r>
      <w:bookmarkEnd w:id="79"/>
    </w:p>
    <w:p>
      <w:pPr>
        <w:pStyle w:val="FirstParagraph"/>
      </w:pPr>
      <w:r>
        <w:t xml:space="preserve">This report was generated on 2019-12-22 15:22:23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2019-12-22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abind            1.4-5    2016-07-21 [1] CRAN (R 3.6.0)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base64enc        0.1-3    2015-07-28 [1] CRAN (R 3.6.0)              </w:t>
      </w:r>
      <w:r>
        <w:br w:type="textWrapping"/>
      </w:r>
      <w:r>
        <w:rPr>
          <w:rStyle w:val="VerbatimChar"/>
        </w:rPr>
        <w:t xml:space="preserve">#&gt;  bayesplot        1.7.0    2019-05-23 [1] CRAN (R 3.6.0)              </w:t>
      </w:r>
      <w:r>
        <w:br w:type="textWrapping"/>
      </w:r>
      <w:r>
        <w:rPr>
          <w:rStyle w:val="VerbatimChar"/>
        </w:rPr>
        <w:t xml:space="preserve">#&gt;  bookdown         0.16     2019-11-22 [1] CRAN (R 3.6.0)              </w:t>
      </w:r>
      <w:r>
        <w:br w:type="textWrapping"/>
      </w:r>
      <w:r>
        <w:rPr>
          <w:rStyle w:val="VerbatimChar"/>
        </w:rPr>
        <w:t xml:space="preserve">#&gt;  bridgesampling   0.7-2    2019-07-21 [1] CRAN (R 3.6.0)              </w:t>
      </w:r>
      <w:r>
        <w:br w:type="textWrapping"/>
      </w:r>
      <w:r>
        <w:rPr>
          <w:rStyle w:val="VerbatimChar"/>
        </w:rPr>
        <w:t xml:space="preserve">#&gt;  brms           * 2.10.0   2019-08-29 [1] CRAN (R 3.6.0)              </w:t>
      </w:r>
      <w:r>
        <w:br w:type="textWrapping"/>
      </w:r>
      <w:r>
        <w:rPr>
          <w:rStyle w:val="VerbatimChar"/>
        </w:rPr>
        <w:t xml:space="preserve">#&gt;  Brobdingnag      1.2-6    2018-08-13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coda             0.19-3   2019-07-05 [1] CRAN (R 3.6.0)              </w:t>
      </w:r>
      <w:r>
        <w:br w:type="textWrapping"/>
      </w:r>
      <w:r>
        <w:rPr>
          <w:rStyle w:val="VerbatimChar"/>
        </w:rPr>
        <w:t xml:space="preserve">#&gt;  codetools        0.2-16   2018-12-24 [1] CRAN (R 3.6.1)              </w:t>
      </w:r>
      <w:r>
        <w:br w:type="textWrapping"/>
      </w:r>
      <w:r>
        <w:rPr>
          <w:rStyle w:val="VerbatimChar"/>
        </w:rPr>
        <w:t xml:space="preserve">#&gt;  colorspace       1.4-1    2019-03-18 [1] CRAN (R 3.6.0)              </w:t>
      </w:r>
      <w:r>
        <w:br w:type="textWrapping"/>
      </w:r>
      <w:r>
        <w:rPr>
          <w:rStyle w:val="VerbatimChar"/>
        </w:rPr>
        <w:t xml:space="preserve">#&gt;  colourpicker     1.0      2017-09-27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crosstalk        1.0.0    2016-12-21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DT               0.8      2019-08-07 [1] CRAN (R 3.6.0)              </w:t>
      </w:r>
      <w:r>
        <w:br w:type="textWrapping"/>
      </w:r>
      <w:r>
        <w:rPr>
          <w:rStyle w:val="VerbatimChar"/>
        </w:rPr>
        <w:t xml:space="preserve">#&gt;  dygraphs         1.1.1.6  2018-07-11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ggridges         0.5.1    2018-09-27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gtools           3.8.1    2018-06-26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htmlwidgets      1.3      2018-09-30 [1] CRAN (R 3.6.0)              </w:t>
      </w:r>
      <w:r>
        <w:br w:type="textWrapping"/>
      </w:r>
      <w:r>
        <w:rPr>
          <w:rStyle w:val="VerbatimChar"/>
        </w:rPr>
        <w:t xml:space="preserve">#&gt;  httpuv           1.5.2    2019-09-11 [1] CRAN (R 3.6.0)              </w:t>
      </w:r>
      <w:r>
        <w:br w:type="textWrapping"/>
      </w:r>
      <w:r>
        <w:rPr>
          <w:rStyle w:val="VerbatimChar"/>
        </w:rPr>
        <w:t xml:space="preserve">#&gt;  httr             1.4.1    2019-08-05 [1] CRAN (R 3.6.0)              </w:t>
      </w:r>
      <w:r>
        <w:br w:type="textWrapping"/>
      </w:r>
      <w:r>
        <w:rPr>
          <w:rStyle w:val="VerbatimChar"/>
        </w:rPr>
        <w:t xml:space="preserve">#&gt;  igraph           1.2.4.1  2019-04-22 [1] CRAN (R 3.6.0)              </w:t>
      </w:r>
      <w:r>
        <w:br w:type="textWrapping"/>
      </w:r>
      <w:r>
        <w:rPr>
          <w:rStyle w:val="VerbatimChar"/>
        </w:rPr>
        <w:t xml:space="preserve">#&gt;  inline           0.3.15   2018-05-18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later            0.8.0    2019-02-11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loo              2.1.0    2019-03-13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markdown         1.1      2019-08-07 [1] CRAN (R 3.6.0)              </w:t>
      </w:r>
      <w:r>
        <w:br w:type="textWrapping"/>
      </w:r>
      <w:r>
        <w:rPr>
          <w:rStyle w:val="VerbatimChar"/>
        </w:rPr>
        <w:t xml:space="preserve">#&gt;  MASS             7.3-51.4 2019-03-31 [1] CRAN (R 3.6.1)              </w:t>
      </w:r>
      <w:r>
        <w:br w:type="textWrapping"/>
      </w:r>
      <w:r>
        <w:rPr>
          <w:rStyle w:val="VerbatimChar"/>
        </w:rPr>
        <w:t xml:space="preserve">#&gt;  Matrix           1.2-17   2019-03-22 [1] CRAN (R 3.6.1)              </w:t>
      </w:r>
      <w:r>
        <w:br w:type="textWrapping"/>
      </w:r>
      <w:r>
        <w:rPr>
          <w:rStyle w:val="VerbatimChar"/>
        </w:rPr>
        <w:t xml:space="preserve">#&gt;  matrixStats      0.55.0   2019-09-07 [1] CRAN (R 3.6.0)              </w:t>
      </w:r>
      <w:r>
        <w:br w:type="textWrapping"/>
      </w:r>
      <w:r>
        <w:rPr>
          <w:rStyle w:val="VerbatimChar"/>
        </w:rPr>
        <w:t xml:space="preserve">#&gt;  memoise          1.1.0    2017-04-21 [1] CRAN (R 3.6.0)              </w:t>
      </w:r>
      <w:r>
        <w:br w:type="textWrapping"/>
      </w:r>
      <w:r>
        <w:rPr>
          <w:rStyle w:val="VerbatimChar"/>
        </w:rPr>
        <w:t xml:space="preserve">#&gt;  mgcv             1.8-28   2019-03-21 [1] CRAN (R 3.6.1)              </w:t>
      </w:r>
      <w:r>
        <w:br w:type="textWrapping"/>
      </w:r>
      <w:r>
        <w:rPr>
          <w:rStyle w:val="VerbatimChar"/>
        </w:rPr>
        <w:t xml:space="preserve">#&gt;  mime             0.7      2019-06-11 [1] CRAN (R 3.6.0)              </w:t>
      </w:r>
      <w:r>
        <w:br w:type="textWrapping"/>
      </w:r>
      <w:r>
        <w:rPr>
          <w:rStyle w:val="VerbatimChar"/>
        </w:rPr>
        <w:t xml:space="preserve">#&gt;  miniUI           0.1.1.1  2018-05-18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1.4.2    2019-06-29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promises         1.0.1    2018-04-13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rsconnect        0.8.15   2019-07-22 [1] CRAN (R 3.6.0)              </w:t>
      </w:r>
      <w:r>
        <w:br w:type="textWrapping"/>
      </w:r>
      <w:r>
        <w:rPr>
          <w:rStyle w:val="VerbatimChar"/>
        </w:rPr>
        <w:t xml:space="preserve">#&gt;  rstan            2.19.2   2019-07-09 [1] CRAN (R 3.6.0)              </w:t>
      </w:r>
      <w:r>
        <w:br w:type="textWrapping"/>
      </w:r>
      <w:r>
        <w:rPr>
          <w:rStyle w:val="VerbatimChar"/>
        </w:rPr>
        <w:t xml:space="preserve">#&gt;  rstantools       2.0.0    2019-09-15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shiny            1.3.2    2019-04-22 [1] CRAN (R 3.6.0)              </w:t>
      </w:r>
      <w:r>
        <w:br w:type="textWrapping"/>
      </w:r>
      <w:r>
        <w:rPr>
          <w:rStyle w:val="VerbatimChar"/>
        </w:rPr>
        <w:t xml:space="preserve">#&gt;  shinyjs          1.0      2018-01-08 [1] CRAN (R 3.6.0)              </w:t>
      </w:r>
      <w:r>
        <w:br w:type="textWrapping"/>
      </w:r>
      <w:r>
        <w:rPr>
          <w:rStyle w:val="VerbatimChar"/>
        </w:rPr>
        <w:t xml:space="preserve">#&gt;  shinystan        2.5.0    2018-05-01 [1] CRAN (R 3.6.0)              </w:t>
      </w:r>
      <w:r>
        <w:br w:type="textWrapping"/>
      </w:r>
      <w:r>
        <w:rPr>
          <w:rStyle w:val="VerbatimChar"/>
        </w:rPr>
        <w:t xml:space="preserve">#&gt;  shinythemes      1.1.2    2018-11-06 [1] CRAN (R 3.6.0)              </w:t>
      </w:r>
      <w:r>
        <w:br w:type="textWrapping"/>
      </w:r>
      <w:r>
        <w:rPr>
          <w:rStyle w:val="VerbatimChar"/>
        </w:rPr>
        <w:t xml:space="preserve">#&gt;  StanHeaders      2.19.0   2019-09-07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threejs          0.3.1    2017-08-13 [1] CRAN (R 3.6.0)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0.2.0    2019-07-05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xtable           1.8-4    2019-04-21 [1] CRAN (R 3.6.0)              </w:t>
      </w:r>
      <w:r>
        <w:br w:type="textWrapping"/>
      </w:r>
      <w:r>
        <w:rPr>
          <w:rStyle w:val="VerbatimChar"/>
        </w:rPr>
        <w:t xml:space="preserve">#&gt;  xts              0.11-2   2018-11-05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zoo              1.8-6    2019-05-28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[8db742b] 2019-12-22: seperate code blocks and working on PCA result</w:t>
      </w:r>
    </w:p>
    <w:p>
      <w:pPr>
        <w:pStyle w:val="FirstParagraph"/>
      </w:pPr>
      <w:r>
        <w:t xml:space="preserve">Word count: 3270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66"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66"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2019-12-22T23:22:30Z</dcterms:created>
  <dcterms:modified xsi:type="dcterms:W3CDTF">2019-12-22T23:22:30Z</dcterms:modified>
</cp:coreProperties>
</file>