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Override PartName="/word/media/rId38.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standardisation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10</w:t>
      </w:r>
      <w:r>
        <w:t xml:space="preserve"> </w:t>
      </w:r>
      <w:r>
        <w:t xml:space="preserve">April,</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 (Dietler, 2005, 1997; Junker, 1993; Silliman, 2005).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 (Acabado, 2017; Trabert, 2017).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 Acabado (2017)’s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 (Dietler, 2015; Given, 2004; Mullins, 2011; Scaramelli and Scaramelli, 2005; Silliman, 2001; Torrence and Clarke, 2000). In this paper we investigate the archaeology of a pericolonial situation at Kiwulan (1350-1950 AD), a large multi-component archaeological site in Yilan Province, northeastern Taiwan (Chen, 2007),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 (Arnold, 2000; Blackman et al., 1993; Boness et al., 2015; Costin, 1991; Rice, 1991; Roux, 2015; Tite, 1999). Among those variables, metric measurements are most widely applied to archaeological assemblages because of the ease of collecting these data. The coefficient of variation statistic is commonly used to quantify the degree of standardization in ceramic assemblages (Eerkens and Bettinger, 2001; Roux, 2003; Stark, 1995b).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 (Adams et al., 2004; Bookstein, 1997; Lawing and Polly, 2010; Slice, 2007). Landmarks, curves or outlines of objects can be represented by coordinates in terms of their unique point locations with respect to numerical values on coordinate axes. There are two common morphometric methods: landmark approaches and outline approaches (Adams et al., 2004).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 (Birch and Martinón-Torres, 2019; Buchanan et al., 2019; Cardillo, 2010; Haruda et al., 2019; Lycett and Cramon-Taubadel, 2013; Meloro et al., 2015).</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 (Bookstein, 1997; Lawing and Polly, 2010). Those semi-landmarks are allowed to slide along the curve to remove the effect of the arbitrary landmark spacing by minimizing either Procrustes distance or bending energy (Bookstein, 1997; Gunz and Mitteroecker, 2013; Slice, 2007). Another approach that is commonly applied to two-dimensional closed shapes is elliptic Fourier Analysis (EFA), that converts coordinates along a curve into Fourier function coefficients, called harmonic coefficients (Kuhl and Giardina, 1982). EFA uses periodic functions to capture geometric information, where an outline is decomposed into a series of ellipses described by trigonometric functions (Adams et al., 2004; Bonhomme et al., 2014; Claude, 2008). The number of harmonics determines the quality and precision of the geometric representation of an object. The harmonic power, a cumulated sum of squared harmonic coefficients, provides a robust rule for determining the desired number of harmonics (Bonhomme et al., 2014). EFA is suitable for shapes lacking representative landmarks or where curves contain the most meaningful variation. Applications in archaeology include human remains and zooarchaeology, stone artifacts, and ceramics (Fox, 2015; Hoggard et al., 2019; Ioviţă, 2010; Topi et al. 2018; Selden Jr 2019; Wilczek et al. 2014).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 1; Figure 2). The chronology of the archaeological deposits at Kiwulan consists of two cultural components, the upper component and the lower component, with a sterile layer in between (Chen, 2007).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 (Andrade, 2007).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 (Andrade, 2007).</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(Bonhomme et al., 2014).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 us to directly compare variation in samples measured with different units or means. This is useful to compare the degree of standardization for archaeological assembles and enables comparison of variation across different sample sizes (Eerkens and Bettinger, 2001, p. 498). Following [citations of previous work that has used CVs like this]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 (Costin, 2001). We used a Monte Carlo test for randomness in spatial locations of pots to explore whether their distribution is significantly clustered or dispersed.</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We found that 13 harmonics captured 99% of the total harmonic power in our elliptic Fourier coefficients of 73 vessels from three phases. Figure</w:t>
      </w:r>
      <w:r>
        <w:t xml:space="preserve"> </w:t>
      </w:r>
      <w:r>
        <w:t xml:space="preserve">4</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CaptionedFigure"/>
      </w:pPr>
      <w:r>
        <w:drawing>
          <wp:inline>
            <wp:extent cx="5943600" cy="4754880"/>
            <wp:effectExtent b="0" l="0" r="0" t="0"/>
            <wp:docPr descr="Figure 4: Comparison of average vessel shapes across phases using thin plate splines (TPS) with outline deformations required to pass from an extreme of one morphospace to an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Comparison of average vessel shapes across phases using thin plate splines (TPS) with outline deformations required to pass from an extreme of one morphospace to another.</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5</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 [citation needed: article and pkg].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0.1164</w:t>
            </w:r>
          </w:p>
        </w:tc>
        <w:tc>
          <w:p>
            <w:pPr>
              <w:pStyle w:val="Compact"/>
              <w:jc w:val="right"/>
            </w:pPr>
            <w:r>
              <w:t xml:space="preserve">0.7329</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9.2510</w:t>
            </w:r>
          </w:p>
        </w:tc>
        <w:tc>
          <w:p>
            <w:pPr>
              <w:pStyle w:val="Compact"/>
              <w:jc w:val="right"/>
            </w:pPr>
            <w:r>
              <w:t xml:space="preserve">0.0024</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7.6388</w:t>
            </w:r>
          </w:p>
        </w:tc>
        <w:tc>
          <w:p>
            <w:pPr>
              <w:pStyle w:val="Compact"/>
              <w:jc w:val="right"/>
            </w:pPr>
            <w:r>
              <w:t xml:space="preserve">0.0057</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0.1423</w:t>
            </w:r>
          </w:p>
        </w:tc>
        <w:tc>
          <w:p>
            <w:pPr>
              <w:pStyle w:val="Compact"/>
              <w:jc w:val="right"/>
            </w:pPr>
            <w:r>
              <w:t xml:space="preserve">0.7060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0.2217</w:t>
            </w:r>
          </w:p>
        </w:tc>
        <w:tc>
          <w:p>
            <w:pPr>
              <w:pStyle w:val="Compact"/>
              <w:jc w:val="right"/>
            </w:pPr>
            <w:r>
              <w:t xml:space="preserve">0.6377</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0.0542</w:t>
            </w:r>
          </w:p>
        </w:tc>
        <w:tc>
          <w:p>
            <w:pPr>
              <w:pStyle w:val="Compact"/>
              <w:jc w:val="right"/>
            </w:pPr>
            <w:r>
              <w:t xml:space="preserve">0.8159</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 (Cheng, 2008; Wang, 2011), hinting at an emergence of social inequality in the Indigenous community. We have examined ceramic vessel shape standardization to measure craft specialization as a proxy for social differentiation (Costin, 2001; Junker, 1999).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 (cf. Kwak and Marwick, 2015).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 (cf. Evershed, 2008, p. 909).</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 (Chen, 2007; Hsieh, 2009). We might expect reduced numbers of potters to result in pottery production shrinking to a few locations in the settlement during this time. Although the overall number of vessels is smaller during the Chinese contact period, Figure 7) 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bmarwick/Desktop/kwl.pottery/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bmarwick/Desktop/kwl.pottery/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 (Feinman, 2000).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 contrary to previous work that has downplayed the effect of Chinese settlement in Yilan (Wang, 2011).</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 (cf. Acabado, 2017).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 (Chen, 1963; Ke, 1993). This direct influence is reflected by the archaeological evidence of large amounts of Chinese porcelains and distinctive architectural bricks and tiles used by Chinese (Hsieh, 2009). Similarly, burials at Kiwulan in this later phase show the adoption of coffins in mortuary practices, which Chen (2007) 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62" w:name="refs"/>
    <w:bookmarkStart w:id="43" w:name="ref-Chen2016"/>
    <w:p>
      <w:pPr>
        <w:pStyle w:val="Bibliography"/>
      </w:pPr>
      <w:r>
        <w:t xml:space="preserve">Chen, W.-S., 2016. Tai wan di zhi gai lun [an introduction to the geology of taiwan]. Geological Society Located in Taipei.</w:t>
      </w:r>
    </w:p>
    <w:bookmarkEnd w:id="43"/>
    <w:bookmarkStart w:id="44" w:name="ref-Chen2007"/>
    <w:p>
      <w:pPr>
        <w:pStyle w:val="Bibliography"/>
      </w:pPr>
      <w:r>
        <w:t xml:space="preserve">Chen, Y.-p., 2007. Qi wu lan yi zhi qiang jiu fa jue bao gao [report on the archaeological excavations at ki-wu-lan site]. Lanyang museum, Yilan, Taiwan.</w:t>
      </w:r>
    </w:p>
    <w:bookmarkEnd w:id="44"/>
    <w:bookmarkStart w:id="45" w:name="ref-Eerkens2000"/>
    <w:p>
      <w:pPr>
        <w:pStyle w:val="Bibliography"/>
      </w:pPr>
      <w:r>
        <w:t xml:space="preserve">Eerkens, J.W., 2000. Practice makes within 5% of perfect: Visual perception, motor skills, and memory in artifact variation. Current Anthropology 41, 663–668.</w:t>
      </w:r>
    </w:p>
    <w:bookmarkEnd w:id="45"/>
    <w:bookmarkStart w:id="46" w:name="ref-Eerkens2001"/>
    <w:p>
      <w:pPr>
        <w:pStyle w:val="Bibliography"/>
      </w:pPr>
      <w:r>
        <w:t xml:space="preserve">Eerkens, J.W., Bettinger, R.L., 2001. Techniques for assessing standardization in artifact assemblages: Can we scale material variability? American Antiquity 66, 493–504.</w:t>
      </w:r>
    </w:p>
    <w:bookmarkEnd w:id="46"/>
    <w:bookmarkStart w:id="47" w:name="ref-Feltz1996"/>
    <w:p>
      <w:pPr>
        <w:pStyle w:val="Bibliography"/>
      </w:pPr>
      <w:r>
        <w:t xml:space="preserve">Feltz, C.J., Miller, G.E., 1996. An asymptotic test for the equality of coefficients of variation from k populations. Statistics in medicine 15, 647–658.</w:t>
      </w:r>
    </w:p>
    <w:bookmarkEnd w:id="47"/>
    <w:bookmarkStart w:id="48"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48"/>
    <w:bookmarkStart w:id="49" w:name="ref-Hsieh2009"/>
    <w:p>
      <w:pPr>
        <w:pStyle w:val="Bibliography"/>
      </w:pPr>
      <w:r>
        <w:t xml:space="preserve">Hsieh, E., 2009. Yi lan qi wu lan yi zhi chu tu wai lai tao ci qi zhi xiang guan yan jiu [the study of imported ceramics excavated at the ki-wu-lan site, i-lan] (Master’s thesis).</w:t>
      </w:r>
    </w:p>
    <w:bookmarkEnd w:id="49"/>
    <w:bookmarkStart w:id="50" w:name="ref-Krishnamoorthy2014"/>
    <w:p>
      <w:pPr>
        <w:pStyle w:val="Bibliography"/>
      </w:pPr>
      <w:r>
        <w:t xml:space="preserve">Krishnamoorthy, K., Lee, M., 2014. Improved tests for the equality of normal coefficients of variation. Computational Statistics 29, 215–232.</w:t>
      </w:r>
    </w:p>
    <w:bookmarkEnd w:id="50"/>
    <w:bookmarkStart w:id="51" w:name="ref-Lycett2008"/>
    <w:p>
      <w:pPr>
        <w:pStyle w:val="Bibliography"/>
      </w:pPr>
      <w:r>
        <w:t xml:space="preserve">Lycett, S.J., Gowlett, J.A., 2008. On questions surrounding the acheulean “tradition”. World Archaeology 40, 295–315.</w:t>
      </w:r>
    </w:p>
    <w:bookmarkEnd w:id="51"/>
    <w:bookmarkStart w:id="5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2">
        <w:r>
          <w:rPr>
            <w:rStyle w:val="Hyperlink"/>
          </w:rPr>
          <w:t xml:space="preserve">https://doi.org/10.1007/s10816-015-9272-9</w:t>
        </w:r>
      </w:hyperlink>
    </w:p>
    <w:bookmarkEnd w:id="53"/>
    <w:bookmarkStart w:id="54" w:name="ref-Marwick2018"/>
    <w:p>
      <w:pPr>
        <w:pStyle w:val="Bibliography"/>
      </w:pPr>
      <w:r>
        <w:t xml:space="preserve">Marwick, B., Boettiger, C., Mullen, L., 2018. Packaging data analytical work reproducibly using r (and friends). The American Statistician 72, 80–88.</w:t>
      </w:r>
    </w:p>
    <w:bookmarkEnd w:id="54"/>
    <w:bookmarkStart w:id="55"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55"/>
    <w:bookmarkStart w:id="56" w:name="ref-Rlanguage2019"/>
    <w:p>
      <w:pPr>
        <w:pStyle w:val="Bibliography"/>
      </w:pPr>
      <w:r>
        <w:t xml:space="preserve">R Core Team, 2019. R: A language and environment for statistical computing. R Foundation for Statistical Computing, Vienna, Austria.</w:t>
      </w:r>
    </w:p>
    <w:bookmarkEnd w:id="56"/>
    <w:bookmarkStart w:id="57"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57"/>
    <w:bookmarkStart w:id="58" w:name="ref-Voss2008"/>
    <w:p>
      <w:pPr>
        <w:pStyle w:val="Bibliography"/>
      </w:pPr>
      <w:r>
        <w:t xml:space="preserve">Voss, B.L., 2008. Between the household and the world system: Social collectivity and community agency in overseas chinese archaeology. Historical Archaeology 37–52.</w:t>
      </w:r>
    </w:p>
    <w:bookmarkEnd w:id="58"/>
    <w:bookmarkStart w:id="59" w:name="ref-Voss2005"/>
    <w:p>
      <w:pPr>
        <w:pStyle w:val="Bibliography"/>
      </w:pPr>
      <w:r>
        <w:t xml:space="preserve">Voss, B.L., 2005. From casta to californio: Social identity and the archaeology of culture contact. American Anthropologist 107, 461–474.</w:t>
      </w:r>
    </w:p>
    <w:bookmarkEnd w:id="59"/>
    <w:bookmarkStart w:id="60" w:name="ref-Wang2011"/>
    <w:p>
      <w:pPr>
        <w:pStyle w:val="Bibliography"/>
      </w:pPr>
      <w:r>
        <w:t xml:space="preserve">Wang, L.-Y., 2011. Yi lan qi wu lan yi zhi chu tu zhuang shi pin zhi xiang guan yan jiu [a research of ornaments excavated at ki-wu-lan site, i-lan] (Master’s thesis).</w:t>
      </w:r>
    </w:p>
    <w:bookmarkEnd w:id="60"/>
    <w:bookmarkStart w:id="6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61"/>
    <w:bookmarkEnd w:id="62"/>
    <w:p>
      <w:pPr>
        <w:pStyle w:val="Heading5"/>
      </w:pPr>
      <w:bookmarkStart w:id="63" w:name="pagebreak-1"/>
      <w:r>
        <w:t xml:space="preserve">pagebreak</w:t>
      </w:r>
      <w:bookmarkEnd w:id="63"/>
    </w:p>
    <w:p>
      <w:pPr>
        <w:pStyle w:val="Heading3"/>
      </w:pPr>
      <w:bookmarkStart w:id="64" w:name="colophon"/>
      <w:r>
        <w:t xml:space="preserve">Colophon</w:t>
      </w:r>
      <w:bookmarkEnd w:id="64"/>
    </w:p>
    <w:p>
      <w:pPr>
        <w:pStyle w:val="FirstParagraph"/>
      </w:pPr>
      <w:r>
        <w:t xml:space="preserve">This report was generated on 2020-04-10 12:57:49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2020-04-10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3.4.3      2020-03-28 [1] CRAN (R 3.6.2)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1.3.4.9000 2020-04-07 [1] Github (gaborcsardi/crayon@e949005)</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3.0.0      2020-03-30 [1] CRAN (R 3.6.2)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1.3.0      2020-04-01 [1] CRAN (R 3.6.2)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[939b670] 2020-04-10: editing methods efa</w:t>
      </w:r>
    </w:p>
    <w:p>
      <w:pPr>
        <w:pStyle w:val="FirstParagraph"/>
      </w:pPr>
      <w:r>
        <w:t xml:space="preserve">Word count: 4655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hyperlink" Id="rId27" Target="http://inkscape.org" TargetMode="External" /><Relationship Type="http://schemas.openxmlformats.org/officeDocument/2006/relationships/hyperlink" Id="rId52"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52"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standardisation using geometric morphometry of pottery from Iron Age northeastern Taiwan</dc:title>
  <dc:creator>Li-Ying Wang; Ben Marwick</dc:creator>
  <cp:keywords/>
  <dcterms:created xsi:type="dcterms:W3CDTF">2020-04-10T19:57:55Z</dcterms:created>
  <dcterms:modified xsi:type="dcterms:W3CDTF">2020-04-10T19:57:55Z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10 April, 2020</vt:lpwstr>
  </property>
  <property fmtid="{D5CDD505-2E9C-101B-9397-08002B2CF9AE}" pid="6" name="highlights">
    <vt:lpwstr>These are the highlights.</vt:lpwstr>
  </property>
  <property fmtid="{D5CDD505-2E9C-101B-9397-08002B2CF9AE}" pid="7" name="output">
    <vt:lpwstr/>
  </property>
</Properties>
</file>