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9.png" ContentType="image/png"/>
  <Override PartName="/word/media/rId35.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03</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and explain that specialization is a subsistence strategy to accommodate uneven distribute of resources</w:t>
      </w:r>
      <w:r>
        <w:t xml:space="preserve"> </w:t>
      </w:r>
      <w:r>
        <w:t xml:space="preserve">(Arnold and Munns, 1994; Costin, 2001)</w:t>
      </w:r>
      <w:r>
        <w:t xml:space="preserve">, or a reaction to the changes in subsistence practices</w:t>
      </w:r>
      <w:r>
        <w:t xml:space="preserve"> </w:t>
      </w:r>
      <w:r>
        <w:t xml:space="preserve">(Stark, 1995a)</w:t>
      </w:r>
      <w:r>
        <w:t xml:space="preserve">. However, the explanation for the emergence of specialized production might not be exclusive or straightforward. Furthermore, specialization is not necessarily accompanied with social differentiation observed in lowland northern Philippines with a low degree of ceramic specialization in Ifugao societies with social ranking during the Spanish colonization</w:t>
      </w:r>
      <w:r>
        <w:t xml:space="preserve"> </w:t>
      </w:r>
      <w:r>
        <w:t xml:space="preserve">(Acabado et al., 2018)</w:t>
      </w:r>
      <w:r>
        <w:t xml:space="preserve">. This implies that the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might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that indicates the responses of indigenous peoples to Spanish cooptation. The archaeological evidence in northeastern Taiwan show evidence of use of prestige goods such as trade ornaments ornaments and their uneven distribution pattern in domestic area and burial contexts indicates some extent of social inequality when encountered by the Spanish and the Dutch in the 17th century. In addition to the differential distribution of trade ornaments, the locally made ceramic present a high consistency in form and shape compared to other pottery found from other regions on this island that hints the possibility of pottery specialization. To further understand the relationship among the use of prestige goods, the degree of ceramic specialization, and the influence of foreign colonizers, this paper uses pottery production as a proxy for identifying social changes in a cross-cultural contact context.</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Costin, 1991; Rice, 1991; Roux, 2015; Tite, 1999)</w:t>
      </w:r>
      <w:r>
        <w:t xml:space="preserve">. Among those variables, metric measurement is widely applied in archaeological assemblages by calculating coefficient of variation between sets of data coupled with statistical comparison that lower value reflects higher degree of standardization</w:t>
      </w:r>
      <w:r>
        <w:t xml:space="preserve"> </w:t>
      </w:r>
      <w:r>
        <w:t xml:space="preserve">(Eerkens and Bettinger, 2001; Roux, 2003; Roux and Karasik, 2018; Stark, 1995b)</w:t>
      </w:r>
      <w:r>
        <w:t xml:space="preserve">. However, this traditional typological and linear measurements might be limited because they can be insensitive to subtle variations resulting from changes in assembles. Shape analysis based on geometric morphometrics method are new approaches for measuring the degree of standardization since it takes the overall shape as variable for comparison</w:t>
      </w:r>
      <w:r>
        <w:t xml:space="preserve"> </w:t>
      </w:r>
      <w:r>
        <w:t xml:space="preserve">(Slice, 2007)</w:t>
      </w:r>
      <w:r>
        <w:t xml:space="preserve">. Taking geometric morphomerics approaches to the measurement of craft specialization, we study shape and standardization of locally made ceramic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and the Chinese, two major foreign influences in early historical Taiwan that might indicate social changes in the indigenous society.</w:t>
      </w:r>
    </w:p>
    <w:p>
      <w:pPr>
        <w:pStyle w:val="BodyText"/>
      </w:pPr>
      <w:r>
        <w:t xml:space="preserve">Our hypothesis is that if foreign contacts including European in the 17th century and Chinese in the 19th century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we expect the local pottery will show more homogeneous features after contact due to the craft specialization caused by control of small group of individuals. The aim of this paper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500 years at this site? Did pottery become more homogeneous and standardized in shape after foreign contacts with the European colonizer or the Chinese immigrant?</w:t>
      </w:r>
    </w:p>
    <w:p>
      <w:pPr>
        <w:pStyle w:val="Heading2"/>
      </w:pPr>
      <w:bookmarkStart w:id="21" w:name="geometric-morphometric-approach-shape-analysis-for-ceramic-specialization"/>
      <w:r>
        <w:t xml:space="preserve">Geometric Morphometric approach: shape analysis for ceramic specialization</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analyze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is widely used for archaeological objects where a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 The application of EFA in archaeology is mostly used for bone morphology to understand the biological variation and recently more for stone artifacts to explore stone tool technology</w:t>
      </w:r>
      <w:r>
        <w:t xml:space="preserve"> </w:t>
      </w:r>
      <w:r>
        <w:t xml:space="preserve">(Fox, 2015; Hoggard et al., 2019; Ioviţă, 2010)</w:t>
      </w:r>
      <w:r>
        <w:t xml:space="preserve">.</w:t>
      </w:r>
    </w:p>
    <w:p>
      <w:pPr>
        <w:pStyle w:val="BodyText"/>
      </w:pPr>
      <w:r>
        <w:t xml:space="preserve">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analyzed by EFA and DCT matches traditional ceramic typology, which supports that outline-based approaches can be efficiently used for studying variations in ceramic shapes. In addition, the results of shape variation by EFA helps to understand the level of production standardization over time across that region.</w:t>
      </w:r>
      <w:r>
        <w:t xml:space="preserve"> </w:t>
      </w:r>
      <w:r>
        <w:t xml:space="preserve">&lt;–Topi2007–&gt;</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1995b)</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1"/>
          <w:ilvl w:val="0"/>
        </w:numPr>
      </w:pPr>
      <w:r>
        <w:t xml:space="preserve">craft or pottery specialization</w:t>
      </w:r>
    </w:p>
    <w:p>
      <w:pPr>
        <w:pStyle w:val="Compact"/>
        <w:numPr>
          <w:numId w:val="1001"/>
          <w:ilvl w:val="0"/>
        </w:numPr>
      </w:pPr>
      <w:r>
        <w:t xml:space="preserve">CV is hard to test, we apply some statistics testing for it, - innovative: CV test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4 connected trenches at Kiwulan, northeastern Taiwan. Kiwulan is situated on a hill near a riverside at the northern margin of Yilan, which is characterized by a triangular alluvial plain facing eastwards the Pacific and mountains on three other sides. The chronology of Kiwulan can be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the Ming dynasty of China</w:t>
      </w:r>
      <w:r>
        <w:t xml:space="preserve"> </w:t>
      </w:r>
      <w:r>
        <w:t xml:space="preserve">(Andrade, 2007)</w:t>
      </w:r>
      <w:r>
        <w:t xml:space="preserve">.</w:t>
      </w:r>
    </w:p>
    <w:p>
      <w:pPr>
        <w:pStyle w:val="BodyText"/>
      </w:pPr>
      <w:r>
        <w:t xml:space="preserve">The upper component experienced frequent foreign contacts including the European colonial presence in the 17th century and great waves of Chinese immigrants since the 19th century. The excavation revealed abundant artifacts in which potsherds are the dominate materials throughout the site. Imported ceramics from mainland China, stonewares, and ornaments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 Kiwulan was a large settlement site</w:t>
      </w:r>
      <w:r>
        <w:t xml:space="preserve"> </w:t>
      </w:r>
      <w:r>
        <w:t xml:space="preserve">(Chen, 2007)</w:t>
      </w:r>
      <w:r>
        <w:t xml:space="preserve">. The predominant artefact found at Kiwulan is locally made ceramics, which distributed throughout the sequence across the site.</w:t>
      </w:r>
    </w:p>
    <w:p>
      <w:pPr>
        <w:pStyle w:val="BodyText"/>
      </w:pPr>
      <w:r>
        <w:t xml:space="preserve">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in between. Those pots show high consistency in shape - globular body with short neck and wide mouth. The exterior surface below the neck is treated with a wide variety of impressed geometric motifs. They were believed used for cooking because of the evidence of charred residues or carbon deposits commonly observed on the interior and soot on the exterior. Besides,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p>
    <w:p>
      <w:pPr>
        <w:pStyle w:val="BodyText"/>
      </w:pP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3" w:name="methods"/>
      <w:r>
        <w:t xml:space="preserve">Methods</w:t>
      </w:r>
      <w:bookmarkEnd w:id="23"/>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CaptionedFigure"/>
      </w:pPr>
      <w:r>
        <w:drawing>
          <wp:inline>
            <wp:extent cx="5943600" cy="4754880"/>
            <wp:effectExtent b="0" l="0" r="0" t="0"/>
            <wp:docPr descr="Figure 6: P-values of the CV equality test of PC1 and PC2 between phases, red color indicates p-value is less than 0.05" title="" id="1" name="Picture"/>
            <a:graphic>
              <a:graphicData uri="http://schemas.openxmlformats.org/drawingml/2006/picture">
                <pic:pic>
                  <pic:nvPicPr>
                    <pic:cNvPr descr="../figures/CV-test-PC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 Figure</w:t>
      </w:r>
      <w:r>
        <w:t xml:space="preserve"> </w:t>
      </w:r>
      <w:r>
        <w:t xml:space="preserve">6</w:t>
      </w:r>
      <w:r>
        <w:t xml:space="preserve">.</w:t>
      </w:r>
    </w:p>
    <w:p>
      <w:pPr>
        <w:pStyle w:val="Heading1"/>
      </w:pPr>
      <w:bookmarkStart w:id="37" w:name="discussion"/>
      <w:r>
        <w:t xml:space="preserve">Discussion</w:t>
      </w:r>
      <w:bookmarkEnd w:id="37"/>
    </w:p>
    <w:p>
      <w:pPr>
        <w:pStyle w:val="Heading2"/>
      </w:pPr>
      <w:bookmarkStart w:id="38" w:name="social-changes-in-cross-cultural-interaction-contexts"/>
      <w:r>
        <w:t xml:space="preserve">social changes in cross-cultural interaction contexts</w:t>
      </w:r>
      <w:bookmarkEnd w:id="38"/>
    </w:p>
    <w:p>
      <w:pPr>
        <w:pStyle w:val="Compact"/>
        <w:numPr>
          <w:numId w:val="1002"/>
          <w:ilvl w:val="0"/>
        </w:numPr>
      </w:pPr>
      <w:r>
        <w:t xml:space="preserve">cultural resistance</w:t>
      </w:r>
    </w:p>
    <w:p>
      <w:pPr>
        <w:pStyle w:val="Compact"/>
        <w:numPr>
          <w:numId w:val="1002"/>
          <w:ilvl w:val="0"/>
        </w:numPr>
      </w:pPr>
      <w:r>
        <w:t xml:space="preserve">trade</w:t>
      </w:r>
      <w:r>
        <w:t xml:space="preserve"> </w:t>
      </w:r>
      <w:r>
        <w:t xml:space="preserve">(Alizadeh et al., 2018)</w:t>
      </w:r>
    </w:p>
    <w:p>
      <w:pPr>
        <w:pStyle w:val="Compact"/>
        <w:numPr>
          <w:numId w:val="1002"/>
          <w:ilvl w:val="0"/>
        </w:numPr>
      </w:pPr>
      <w:r>
        <w:t xml:space="preserve">identity, social boundary, Raux2015, Boness2017</w:t>
      </w:r>
    </w:p>
    <w:p>
      <w:pPr>
        <w:pStyle w:val="FirstParagraph"/>
      </w:pPr>
      <w:r>
        <w:t xml:space="preserve">The results confirm that the differences in pottery shapes can be detected using outline analysis approaches. It shows there is differences in pottery shapes between pre-European and post-European, and Pre-European and Chinese contact. 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When it comes to ceramic specialization, metric measurements and clay paste are two major indicators. Shape analysis could be viewed as a replacement of metric measurement that enables subtle changes to be detected. We observe the increasing standardization of the pottery shape, however, it is interesting to note that there is no obvious changes in the clay paste across different phases. In the vitiation that the shape become more standardized without changes in raw materials,</w:t>
      </w:r>
    </w:p>
    <w:p>
      <w:pPr>
        <w:pStyle w:val="Heading1"/>
      </w:pPr>
      <w:bookmarkStart w:id="39" w:name="conclusion"/>
      <w:r>
        <w:t xml:space="preserve">Conclusion</w:t>
      </w:r>
      <w:bookmarkEnd w:id="39"/>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93" w:name="refs"/>
    <w:bookmarkStart w:id="43"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odyText"/>
      </w:pPr>
      <w:r>
        <w:t xml:space="preserve">Adams, D.C., Rohlf, F.J., Slice, D.E., 2004. Geometric morphometrics: Ten years of progress following the “revolution”. Italian Journal of Zoology 71, 5–16.</w:t>
      </w:r>
    </w:p>
    <w:bookmarkEnd w:id="45"/>
    <w:bookmarkStart w:id="46"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odyText"/>
      </w:pPr>
      <w:r>
        <w:t xml:space="preserve">Andrade, T., 2007. How Taiwan became chinese : Dutch, spanish, and han colonization in the seventeenth century. Columbia University Press, New York.</w:t>
      </w:r>
    </w:p>
    <w:bookmarkEnd w:id="47"/>
    <w:bookmarkStart w:id="48" w:name="ref-Arnold2000"/>
    <w:p>
      <w:pPr>
        <w:pStyle w:val="BodyText"/>
      </w:pPr>
      <w:r>
        <w:t xml:space="preserve">Arnold, D.E., 2000. Does the standardization of ceramic pastes really mean specialization? Journal of Archaeological Method and Theory 7, 333–375.</w:t>
      </w:r>
    </w:p>
    <w:bookmarkEnd w:id="48"/>
    <w:bookmarkStart w:id="49" w:name="ref-Arnold1994"/>
    <w:p>
      <w:pPr>
        <w:pStyle w:val="BodyText"/>
      </w:pPr>
      <w:r>
        <w:t xml:space="preserve">Arnold, J.E., Munns, A., 1994. Independent or attached specialization: The organization of shell bead production in california. Journal of Field Archaeology 21, 473–489.</w:t>
      </w:r>
    </w:p>
    <w:bookmarkEnd w:id="49"/>
    <w:bookmarkStart w:id="50"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homme2014"/>
    <w:p>
      <w:pPr>
        <w:pStyle w:val="BodyText"/>
      </w:pPr>
      <w:r>
        <w:t xml:space="preserve">Bonhomme, V., Picq, S., Gaucherel, C., Claude, J., others, 2014. Momocs: Outline analysis using r. Journal of Statistical Software 56, 1–24.</w:t>
      </w:r>
    </w:p>
    <w:bookmarkEnd w:id="52"/>
    <w:bookmarkStart w:id="53" w:name="ref-Bookstein1997"/>
    <w:p>
      <w:pPr>
        <w:pStyle w:val="BodyText"/>
      </w:pPr>
      <w:r>
        <w:t xml:space="preserve">Bookstein, F.L., 1997. Landmark methods for forms without landmarks: Morphometrics of group differences in outline shape. Medical image analysis 1, 225–243.</w:t>
      </w:r>
    </w:p>
    <w:bookmarkEnd w:id="53"/>
    <w:bookmarkStart w:id="54" w:name="ref-Bookstein1991"/>
    <w:p>
      <w:pPr>
        <w:pStyle w:val="BodyText"/>
      </w:pPr>
      <w:r>
        <w:t xml:space="preserve">Bookstein, F.L., 1991. Morphometric tools for landmark data: Geometry and biology. Cambridge University Press.</w:t>
      </w:r>
    </w:p>
    <w:bookmarkEnd w:id="54"/>
    <w:bookmarkStart w:id="55" w:name="ref-Buchanan2019"/>
    <w:p>
      <w:pPr>
        <w:pStyle w:val="BodyText"/>
      </w:pPr>
      <w:r>
        <w:t xml:space="preserve">Buchanan, B., Collard, M., O’Brien, M.J., 2019. Geometric morphometric analyses support incorporating the goshen point type into plainview. American Antiquity 1–11.</w:t>
      </w:r>
    </w:p>
    <w:bookmarkEnd w:id="55"/>
    <w:bookmarkStart w:id="56" w:name="ref-Cardillo2010"/>
    <w:p>
      <w:pPr>
        <w:pStyle w:val="BodyText"/>
      </w:pPr>
      <w:r>
        <w:t xml:space="preserve">Cardillo, M., 2010. Some applications of geometric morphometrics to archaeology, in: Elewa, A.M.T. (Ed.), Morphometrics for Nonmorphometricians. Springer, pp. 325–341.</w:t>
      </w:r>
    </w:p>
    <w:bookmarkEnd w:id="56"/>
    <w:bookmarkStart w:id="57" w:name="ref-Chen2007"/>
    <w:p>
      <w:pPr>
        <w:pStyle w:val="BodyText"/>
      </w:pPr>
      <w:r>
        <w:t xml:space="preserve">Chen, Y.-p., 2007. Qi wu lan yi zhi qiang jiu fa jue bao gao [report on the archaeological excavations at ki-wu-lan site]. Lanyang museum, Yilan, Taiwan.</w:t>
      </w:r>
    </w:p>
    <w:bookmarkEnd w:id="57"/>
    <w:bookmarkStart w:id="58" w:name="ref-Claude2008"/>
    <w:p>
      <w:pPr>
        <w:pStyle w:val="BodyText"/>
      </w:pPr>
      <w:r>
        <w:t xml:space="preserve">Claude, J., 2008. Morphometrics with r. Springer Science &amp; Business Media.</w:t>
      </w:r>
    </w:p>
    <w:bookmarkEnd w:id="58"/>
    <w:bookmarkStart w:id="59" w:name="ref-Costin2001"/>
    <w:p>
      <w:pPr>
        <w:pStyle w:val="BodyText"/>
      </w:pPr>
      <w:r>
        <w:t xml:space="preserve">Costin, C.L., 2001. Craft production systems, in: Archaeology at the Millennium. Springer, pp. 273–327.</w:t>
      </w:r>
    </w:p>
    <w:bookmarkEnd w:id="59"/>
    <w:bookmarkStart w:id="60" w:name="ref-Costin1991"/>
    <w:p>
      <w:pPr>
        <w:pStyle w:val="BodyText"/>
      </w:pPr>
      <w:r>
        <w:t xml:space="preserve">Costin, C.L., 1991. Craft specialization: Issues in defining, documenting, and explaining the organization of production. Archaeological method and theory 1–56.</w:t>
      </w:r>
    </w:p>
    <w:bookmarkEnd w:id="60"/>
    <w:bookmarkStart w:id="61" w:name="ref-Costin1995"/>
    <w:p>
      <w:pPr>
        <w:pStyle w:val="BodyText"/>
      </w:pPr>
      <w:r>
        <w:t xml:space="preserve">Costin, C.L., Hagstrum, M.B., 1995. Standardization, labor investment, skill, and the organization of ceramic production in late prehispanic highland Peru. American Antiquity 619–639.</w:t>
      </w:r>
    </w:p>
    <w:bookmarkEnd w:id="61"/>
    <w:bookmarkStart w:id="62"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2"/>
    <w:bookmarkStart w:id="63" w:name="ref-Dietler1997"/>
    <w:p>
      <w:pPr>
        <w:pStyle w:val="BodyText"/>
      </w:pPr>
      <w:r>
        <w:t xml:space="preserve">Dietler, M., 1997. The iron age in mediterranean france: Colonial encounters, entanglements, and transformations. Journal of World Prehistory 11, 269–358.</w:t>
      </w:r>
    </w:p>
    <w:bookmarkEnd w:id="63"/>
    <w:bookmarkStart w:id="64" w:name="ref-Eerkens2001"/>
    <w:p>
      <w:pPr>
        <w:pStyle w:val="BodyText"/>
      </w:pPr>
      <w:r>
        <w:t xml:space="preserve">Eerkens, J.W., Bettinger, R.L., 2001. Techniques for assessing standardization in artifact assemblages: Can we scale material variability? American Antiquity 66, 493–504.</w:t>
      </w:r>
    </w:p>
    <w:bookmarkEnd w:id="64"/>
    <w:bookmarkStart w:id="65" w:name="ref-Fox2015"/>
    <w:p>
      <w:pPr>
        <w:pStyle w:val="BodyText"/>
      </w:pPr>
      <w:r>
        <w:t xml:space="preserve">Fox, A.N., 2015. A study of late woodland projectile point typology in new york using elliptical fourier outline analysis. Journal of Archaeological Science: Reports 4, 501–509.</w:t>
      </w:r>
    </w:p>
    <w:bookmarkEnd w:id="65"/>
    <w:bookmarkStart w:id="66" w:name="ref-Gunz2013"/>
    <w:p>
      <w:pPr>
        <w:pStyle w:val="BodyText"/>
      </w:pPr>
      <w:r>
        <w:t xml:space="preserve">Gunz, P., Mitteroecker, P., 2013. Semilandmarks: A method for quantifying curves and surfaces. Hystrix, the Italian Journal of Mammalogy 24, 103–109.</w:t>
      </w:r>
    </w:p>
    <w:bookmarkEnd w:id="66"/>
    <w:bookmarkStart w:id="67"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7"/>
    <w:bookmarkStart w:id="68" w:name="ref-Hirshman2010"/>
    <w:p>
      <w:pPr>
        <w:pStyle w:val="BodyText"/>
      </w:pPr>
      <w:r>
        <w:t xml:space="preserve">Hirshman, A.J., Lovis, W.A., Pollard, H.P., 2010. Specialization of ceramic production: A sherd assemblage based analytic perspective. Journal of Anthropological Archaeology 29, 265–277.</w:t>
      </w:r>
    </w:p>
    <w:bookmarkEnd w:id="68"/>
    <w:bookmarkStart w:id="69"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9"/>
    <w:bookmarkStart w:id="70" w:name="ref-Iovictua2010"/>
    <w:p>
      <w:pPr>
        <w:pStyle w:val="BodyText"/>
      </w:pPr>
      <w:r>
        <w:t xml:space="preserve">Ioviţă, R., 2010. Comparing stone tool resharpening trajectories with the aid of elliptical fourier analysis, in: New Perspectives on Old Stones. Springer, pp. 235–253.</w:t>
      </w:r>
    </w:p>
    <w:bookmarkEnd w:id="70"/>
    <w:bookmarkStart w:id="71" w:name="ref-Junker1999"/>
    <w:p>
      <w:pPr>
        <w:pStyle w:val="BodyText"/>
      </w:pPr>
      <w:r>
        <w:t xml:space="preserve">Junker, L.L., 1999. Raiding, trading, and feasting: The political economy of philippine chiefdoms. University of Hawaii Press.</w:t>
      </w:r>
    </w:p>
    <w:bookmarkEnd w:id="71"/>
    <w:bookmarkStart w:id="72" w:name="ref-Junker1993"/>
    <w:p>
      <w:pPr>
        <w:pStyle w:val="BodyText"/>
      </w:pPr>
      <w:r>
        <w:t xml:space="preserve">Junker, L.L., 1993. Craft goods specialization and prestige goods exchange in philippine chiefdoms of the fifteenth and sixteenth centuries. Asian Perspectives 1–35.</w:t>
      </w:r>
    </w:p>
    <w:bookmarkEnd w:id="72"/>
    <w:bookmarkStart w:id="73" w:name="ref-Kuhl1982"/>
    <w:p>
      <w:pPr>
        <w:pStyle w:val="BodyText"/>
      </w:pPr>
      <w:r>
        <w:t xml:space="preserve">Kuhl, F.P., Giardina, C.R., 1982. Elliptic fourier features of a closed contour. Computer graphics and image processing 18, 236–258.</w:t>
      </w:r>
    </w:p>
    <w:bookmarkEnd w:id="73"/>
    <w:bookmarkStart w:id="74" w:name="ref-Lawing2010"/>
    <w:p>
      <w:pPr>
        <w:pStyle w:val="BodyText"/>
      </w:pPr>
      <w:r>
        <w:t xml:space="preserve">Lawing, A.M., Polly, P.D., 2010. Geometric morphometrics: Recent applications to the study of evolution and development. Journal of Zoology 280, 1–7.</w:t>
      </w:r>
    </w:p>
    <w:bookmarkEnd w:id="74"/>
    <w:bookmarkStart w:id="75"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5"/>
    <w:bookmarkStart w:id="77"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6">
        <w:r>
          <w:rPr>
            <w:rStyle w:val="Hyperlink"/>
          </w:rPr>
          <w:t xml:space="preserve">https://doi.org/10.1007/s10816-015-9272-9</w:t>
        </w:r>
      </w:hyperlink>
    </w:p>
    <w:bookmarkEnd w:id="77"/>
    <w:bookmarkStart w:id="78" w:name="ref-Marwick2018"/>
    <w:p>
      <w:pPr>
        <w:pStyle w:val="BodyText"/>
      </w:pPr>
      <w:r>
        <w:t xml:space="preserve">Marwick, B., Boettiger, C., Mullen, L., 2018. Packaging data analytical work reproducibly using r (and friends). The American Statistician 72, 80–88.</w:t>
      </w:r>
    </w:p>
    <w:bookmarkEnd w:id="78"/>
    <w:bookmarkStart w:id="79" w:name="ref-Marwick2019"/>
    <w:p>
      <w:pPr>
        <w:pStyle w:val="BodyText"/>
      </w:pPr>
      <w:r>
        <w:t xml:space="preserve">Marwick, B., Krishnamoorthy, K., n.d. Cvequality: Tests for the equality of coefficients of variation from multiple groups.</w:t>
      </w:r>
    </w:p>
    <w:bookmarkEnd w:id="79"/>
    <w:bookmarkStart w:id="80" w:name="ref-Meloro2015"/>
    <w:p>
      <w:pPr>
        <w:pStyle w:val="BodyText"/>
      </w:pPr>
      <w:r>
        <w:t xml:space="preserve">Meloro, C., Hudson, A., Rook, L., 2015. Feeding habits of extant and fossil canids as determined by their skull geometry. Journal of Zoology 295, 178–188.</w:t>
      </w:r>
    </w:p>
    <w:bookmarkEnd w:id="80"/>
    <w:bookmarkStart w:id="81" w:name="ref-Rlanguage2019"/>
    <w:p>
      <w:pPr>
        <w:pStyle w:val="BodyText"/>
      </w:pPr>
      <w:r>
        <w:t xml:space="preserve">R Core Team, 2019. R: A language and environment for statistical computing. R Foundation for Statistical Computing, Vienna, Austria.</w:t>
      </w:r>
    </w:p>
    <w:bookmarkEnd w:id="81"/>
    <w:bookmarkStart w:id="82"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2"/>
    <w:bookmarkStart w:id="83"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3"/>
    <w:bookmarkStart w:id="84" w:name="ref-Roux2003"/>
    <w:p>
      <w:pPr>
        <w:pStyle w:val="BodyText"/>
      </w:pPr>
      <w:r>
        <w:t xml:space="preserve">Roux, V., 2003. Ceramic standardization and intensity of production: Quantifying degrees of specialization. American Antiquity 68, 768–782.</w:t>
      </w:r>
    </w:p>
    <w:bookmarkEnd w:id="84"/>
    <w:bookmarkStart w:id="85"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5"/>
    <w:bookmarkStart w:id="86" w:name="ref-Silliman2005"/>
    <w:p>
      <w:pPr>
        <w:pStyle w:val="BodyText"/>
      </w:pPr>
      <w:r>
        <w:t xml:space="preserve">Silliman, S.W., 2005. Culture contact or colonialism? Challenges in the archaeology of native North America. American Antiquity 55–74.</w:t>
      </w:r>
    </w:p>
    <w:bookmarkEnd w:id="86"/>
    <w:bookmarkStart w:id="87" w:name="ref-Slice2007"/>
    <w:p>
      <w:pPr>
        <w:pStyle w:val="BodyText"/>
      </w:pPr>
      <w:r>
        <w:t xml:space="preserve">Slice, D.E., 2007. Geometric morphometrics. Annu. Rev. Anthropol. 36, 261–281.</w:t>
      </w:r>
    </w:p>
    <w:bookmarkEnd w:id="87"/>
    <w:bookmarkStart w:id="88" w:name="ref-Stark1995economic"/>
    <w:p>
      <w:pPr>
        <w:pStyle w:val="BodyText"/>
      </w:pPr>
      <w:r>
        <w:t xml:space="preserve">Stark, B.L., 1995a. Economic intensification and ceramic specialization in the philippines: A view from kalinga. Research in Economic Anthropology 16, 179–226.</w:t>
      </w:r>
    </w:p>
    <w:bookmarkEnd w:id="88"/>
    <w:bookmarkStart w:id="89"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89"/>
    <w:bookmarkStart w:id="90" w:name="ref-Tite1999"/>
    <w:p>
      <w:pPr>
        <w:pStyle w:val="BodyText"/>
      </w:pPr>
      <w:r>
        <w:t xml:space="preserve">Tite, M.S., 1999. Pottery production, distribution, and consumption—the contribution of the physical sciences. Journal of archaeological method and theory 6, 181–233.</w:t>
      </w:r>
    </w:p>
    <w:bookmarkEnd w:id="90"/>
    <w:bookmarkStart w:id="91" w:name="ref-Trabert2017"/>
    <w:p>
      <w:pPr>
        <w:pStyle w:val="BodyText"/>
      </w:pPr>
      <w:r>
        <w:t xml:space="preserve">Trabert, S., 2017. Considering the indirect effects of colonialism: Example from a great plains middle ground. Journal of Anthropological Archaeology 48, 17–27.</w:t>
      </w:r>
    </w:p>
    <w:bookmarkEnd w:id="91"/>
    <w:bookmarkStart w:id="92"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92"/>
    <w:bookmarkEnd w:id="93"/>
    <w:p>
      <w:pPr>
        <w:pStyle w:val="Heading5"/>
      </w:pPr>
      <w:bookmarkStart w:id="94" w:name="pagebreak-1"/>
      <w:r>
        <w:t xml:space="preserve">pagebreak</w:t>
      </w:r>
      <w:bookmarkEnd w:id="94"/>
    </w:p>
    <w:p>
      <w:pPr>
        <w:pStyle w:val="Heading3"/>
      </w:pPr>
      <w:bookmarkStart w:id="95" w:name="colophon"/>
      <w:r>
        <w:t xml:space="preserve">Colophon</w:t>
      </w:r>
      <w:bookmarkEnd w:id="95"/>
    </w:p>
    <w:p>
      <w:pPr>
        <w:pStyle w:val="FirstParagraph"/>
      </w:pPr>
      <w:r>
        <w:t xml:space="preserve">This report was generated on 2020-01-03 23:46:54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2020-01-03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[09b6787] 2020-01-04: updates for introduction and add references</w:t>
      </w:r>
    </w:p>
    <w:p>
      <w:pPr>
        <w:pStyle w:val="FirstParagraph"/>
      </w:pPr>
      <w:r>
        <w:t xml:space="preserve">Word count: 4325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76"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6"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2020-01-04T07:47:03Z</dcterms:created>
  <dcterms:modified xsi:type="dcterms:W3CDTF">2020-01-04T07:47:03Z</dcterms:modified>
</cp:coreProperties>
</file>