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25.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studay</w:t>
      </w:r>
      <w:r>
        <w:t xml:space="preserve"> </w:t>
      </w:r>
      <w:r>
        <w:t xml:space="preserve">from</w:t>
      </w:r>
      <w:r>
        <w:t xml:space="preserve"> </w:t>
      </w:r>
      <w:r>
        <w:t xml:space="preserve">the</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28</w:t>
      </w:r>
      <w:r>
        <w:t xml:space="preserve"> </w:t>
      </w:r>
      <w:r>
        <w:t xml:space="preserve">July,</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often linked to social change in small-scale societies is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seventeenth to nineteenth centuries in East and Southeast Asia where European trading activity was extensive, but direct European rule less widespread. An emerging priority in archaeological research in Asia is identifying the indirect influences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 which can be identified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investigate the archaeology of a pericolonial situation at Kiwulan (ca. AD 1350-1850), a large multi-component archaeological site in Yilan County, northeastern Taiwan</w:t>
      </w:r>
      <w:r>
        <w:t xml:space="preserve"> </w:t>
      </w:r>
      <w:r>
        <w:t xml:space="preserve">(Chen, 2007)</w:t>
      </w:r>
      <w:r>
        <w:t xml:space="preserve">,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two major foreign influences in early historical Taiwan, which may indicate social changes in local Indigenous societies.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homogeneous and standardized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and outline approaches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procedure of GPA,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tools or iron weapons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GMM applications can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or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studied metric data and GMM to identify a more uniform base-shape of Folsom points than Clovis points across the western US</w:t>
      </w:r>
      <w:r>
        <w:t xml:space="preserve"> </w:t>
      </w:r>
      <w:r>
        <w:t xml:space="preserve">(Buchanan et al., 2019)</w:t>
      </w:r>
      <w:r>
        <w:t xml:space="preserve">. Also using metric data and GMM,</w:t>
      </w:r>
      <w:r>
        <w:t xml:space="preserve"> </w:t>
      </w:r>
      <w:r>
        <w:t xml:space="preserve">Smith and DeWitt (2016)</w:t>
      </w:r>
      <w:r>
        <w:t xml:space="preserve"> </w:t>
      </w:r>
      <w:r>
        <w:t xml:space="preserve">found standardized bases of fluted point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w:t>
      </w:r>
    </w:p>
    <w:p>
      <w:pPr>
        <w:pStyle w:val="BodyText"/>
      </w:pPr>
      <w:r>
        <w:t xml:space="preserve">For ceramics,</w:t>
      </w:r>
      <w:r>
        <w:t xml:space="preserve"> </w:t>
      </w:r>
      <w:r>
        <w:t xml:space="preserve">Topi et al. (2017)</w:t>
      </w:r>
      <w:r>
        <w:t xml:space="preserve"> </w:t>
      </w:r>
      <w:r>
        <w:t xml:space="preserve">identified standardized vessel shapes from the Casas Grandes culture in northwest Mexico using coefficients of variation for the positions of semi-landmarks across shape groups. They suggested standardization might hint the presence of specialized producers, reflecting social complexity. Another way to explore standardization is pairwise testing of variations in morphological disparity among groups of shape variables based on the calculation of distances between groups in morphospace they occupy</w:t>
      </w:r>
      <w:r>
        <w:t xml:space="preserve"> </w:t>
      </w:r>
      <w:r>
        <w:t xml:space="preserve">(Wills, 2001)</w:t>
      </w:r>
      <w:r>
        <w:t xml:space="preserve">. In this manner,</w:t>
      </w:r>
      <w:r>
        <w:t xml:space="preserve"> </w:t>
      </w:r>
      <w:r>
        <w:t xml:space="preserve">Selden Jr (2018)</w:t>
      </w:r>
      <w:r>
        <w:t xml:space="preserve"> </w:t>
      </w:r>
      <w:r>
        <w:t xml:space="preserve">examined Caddo ceramics using semi-landmark approaches in northeast Texas and found a gradual increase in shape standardization over time that provides a basis for further discussion of craft specialization or group identity</w:t>
      </w:r>
      <w:r>
        <w:t xml:space="preserve"> </w:t>
      </w:r>
      <w:r>
        <w:t xml:space="preserve">(Selden Jr, 2019)</w:t>
      </w:r>
      <w:r>
        <w:t xml:space="preserve">. Similar applications to lithic assemblages suggests that the Gahagan bifaces from the central Texas exhibit less size standardization than those from the southern Caddo area, indicative of different uses</w:t>
      </w:r>
      <w:r>
        <w:t xml:space="preserve"> </w:t>
      </w:r>
      <w:r>
        <w:t xml:space="preserve">(Selden Jr et al., 2020)</w:t>
      </w:r>
      <w:r>
        <w:t xml:space="preserve">. Other applications, such as the study of cranial deformation, demonstrate that landmark approaches with multivariate analyses of shape variances are an effective method to evaluate shape standardization</w:t>
      </w:r>
      <w:r>
        <w:t xml:space="preserve"> </w:t>
      </w:r>
      <w:r>
        <w:t xml:space="preserve">(Kuzminsky et al., 2016; Natahi et al., 2019; Perez, 2007)</w:t>
      </w:r>
      <w:r>
        <w:t xml:space="preserve">.</w:t>
      </w:r>
    </w:p>
    <w:p>
      <w:pPr>
        <w:pStyle w:val="BodyText"/>
      </w:pPr>
      <w:r>
        <w:t xml:space="preserve">Despite the wide use of landmark approaches in archaeology, a key limitation is that landmarks may be difficult to reproducibly locate for structures that are mostly or entirely curves if not mathematically-defined. In those cases, outline approaches, such as Elliptic Fourier Analysis (EFA), is better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In other words, EFA converts coordinates along a curve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that suggests the changes in shape from a more angular to rounded tool over time. Later,</w:t>
      </w:r>
      <w:r>
        <w:t xml:space="preserve"> </w:t>
      </w:r>
      <w:r>
        <w:t xml:space="preserve">Saragusti et al. (2005)</w:t>
      </w:r>
      <w:r>
        <w:t xml:space="preserve"> </w:t>
      </w:r>
      <w:r>
        <w:t xml:space="preserve">introduced more functions for the further calculation of specific shape attributes, including symmetry, roughness, and deformation, which demonstrates the potential of EFA for analysis of curves. To compare resharpening trajectories in European Middle Paleolithic stone tools,</w:t>
      </w:r>
      <w:r>
        <w:t xml:space="preserve"> </w:t>
      </w:r>
      <w:r>
        <w:t xml:space="preserve">Ioviţă (2009)</w:t>
      </w:r>
      <w:r>
        <w:t xml:space="preserve"> </w:t>
      </w:r>
      <w:r>
        <w:t xml:space="preserve">presented a protocol from outline digitization, EFA procedure, to multivariate linear regression for shape variables. Recent lithic studies desmotrate the wide range of application of EFA to answer questions about typological classification of Late Woodland points</w:t>
      </w:r>
      <w:r>
        <w:t xml:space="preserve"> </w:t>
      </w:r>
      <w:r>
        <w:t xml:space="preserve">(Fox, 2015)</w:t>
      </w:r>
      <w:r>
        <w:t xml:space="preserve">, the function of flaked obsidian tools in Easter Island</w:t>
      </w:r>
      <w:r>
        <w:t xml:space="preserve"> </w:t>
      </w:r>
      <w:r>
        <w:t xml:space="preserve">(Lipo et al., 2016)</w:t>
      </w:r>
      <w:r>
        <w:t xml:space="preserve">, shape and symmetry standardization of the British Acheulean</w:t>
      </w:r>
      <w:r>
        <w:t xml:space="preserve"> </w:t>
      </w:r>
      <w:r>
        <w:t xml:space="preserve">(Hoggard et al., 2019)</w:t>
      </w:r>
      <w:r>
        <w:t xml:space="preserve">, and cultural taxonomies for the European Late Palaeolithic</w:t>
      </w:r>
      <w:r>
        <w:t xml:space="preserve"> </w:t>
      </w:r>
      <w:r>
        <w:t xml:space="preserve">(Ivanovaitė et al., 2020)</w:t>
      </w:r>
      <w:r>
        <w:t xml:space="preserve">.</w:t>
      </w:r>
    </w:p>
    <w:p>
      <w:pPr>
        <w:pStyle w:val="BodyText"/>
      </w:pPr>
      <w:r>
        <w:t xml:space="preserve">Ceramic studies using EFA is rare, however, this approach is promising for answering questions related to ceramic taxonomy and standardization. For example,</w:t>
      </w:r>
      <w:r>
        <w:t xml:space="preserve"> </w:t>
      </w:r>
      <w:r>
        <w:t xml:space="preserve">Wilczek et al. (2014)</w:t>
      </w:r>
      <w:r>
        <w:t xml:space="preserve"> </w:t>
      </w:r>
      <w:r>
        <w:t xml:space="preserve">evaluate the concordance between EFA and Discrete Cosine Transform (DCT), and a traditional typology by studying 154 complete ceramic vessels with varied shapes from the Bibracte oppidum in France. The results show the variation indicated by EFA and DCT matches the traditional ceramic typology, which supports that claim that outline-based approaches can be efficiently used for studying variations in ceramic shapes. Furthermore,</w:t>
      </w:r>
      <w:r>
        <w:t xml:space="preserve"> </w:t>
      </w:r>
      <w:r>
        <w:t xml:space="preserve">Wilczek et al. (2014)</w:t>
      </w:r>
      <w:r>
        <w:t xml:space="preserve">’s EFA results help us understand the level of production standardization over time across the region. EFA is suitable for analyzing shapes lacking representative landmarks, or where curves contain the most meaningful variation. In such cases, the focus is the whole shape instead of the different components of a shape. We use EFA to evaluate the level of standardization of ceramics data from Kiwulan, northeastern Taiwan, in relation to the European presence in the 17th century to gain insights into the emergence of ceramic specialization. The reason for using EFA is because there are no sufficient landmarks that could be identified straightforwardly due to the globular body of ceramics. We use a significance test for the equality of coefficients of variation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 of two cultural components, the upper and the lower, with a sterile layer in between</w:t>
      </w:r>
      <w:r>
        <w:t xml:space="preserve"> </w:t>
      </w:r>
      <w:r>
        <w:t xml:space="preserve">(Chen, 2007)</w:t>
      </w:r>
      <w:r>
        <w:t xml:space="preserve">. We focus on the upper component, dated from AD 1350 to 1850, spans the late Iron Age and the historical period, of which the start is defined as the European occupation in Taiwan in the early 17th century. The Dutch first occupied southern Taiwan in 1624, followed by the Spanish in northern Taiwan in 1626</w:t>
      </w:r>
      <w:r>
        <w:t xml:space="preserve"> </w:t>
      </w:r>
      <w:r>
        <w:t xml:space="preserve">(Andrade, 2007)</w:t>
      </w:r>
      <w:r>
        <w:t xml:space="preserve">. In 1642, the Spanish was expelled by the Dutch, who then occupied the previous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We identified these phases based on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The deposit exhibited signs of continuous human occupation in each of the three phases with no apparent breaks.</w:t>
      </w:r>
    </w:p>
    <w:p>
      <w:pPr>
        <w:pStyle w:val="BodyText"/>
      </w:pPr>
      <w:r>
        <w:t xml:space="preserve">The most abundant artifacts in the upper component are locally manufactured ceramics, which are distributed throughout the temporal sequence, and across the study site. More than 550,000 sherds were excavated, and around 1,200 vessels could be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potentially used for cooking indicated by evidence of charred residues and carbon deposits frequently observed on vessel interiors, and soot on vessel exteriors. Firing resulted in orange and brownish color with a fully oxidized core, or a reduced core with oxidized fringes</w:t>
      </w:r>
      <w:r>
        <w:t xml:space="preserve"> </w:t>
      </w:r>
      <w:r>
        <w:t xml:space="preserve">(Chen, 2007)</w:t>
      </w:r>
      <w:r>
        <w:t xml:space="preserve">. Finger impressions and seams, usually on the interior, indicate that the vessels were shaped by hand, and that the seems between the slabs were pinched.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of range from 500 to 1300 microns. In general, the globular vessel fabric presents a mixture of fine, rounded argillite with a small amounts of rounded metasandstone and rounded to sub-angular monocrystalline quartz. This composition is consistent with the mineralogical composition of local raw materials found in the Yilan Plain</w:t>
      </w:r>
      <w:r>
        <w:t xml:space="preserve"> </w:t>
      </w:r>
      <w:r>
        <w:t xml:space="preserve">(Chen, 2016)</w:t>
      </w:r>
      <w:r>
        <w:t xml:space="preserve">. There are no substantial changes in the inclusions over time, indicating continuity in pottery fabric composition across the three periods.</w:t>
      </w:r>
      <w:r>
        <w:t xml:space="preserve"> </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EmilyWang/Desktop/School%20document/LW-Paper/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and we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scans of pottery drawings acquired from the Bureau of Cultural Affairs in Yilan (Figure</w:t>
      </w:r>
      <w:r>
        <w:t xml:space="preserve"> </w:t>
      </w:r>
      <w:r>
        <w:t xml:space="preserve">3</w:t>
      </w:r>
      <w:r>
        <w:t xml:space="preserve">). All drawings provide a two-dimensional view of vessel cross-sections, and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some sections were missing, we interpolated the curves and then mirrored and joined to create a closed outline for each vessel. Analyses were conducted in R software (R Core Team, 2019) using functions included in the Momocs package for quantifying and analyzing shapes</w:t>
      </w:r>
      <w:r>
        <w:t xml:space="preserve"> </w:t>
      </w:r>
      <w:r>
        <w:t xml:space="preserve">(Bonhomme et al., 2014)</w:t>
      </w:r>
      <w:r>
        <w:t xml:space="preserve">. Outlines were converted into a list of successive x,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us to directly compare variation in samples measured with different units or means. This is useful to compare the degree of standardization for archaeological assembles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1 and 2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pots to explore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found that 13 harmonics captured 99% of the total harmonic power in the elliptic Fourier coefficients of 73 vessels from three phases. Figure</w:t>
      </w:r>
      <w:r>
        <w:t xml:space="preserve"> </w:t>
      </w:r>
      <w:r>
        <w:t xml:space="preserve">4</w:t>
      </w:r>
      <w:r>
        <w:t xml:space="preserve"> </w:t>
      </w:r>
      <w:r>
        <w:t xml:space="preserve">illustrates significant differences in vessel shapes described using thin-plate spline warping for paired periods, pre- and post-European periods, and post-European and Chinese periods, with the greatest differences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2476500"/>
            <wp:effectExtent b="0" l="0" r="0" t="0"/>
            <wp:docPr descr="Figure 4: Left: Significant differences in average vessel shapes across phases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across phases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demonstrated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occupations in the thin plate splines (Figure</w:t>
      </w:r>
      <w:r>
        <w:t xml:space="preserve"> </w:t>
      </w:r>
      <w:r>
        <w:t xml:space="preserve">4</w:t>
      </w:r>
      <w:r>
        <w:t xml:space="preserve">, see left). Although there is considerable overlap of shape variables between the Pre-European and Post-European phases, their PC scores differ significantly. There is not a significant difference in vessel shapes between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5</w:t>
      </w:r>
      <w:r>
        <w:t xml:space="preserve">). The first PC, capturing vessel height and roundness,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 The CVs calculated of the three PC also support a general trend toward a more standardized shape over time, especially for first PC.</w:t>
      </w:r>
    </w:p>
    <w:p>
      <w:pPr>
        <w:pStyle w:val="BodyText"/>
      </w:pPr>
      <w:r>
        <w:t xml:space="preserve">To see whether the differences in the distribution of PCs between any two phases are substantive or due to chance, we used a modified signed-likelihood ratio test to assess the equality of CVs</w:t>
      </w:r>
      <w:r>
        <w:t xml:space="preserve"> </w:t>
      </w:r>
      <w:r>
        <w:t xml:space="preserve">(Krishnamoorthy and Lee, 2014; Marwick and Krishnamoorthy, n.d.)</w:t>
      </w:r>
      <w:r>
        <w:t xml:space="preserve">. P-values for this significance test of CVs for PC1 and PC2 show significant differences in the standardization of vessel shapes across periods, especially between Chinese contact with either pre-European or post-European (Figure</w:t>
      </w:r>
      <w:r>
        <w:t xml:space="preserve"> </w:t>
      </w:r>
      <w:r>
        <w:t xml:space="preserve">5</w:t>
      </w:r>
      <w:r>
        <w:t xml:space="preserve">, Table</w:t>
      </w:r>
      <w:r>
        <w:t xml:space="preserve"> </w:t>
      </w:r>
      <w:r>
        <w:t xml:space="preserve">2</w:t>
      </w:r>
      <w:r>
        <w:t xml:space="preserve">). A significant difference was also detected between the pre-European and post-European periods.</w:t>
      </w:r>
    </w:p>
    <w:p>
      <w:pPr>
        <w:pStyle w:val="CaptionedFigure"/>
      </w:pPr>
      <w:r>
        <w:drawing>
          <wp:inline>
            <wp:extent cx="5943600" cy="4754880"/>
            <wp:effectExtent b="0" l="0" r="0" t="0"/>
            <wp:docPr descr="Figure 5: The distribution of mormalized PC scores by phases with CV values (%)"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mormalized PC scores by phases with CV values (%)</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0.0725</w:t>
            </w:r>
          </w:p>
        </w:tc>
        <w:tc>
          <w:p>
            <w:pPr>
              <w:pStyle w:val="Compact"/>
              <w:jc w:val="right"/>
            </w:pPr>
            <w:r>
              <w:t xml:space="preserve">0.7878</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8.7163</w:t>
            </w:r>
          </w:p>
        </w:tc>
        <w:tc>
          <w:p>
            <w:pPr>
              <w:pStyle w:val="Compact"/>
              <w:jc w:val="right"/>
            </w:pPr>
            <w:r>
              <w:t xml:space="preserve">0.0032</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6.9828</w:t>
            </w:r>
          </w:p>
        </w:tc>
        <w:tc>
          <w:p>
            <w:pPr>
              <w:pStyle w:val="Compact"/>
              <w:jc w:val="right"/>
            </w:pPr>
            <w:r>
              <w:t xml:space="preserve">0.0082</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-0.0747</w:t>
            </w:r>
          </w:p>
        </w:tc>
        <w:tc>
          <w:p>
            <w:pPr>
              <w:pStyle w:val="Compact"/>
              <w:jc w:val="right"/>
            </w:pPr>
            <w:r>
              <w:t xml:space="preserve">1.0000</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0.0044</w:t>
            </w:r>
          </w:p>
        </w:tc>
        <w:tc>
          <w:p>
            <w:pPr>
              <w:pStyle w:val="Compact"/>
              <w:jc w:val="right"/>
            </w:pPr>
            <w:r>
              <w:t xml:space="preserve">0.9474</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0.0546</w:t>
            </w:r>
          </w:p>
        </w:tc>
        <w:tc>
          <w:p>
            <w:pPr>
              <w:pStyle w:val="Compact"/>
              <w:jc w:val="right"/>
            </w:pPr>
            <w:r>
              <w:t xml:space="preserve">0.8153</w:t>
            </w:r>
          </w:p>
        </w:tc>
        <w:tc>
          <w:p>
            <w:pPr>
              <w:pStyle w:val="Compact"/>
              <w:jc w:val="left"/>
            </w:pPr>
            <w:r>
              <w:t xml:space="preserve">Chinese Contact vs Post-European</w:t>
            </w:r>
          </w:p>
        </w:tc>
      </w:tr>
    </w:tbl>
    <w:p>
      <w:pPr>
        <w:pStyle w:val="BodyText"/>
      </w:pPr>
      <w:r>
        <w:t xml:space="preserve">We also conducted size analysis by examining the body diameter of the vessels to explore any differences in vessel form reflected by size and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the vessels before European contact have the smallest body diameter on average (Figure</w:t>
      </w:r>
      <w:r>
        <w:t xml:space="preserve"> </w:t>
      </w:r>
      <w:r>
        <w:t xml:space="preserve">6</w:t>
      </w:r>
      <w:r>
        <w:t xml:space="preserve">: A). Our linear regression models (Figure</w:t>
      </w:r>
      <w:r>
        <w:t xml:space="preserve"> </w:t>
      </w:r>
      <w:r>
        <w:t xml:space="preserve">6</w:t>
      </w:r>
      <w:r>
        <w:t xml:space="preserve">: B) show that shape, captured by PC1 and PC2, changes with size across the three phases, except for PC1 in the Chinese period. That is, the shorter vessels are larger in body diameter according to the significant positive correlation between PC1 and size. However, vessels from the Chinese period does not show this pattern. On the contrary, the negative relationship between PC2 and size suggests that vessels with a narrower neck and mouth tend to have a larger body diameter.</w:t>
      </w:r>
    </w:p>
    <w:p>
      <w:pPr>
        <w:pStyle w:val="CaptionedFigure"/>
      </w:pPr>
      <w:r>
        <w:drawing>
          <wp:inline>
            <wp:extent cx="5943600" cy="3303243"/>
            <wp:effectExtent b="0" l="0" r="0" t="0"/>
            <wp:docPr descr="Figure 6: A: Distribution of the body diameter of the vessels across three phases. B: Scatter plots of shape variable, PC1 at the top and PC2 at the bottom, as a function of body diamater" title="" id="1" name="Picture"/>
            <a:graphic>
              <a:graphicData uri="http://schemas.openxmlformats.org/drawingml/2006/picture">
                <pic:pic>
                  <pic:nvPicPr>
                    <pic:cNvPr descr="/Users/EmilyWang/Desktop/School%20document/LW-Paper/kwl-pottery-2019/analysis/figures/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the vessels across three phases. B: Scatter plots of shape variable, PC1 at the top and PC2 at the bottom, as a function of body diamater</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trade ornaments in particular, following the appearance of Europeans</w:t>
      </w:r>
      <w:r>
        <w:t xml:space="preserve"> </w:t>
      </w:r>
      <w:r>
        <w:t xml:space="preserve">(Cheng, 2008; Wang, 2011)</w:t>
      </w:r>
      <w:r>
        <w:t xml:space="preserve">, which hinted at the emergence of social inequality within the Indigenous community. Ceramic vessel shape standardization was examined to measure craft specialization as a proxy for social differentiation</w:t>
      </w:r>
      <w:r>
        <w:t xml:space="preserve"> </w:t>
      </w:r>
      <w:r>
        <w:t xml:space="preserve">(Costin, 2001; Junker, 1999)</w:t>
      </w:r>
      <w:r>
        <w:t xml:space="preserve">. The result of our MANOVA demonstrates a significant difference in shapes between the pre-European and Post-European periods, and between the pre-European and the Chinese periods. The average shape presents as a round body with a wide rim and neck before European contact, which shifts to a more oval-shaped body with narrower rim and neck after the European presence. Shape changes are more pronounced during the Chinese contact period. In general, vessels become shorter in height over time, leading to an oval-shaped body. Moreover, size significantly varies with shape for vessels before and after the European presence. Shorter vessels with a narrower opening tended to have a larger body diameter. This correlation between size and shape can be also observed during the Chinese period, but there is no relationship with height.</w:t>
      </w:r>
    </w:p>
    <w:p>
      <w:pPr>
        <w:pStyle w:val="BodyText"/>
      </w:pPr>
      <w:r>
        <w:t xml:space="preserve">Our CV tests indicate that there are significant differences in shape standardization between the pre-European period and post-European period, and between the Chinese contact and either pre-European or post-European periods. Pottery shape became more homogeneous and standardized after contact with Europeans and even more so after contact with the Chinese.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form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w:t>
      </w:r>
    </w:p>
    <w:p>
      <w:pPr>
        <w:pStyle w:val="BodyText"/>
      </w:pPr>
      <w:r>
        <w:t xml:space="preserve">The spatial analysis (Figure</w:t>
      </w:r>
      <w:r>
        <w:t xml:space="preserve"> </w:t>
      </w:r>
      <w:r>
        <w:t xml:space="preserve">7</w:t>
      </w:r>
      <w:r>
        <w:t xml:space="preserve">) for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clustered pattern will be observed with an increase in pottery standardization since the emergence of specialized groups.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Although the overall number of vessels is smaller during the Chinese contact period, Figure</w:t>
      </w:r>
      <w:r>
        <w:t xml:space="preserve"> </w:t>
      </w:r>
      <w:r>
        <w:t xml:space="preserve">7</w:t>
      </w:r>
      <w:r>
        <w:t xml:space="preserve"> </w:t>
      </w:r>
      <w:r>
        <w:t xml:space="preserve">shows that pottery is distributed randomly across the sampling area without any distinctive clusters during this time. This suggests that differences in population across our three occupation phases are probably not driving variation in craft specialization.</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complexity resulting from foreign contact at Kiwulan will need support from multiple and diverse sources of evidence that are beyond the scope of this paper. We find that vessel shapes were more standardized during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as a means of expressing cultural homogeneity and distinction from other groups</w:t>
      </w:r>
      <w:r>
        <w:t xml:space="preserve"> </w:t>
      </w:r>
      <w:r>
        <w:t xml:space="preserve">(Voss, 2005)</w:t>
      </w:r>
      <w:r>
        <w:t xml:space="preserve">. It is also important to recognize that social identity might be more complicated in a colonial context, and may be representative of more than a colonized–colonizer or local/foreign dichotomy</w:t>
      </w:r>
      <w:r>
        <w:t xml:space="preserve"> </w:t>
      </w:r>
      <w:r>
        <w:t xml:space="preserve">(Voss, 2008, 2005)</w:t>
      </w:r>
      <w:r>
        <w:t xml:space="preserve">. Shamaoshan cemetery dating from BC 3 to AD 4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symbolic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was continuous, and increasingly standardized. This might imply not only the utilitarian function, but a deliberate and increased emphasis on the local ceramic tradition, their cultural custom, as a response to intensified foreign contact</w:t>
      </w:r>
      <w:r>
        <w:t xml:space="preserve"> </w:t>
      </w:r>
      <w:r>
        <w:t xml:space="preserve">(cf. Acabado, 2017)</w:t>
      </w:r>
      <w:r>
        <w:t xml:space="preserve">.</w:t>
      </w:r>
    </w:p>
    <w:p>
      <w:pPr>
        <w:pStyle w:val="Heading1"/>
      </w:pPr>
      <w:bookmarkStart w:id="39" w:name="conclusion"/>
      <w:r>
        <w:t xml:space="preserve">Conclusion</w:t>
      </w:r>
      <w:bookmarkEnd w:id="39"/>
    </w:p>
    <w:p>
      <w:pPr>
        <w:pStyle w:val="FirstParagraph"/>
      </w:pPr>
      <w:r>
        <w:t xml:space="preserve">This study demonstrated an application of EFA on ceramic shapes to explore the emergence of ceramic specialization as indicative of foreign influences. Here, EFA is combined with a significance test for the equality of CVs of shape variables to provide a robust method of identifying and statistically assessing differences in shape standardization. The direct relationship between foreign influences and standardization of ceramic shape was tested on ceramics from Kiwulan, a large Iron Age Indigenous settlement in northeastern Taiwan. Lower variation in ceramic shape was identified after European presence began, and even lower variation during the period of Chinese presence. Our findings help to expand upon those factors that may lead to the standardization of ceramic production in a pericolonial interaction context. More homogeneous shapes during the contact periods, without any changes in clay paste composition or production technique, suggest that shape standardization was intentional. The results further suggest that expressions of social identity or cultural boundaries in Indigenous societies through highly visible vessel qualities, such as shape, may be heightened during periods of foreign contact in pericolonial contexts. Current GMM studies are mostly used for lithic topology, variations in bone shape in the filed of bioarchaeology or zooarchaeology, and some new applications for understanding cutmarks and tophomic processes. We demonstrated how we can use EFA-based GMM to identify the differences in ceramics to tackle the issue of specialized production.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38"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irch2019"/>
    <w:p>
      <w:pPr>
        <w:pStyle w:val="Bibliography"/>
      </w:pPr>
      <w:r>
        <w:t xml:space="preserve">Birch, T., Martinón-Torres, M., 2019. Shape as a measure of weapon standardisation: From metric to geometric morphometric analysis of the iron age ‘havor’lance from southern scandinavia. Journal of Archaeological Science 101, 34–51.</w:t>
      </w:r>
    </w:p>
    <w:bookmarkEnd w:id="49"/>
    <w:bookmarkStart w:id="50"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0"/>
    <w:bookmarkStart w:id="51" w:name="ref-Blanton1996"/>
    <w:p>
      <w:pPr>
        <w:pStyle w:val="Bibliography"/>
      </w:pPr>
      <w:r>
        <w:t xml:space="preserve">Blanton, R.E., Feinman, G.M., Kowalewski, S.A., Peregrine, P.N., 1996. A dual-processual theory for the evolution of mesoamerican civilization. Current anthropology 37, 1–14.</w:t>
      </w:r>
    </w:p>
    <w:bookmarkEnd w:id="51"/>
    <w:bookmarkStart w:id="52" w:name="ref-Boness2015"/>
    <w:p>
      <w:pPr>
        <w:pStyle w:val="Bibliography"/>
      </w:pPr>
      <w:r>
        <w:t xml:space="preserve">Boness, D., Clarke, J., Goren, Y., 2015. Ceramic neolithic pottery in cyprus—origin, technology and possible implications for social structure and identity. Levant 47, 233–254.</w:t>
      </w:r>
    </w:p>
    <w:bookmarkEnd w:id="52"/>
    <w:bookmarkStart w:id="53" w:name="ref-Bonhomme2014"/>
    <w:p>
      <w:pPr>
        <w:pStyle w:val="Bibliography"/>
      </w:pPr>
      <w:r>
        <w:t xml:space="preserve">Bonhomme, V., Picq, S., Gaucherel, C., Claude, J., others, 2014. Momocs: Outline analysis using r. Journal of Statistical Software 56, 1–24.</w:t>
      </w:r>
    </w:p>
    <w:bookmarkEnd w:id="53"/>
    <w:bookmarkStart w:id="54" w:name="ref-Bookstein1997"/>
    <w:p>
      <w:pPr>
        <w:pStyle w:val="Bibliography"/>
      </w:pPr>
      <w:r>
        <w:t xml:space="preserve">Bookstein, F.L., 1997. Landmark methods for forms without landmarks: Morphometrics of group differences in outline shape. Medical image analysis 1, 225–243.</w:t>
      </w:r>
    </w:p>
    <w:bookmarkEnd w:id="54"/>
    <w:bookmarkStart w:id="55" w:name="ref-Bookstein1991"/>
    <w:p>
      <w:pPr>
        <w:pStyle w:val="Bibliography"/>
      </w:pPr>
      <w:r>
        <w:t xml:space="preserve">Bookstein, F.L., 1991. Morphometric tools for landmark data: Geometry and biology. Cambridge University Press.</w:t>
      </w:r>
    </w:p>
    <w:bookmarkEnd w:id="55"/>
    <w:bookmarkStart w:id="56"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6"/>
    <w:bookmarkStart w:id="57" w:name="ref-Buchanan2019"/>
    <w:p>
      <w:pPr>
        <w:pStyle w:val="Bibliography"/>
      </w:pPr>
      <w:r>
        <w:t xml:space="preserve">Buchanan, B., Collard, M., O’Brien, M.J., 2019. Geometric morphometric analyses support incorporating the goshen point type into plainview. American Antiquity 1–11.</w:t>
      </w:r>
    </w:p>
    <w:bookmarkEnd w:id="57"/>
    <w:bookmarkStart w:id="58" w:name="ref-Cardillo2010"/>
    <w:p>
      <w:pPr>
        <w:pStyle w:val="Bibliography"/>
      </w:pPr>
      <w:r>
        <w:t xml:space="preserve">Cardillo, M., 2010. Some applications of geometric morphometrics to archaeology, in: Elewa, A.M.T. (Ed.), Morphometrics for Nonmorphometricians. Springer, pp. 325–341.</w:t>
      </w:r>
    </w:p>
    <w:bookmarkEnd w:id="58"/>
    <w:bookmarkStart w:id="59" w:name="ref-Chen1963"/>
    <w:p>
      <w:pPr>
        <w:pStyle w:val="Bibliography"/>
      </w:pPr>
      <w:r>
        <w:t xml:space="preserve">Chen, S., 1963. Kavalan ting zhi [kavalen culture history], taiwan wen xian cong kan di 106 zhong [taiwan literature series: 106]. Economic Research Office, Bank ofTaiwan, Taipei.</w:t>
      </w:r>
    </w:p>
    <w:bookmarkEnd w:id="59"/>
    <w:bookmarkStart w:id="60" w:name="ref-Chen2016"/>
    <w:p>
      <w:pPr>
        <w:pStyle w:val="Bibliography"/>
      </w:pPr>
      <w:r>
        <w:t xml:space="preserve">Chen, W.-S., 2016. Tai wan di zhi gai lun [an introduction to the geology of taiwan]. Geological Society Located in Taipei.</w:t>
      </w:r>
    </w:p>
    <w:bookmarkEnd w:id="60"/>
    <w:bookmarkStart w:id="61" w:name="ref-Chen2007"/>
    <w:p>
      <w:pPr>
        <w:pStyle w:val="Bibliography"/>
      </w:pPr>
      <w:r>
        <w:t xml:space="preserve">Chen, Y.-p., 2007. Qi wu lan yi zhi qiang jiu fa jue bao gao [report on the archaeological excavations at ki-wu-lan site]. Lanyang museum, Yilan, Taiwan.</w:t>
      </w:r>
    </w:p>
    <w:bookmarkEnd w:id="61"/>
    <w:bookmarkStart w:id="62" w:name="ref-Cheng2008"/>
    <w:p>
      <w:pPr>
        <w:pStyle w:val="Bibliography"/>
      </w:pPr>
      <w:r>
        <w:t xml:space="preserve">Cheng, C.-f., 2008. Qi wu lan yi zhi yu she nei yi zhi chu tu bo li zhu de xiang guan yan jiu [studies of glass beads excavated from kivulan and shenei site, Taiwan] (Master’s thesis).</w:t>
      </w:r>
    </w:p>
    <w:bookmarkEnd w:id="62"/>
    <w:bookmarkStart w:id="63" w:name="ref-Chiu2004"/>
    <w:p>
      <w:pPr>
        <w:pStyle w:val="Bibliography"/>
      </w:pPr>
      <w:r>
        <w:t xml:space="preserve">Chiu, H.-l., 2004. Investigations of mortuary behaviors and cultural change of the kivulan site in i-lan county, Taiwan (Dissertation).</w:t>
      </w:r>
    </w:p>
    <w:bookmarkEnd w:id="63"/>
    <w:bookmarkStart w:id="64" w:name="ref-Claude2008"/>
    <w:p>
      <w:pPr>
        <w:pStyle w:val="Bibliography"/>
      </w:pPr>
      <w:r>
        <w:t xml:space="preserve">Claude, J., 2008. Morphometrics with r. Springer Science &amp; Business Media.</w:t>
      </w:r>
    </w:p>
    <w:bookmarkEnd w:id="64"/>
    <w:bookmarkStart w:id="65" w:name="ref-Costin2001"/>
    <w:p>
      <w:pPr>
        <w:pStyle w:val="Bibliography"/>
      </w:pPr>
      <w:r>
        <w:t xml:space="preserve">Costin, C.L., 2001. Craft production systems, in: Archaeology at the Millennium. Springer, pp. 273–327.</w:t>
      </w:r>
    </w:p>
    <w:bookmarkEnd w:id="65"/>
    <w:bookmarkStart w:id="66" w:name="ref-Costin1991"/>
    <w:p>
      <w:pPr>
        <w:pStyle w:val="Bibliography"/>
      </w:pPr>
      <w:r>
        <w:t xml:space="preserve">Costin, C.L., 1991. Craft specialization: Issues in defining, documenting, and explaining the organization of production. Archaeological method and theory 1–56.</w:t>
      </w:r>
    </w:p>
    <w:bookmarkEnd w:id="66"/>
    <w:bookmarkStart w:id="67"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7"/>
    <w:bookmarkStart w:id="68" w:name="ref-Dietler2015"/>
    <w:p>
      <w:pPr>
        <w:pStyle w:val="Bibliography"/>
      </w:pPr>
      <w:r>
        <w:t xml:space="preserve">Dietler, M., 2015. Archaeologies of colonialism: Consumption, entanglement, and violence in ancient mediterranean france. Univ of California Press.</w:t>
      </w:r>
    </w:p>
    <w:bookmarkEnd w:id="68"/>
    <w:bookmarkStart w:id="69"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9"/>
    <w:bookmarkStart w:id="70" w:name="ref-Dietler1997"/>
    <w:p>
      <w:pPr>
        <w:pStyle w:val="Bibliography"/>
      </w:pPr>
      <w:r>
        <w:t xml:space="preserve">Dietler, M., 1997. The iron age in mediterranean france: Colonial encounters, entanglements, and transformations. Journal of World Prehistory 11, 269–358.</w:t>
      </w:r>
    </w:p>
    <w:bookmarkEnd w:id="70"/>
    <w:bookmarkStart w:id="71" w:name="ref-Doyon2019"/>
    <w:p>
      <w:pPr>
        <w:pStyle w:val="Bibliography"/>
      </w:pPr>
      <w:r>
        <w:t xml:space="preserve">Doyon, L., 2019. On the shape of things: A geometric morphometrics approach to investigate aurignacian group membership. Journal of Archaeological Science 101, 99–114.</w:t>
      </w:r>
    </w:p>
    <w:bookmarkEnd w:id="71"/>
    <w:bookmarkStart w:id="72" w:name="ref-Eerkens2000"/>
    <w:p>
      <w:pPr>
        <w:pStyle w:val="Bibliography"/>
      </w:pPr>
      <w:r>
        <w:t xml:space="preserve">Eerkens, J.W., 2000. Practice makes within 5% of perfect: Visual perception, motor skills, and memory in artifact variation. Current Anthropology 41, 663–668.</w:t>
      </w:r>
    </w:p>
    <w:bookmarkEnd w:id="72"/>
    <w:bookmarkStart w:id="73" w:name="ref-Eerkens2001"/>
    <w:p>
      <w:pPr>
        <w:pStyle w:val="Bibliography"/>
      </w:pPr>
      <w:r>
        <w:t xml:space="preserve">Eerkens, J.W., Bettinger, R.L., 2001. Techniques for assessing standardization in artifact assemblages: Can we scale material variability? American Antiquity 66, 493–504.</w:t>
      </w:r>
    </w:p>
    <w:bookmarkEnd w:id="73"/>
    <w:bookmarkStart w:id="74" w:name="ref-Eren2015"/>
    <w:p>
      <w:pPr>
        <w:pStyle w:val="Bibliography"/>
      </w:pPr>
      <w:r>
        <w:t xml:space="preserve">Eren, M.I., Buchanan, B., O’Brien, M.J., 2015. Social learning and technological evolution during the clovis colonization of the new world. Journal of Human Evolution 80, 159–170.</w:t>
      </w:r>
    </w:p>
    <w:bookmarkEnd w:id="74"/>
    <w:bookmarkStart w:id="75" w:name="ref-Evershed2008"/>
    <w:p>
      <w:pPr>
        <w:pStyle w:val="Bibliography"/>
      </w:pPr>
      <w:r>
        <w:t xml:space="preserve">Evershed, R.P., 2008. Organic residue analysis in archaeology: The archaeological biomarker revolution. Archaeometry 50, 895–924.</w:t>
      </w:r>
    </w:p>
    <w:bookmarkEnd w:id="75"/>
    <w:bookmarkStart w:id="76"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6"/>
    <w:bookmarkStart w:id="77" w:name="ref-Feinman2000"/>
    <w:p>
      <w:pPr>
        <w:pStyle w:val="Bibliography"/>
      </w:pPr>
      <w:r>
        <w:t xml:space="preserve">Feinman, G.M., 2000. Corporate/network: New perspectives on models of political action and the puebloan southwest. Social Theory in Archaeology, University of Utah Press, Salt Lake City 31–51.</w:t>
      </w:r>
    </w:p>
    <w:bookmarkEnd w:id="77"/>
    <w:bookmarkStart w:id="78"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78"/>
    <w:bookmarkStart w:id="79" w:name="ref-Feinman2000political"/>
    <w:p>
      <w:pPr>
        <w:pStyle w:val="Bibliography"/>
      </w:pPr>
      <w:r>
        <w:t xml:space="preserve">Feinman, G.M., Lightfoot, K.G., Upham, S., 2000. Political hierarchies and organizational strategies in the puebloan southwest. American Antiquity 65, 449–470.</w:t>
      </w:r>
    </w:p>
    <w:bookmarkEnd w:id="79"/>
    <w:bookmarkStart w:id="80" w:name="ref-Feltz1996"/>
    <w:p>
      <w:pPr>
        <w:pStyle w:val="Bibliography"/>
      </w:pPr>
      <w:r>
        <w:t xml:space="preserve">Feltz, C.J., Miller, G.E., 1996. An asymptotic test for the equality of coefficients of variation from k populations. Statistics in medicine 15, 647–658.</w:t>
      </w:r>
    </w:p>
    <w:bookmarkEnd w:id="80"/>
    <w:bookmarkStart w:id="81" w:name="ref-Fox2015"/>
    <w:p>
      <w:pPr>
        <w:pStyle w:val="Bibliography"/>
      </w:pPr>
      <w:r>
        <w:t xml:space="preserve">Fox, A.N., 2015. A study of late woodland projectile point typology in new york using elliptical fourier outline analysis. Journal of Archaeological Science: Reports 4, 501–509.</w:t>
      </w:r>
    </w:p>
    <w:bookmarkEnd w:id="81"/>
    <w:bookmarkStart w:id="82" w:name="ref-Gero1984"/>
    <w:p>
      <w:pPr>
        <w:pStyle w:val="Bibliography"/>
      </w:pPr>
      <w:r>
        <w:t xml:space="preserve">Gero, J., Mazzullo, J., 1984. Analysis of artifact shape using fourier series in closed form. Journal of Field Archaeology 11, 315–322.</w:t>
      </w:r>
    </w:p>
    <w:bookmarkEnd w:id="82"/>
    <w:bookmarkStart w:id="83" w:name="ref-Given2004"/>
    <w:p>
      <w:pPr>
        <w:pStyle w:val="Bibliography"/>
      </w:pPr>
      <w:r>
        <w:t xml:space="preserve">Given, M., 2004. The archaeology of the colonized. Routledge, London; New York.</w:t>
      </w:r>
    </w:p>
    <w:bookmarkEnd w:id="83"/>
    <w:bookmarkStart w:id="84"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4"/>
    <w:bookmarkStart w:id="85"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5"/>
    <w:bookmarkStart w:id="86"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6"/>
    <w:bookmarkStart w:id="87" w:name="ref-Hsieh2009"/>
    <w:p>
      <w:pPr>
        <w:pStyle w:val="Bibliography"/>
      </w:pPr>
      <w:r>
        <w:t xml:space="preserve">Hsieh, E., 2009. Yi lan qi wu lan yi zhi chu tu wai lai tao ci qi zhi xiang guan yan jiu [the study of imported ceramics excavated at the ki-wu-lan site, i-lan] (Master’s thesis).</w:t>
      </w:r>
    </w:p>
    <w:bookmarkEnd w:id="87"/>
    <w:bookmarkStart w:id="88" w:name="ref-Iovictua2009"/>
    <w:p>
      <w:pPr>
        <w:pStyle w:val="Bibliography"/>
      </w:pPr>
      <w:r>
        <w:t xml:space="preserve">Ioviţă, R., 2009. Ontogenetic scaling and lithic systematics: Method and application. Journal of Archaeological Science 36, 1447–1457.</w:t>
      </w:r>
    </w:p>
    <w:bookmarkEnd w:id="88"/>
    <w:bookmarkStart w:id="89"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89"/>
    <w:bookmarkStart w:id="90" w:name="ref-Junker1999"/>
    <w:p>
      <w:pPr>
        <w:pStyle w:val="Bibliography"/>
      </w:pPr>
      <w:r>
        <w:t xml:space="preserve">Junker, L.L., 1999. Raiding, trading, and feasting: The political economy of philippine chiefdoms. University of Hawaii Press.</w:t>
      </w:r>
    </w:p>
    <w:bookmarkEnd w:id="90"/>
    <w:bookmarkStart w:id="91" w:name="ref-Junker1993"/>
    <w:p>
      <w:pPr>
        <w:pStyle w:val="Bibliography"/>
      </w:pPr>
      <w:r>
        <w:t xml:space="preserve">Junker, L.L., 1993. Craft goods specialization and prestige goods exchange in philippine chiefdoms of the fifteenth and sixteenth centuries. Asian Perspectives 1–35.</w:t>
      </w:r>
    </w:p>
    <w:bookmarkEnd w:id="91"/>
    <w:bookmarkStart w:id="92" w:name="ref-Ke1993"/>
    <w:p>
      <w:pPr>
        <w:pStyle w:val="Bibliography"/>
      </w:pPr>
      <w:r>
        <w:t xml:space="preserve">Ke, P., 1993. Kavalan zhi lue [record of kavalen]. Historical Records Committee of Taiwan Provincial Government, Nantou.</w:t>
      </w:r>
    </w:p>
    <w:bookmarkEnd w:id="92"/>
    <w:bookmarkStart w:id="93" w:name="ref-Krishnamoorthy2014"/>
    <w:p>
      <w:pPr>
        <w:pStyle w:val="Bibliography"/>
      </w:pPr>
      <w:r>
        <w:t xml:space="preserve">Krishnamoorthy, K., Lee, M., 2014. Improved tests for the equality of normal coefficients of variation. Computational Statistics 29, 215–232.</w:t>
      </w:r>
    </w:p>
    <w:bookmarkEnd w:id="93"/>
    <w:bookmarkStart w:id="94" w:name="ref-Kuhl1982"/>
    <w:p>
      <w:pPr>
        <w:pStyle w:val="Bibliography"/>
      </w:pPr>
      <w:r>
        <w:t xml:space="preserve">Kuhl, F.P., Giardina, C.R., 1982. Elliptic fourier features of a closed contour. Computer graphics and image processing 18, 236–258.</w:t>
      </w:r>
    </w:p>
    <w:bookmarkEnd w:id="94"/>
    <w:bookmarkStart w:id="95"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5"/>
    <w:bookmarkStart w:id="96"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96"/>
    <w:bookmarkStart w:id="97" w:name="ref-Lawing2010"/>
    <w:p>
      <w:pPr>
        <w:pStyle w:val="Bibliography"/>
      </w:pPr>
      <w:r>
        <w:t xml:space="preserve">Lawing, A.M., Polly, P.D., 2010. Geometric morphometrics: Recent applications to the study of evolution and development. Journal of Zoology 280, 1–7.</w:t>
      </w:r>
    </w:p>
    <w:bookmarkEnd w:id="97"/>
    <w:bookmarkStart w:id="98" w:name="ref-Lipo2016"/>
    <w:p>
      <w:pPr>
        <w:pStyle w:val="Bibliography"/>
      </w:pPr>
      <w:r>
        <w:t xml:space="preserve">Lipo, C.P., Hunt, T.L., Horneman, R., Bonhomme, V., 2016. Weapons of war? Rapa nui mata’a morphometric analyses. Antiquity 90, 172–187.</w:t>
      </w:r>
    </w:p>
    <w:bookmarkEnd w:id="98"/>
    <w:bookmarkStart w:id="99"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99"/>
    <w:bookmarkStart w:id="100" w:name="ref-Lycett2008"/>
    <w:p>
      <w:pPr>
        <w:pStyle w:val="Bibliography"/>
      </w:pPr>
      <w:r>
        <w:t xml:space="preserve">Lycett, S.J., Gowlett, J.A., 2008. On questions surrounding the acheulean “tradition”. World Archaeology 40, 295–315.</w:t>
      </w:r>
    </w:p>
    <w:bookmarkEnd w:id="100"/>
    <w:bookmarkStart w:id="102"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1">
        <w:r>
          <w:rPr>
            <w:rStyle w:val="Hyperlink"/>
          </w:rPr>
          <w:t xml:space="preserve">https://doi.org/10.1007/s10816-015-9272-9</w:t>
        </w:r>
      </w:hyperlink>
    </w:p>
    <w:bookmarkEnd w:id="102"/>
    <w:bookmarkStart w:id="103" w:name="ref-Marwick2018"/>
    <w:p>
      <w:pPr>
        <w:pStyle w:val="Bibliography"/>
      </w:pPr>
      <w:r>
        <w:t xml:space="preserve">Marwick, B., Boettiger, C., Mullen, L., 2018. Packaging data analytical work reproducibly using r (and friends). The American Statistician 72, 80–88.</w:t>
      </w:r>
    </w:p>
    <w:bookmarkEnd w:id="103"/>
    <w:bookmarkStart w:id="104" w:name="ref-Marwick2019"/>
    <w:p>
      <w:pPr>
        <w:pStyle w:val="Bibliography"/>
      </w:pPr>
      <w:r>
        <w:t xml:space="preserve">Marwick, B., Krishnamoorthy, K., n.d. Cvequality: Tests for the equality of coefficients of variation from multiple groups.</w:t>
      </w:r>
    </w:p>
    <w:bookmarkEnd w:id="104"/>
    <w:bookmarkStart w:id="105" w:name="ref-Meloro2015"/>
    <w:p>
      <w:pPr>
        <w:pStyle w:val="Bibliography"/>
      </w:pPr>
      <w:r>
        <w:t xml:space="preserve">Meloro, C., Hudson, A., Rook, L., 2015. Feeding habits of extant and fossil canids as determined by their skull geometry. Journal of Zoology 295, 178–188.</w:t>
      </w:r>
    </w:p>
    <w:bookmarkEnd w:id="105"/>
    <w:bookmarkStart w:id="106" w:name="ref-Mullins2011"/>
    <w:p>
      <w:pPr>
        <w:pStyle w:val="Bibliography"/>
      </w:pPr>
      <w:r>
        <w:t xml:space="preserve">Mullins, P.R., 2011. The archaeology of consumption. Annual Review of Anthropology 40, 133–144.</w:t>
      </w:r>
    </w:p>
    <w:bookmarkEnd w:id="106"/>
    <w:bookmarkStart w:id="107"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07"/>
    <w:bookmarkStart w:id="108"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08"/>
    <w:bookmarkStart w:id="109"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09"/>
    <w:bookmarkStart w:id="110"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0"/>
    <w:bookmarkStart w:id="111" w:name="ref-Perez2007"/>
    <w:p>
      <w:pPr>
        <w:pStyle w:val="Bibliography"/>
      </w:pPr>
      <w:r>
        <w:t xml:space="preserve">Perez, S.I., 2007. Artificial cranial deformation in south america: A geometric morphometrics approximation. Journal of Archaeological Science 34, 1649–1658.</w:t>
      </w:r>
    </w:p>
    <w:bookmarkEnd w:id="111"/>
    <w:bookmarkStart w:id="112"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2"/>
    <w:bookmarkStart w:id="113" w:name="ref-Rlanguage2019"/>
    <w:p>
      <w:pPr>
        <w:pStyle w:val="Bibliography"/>
      </w:pPr>
      <w:r>
        <w:t xml:space="preserve">R Core Team, 2019. R: A language and environment for statistical computing. R Foundation for Statistical Computing, Vienna, Austria.</w:t>
      </w:r>
    </w:p>
    <w:bookmarkEnd w:id="113"/>
    <w:bookmarkStart w:id="114"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4"/>
    <w:bookmarkStart w:id="115"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15"/>
    <w:bookmarkStart w:id="116" w:name="ref-Roux2003"/>
    <w:p>
      <w:pPr>
        <w:pStyle w:val="Bibliography"/>
      </w:pPr>
      <w:r>
        <w:t xml:space="preserve">Roux, V., 2003. Ceramic standardization and intensity of production: Quantifying degrees of specialization. American Antiquity 68, 768–782.</w:t>
      </w:r>
    </w:p>
    <w:bookmarkEnd w:id="116"/>
    <w:bookmarkStart w:id="117"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17"/>
    <w:bookmarkStart w:id="118" w:name="ref-Scaramelli2005"/>
    <w:p>
      <w:pPr>
        <w:pStyle w:val="Bibliography"/>
      </w:pPr>
      <w:r>
        <w:t xml:space="preserve">Scaramelli, F., Scaramelli, K.T. de, 2005. The roles of material culture in the colonization of the orinoco, venezuela. Journal of Social Archaeology 5, 135–168.</w:t>
      </w:r>
    </w:p>
    <w:bookmarkEnd w:id="118"/>
    <w:bookmarkStart w:id="119"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19"/>
    <w:bookmarkStart w:id="120" w:name="ref-Selden2019"/>
    <w:p>
      <w:pPr>
        <w:pStyle w:val="Bibliography"/>
      </w:pPr>
      <w:r>
        <w:t xml:space="preserve">Selden Jr, R.Z., 2019. Ceramic morphological organisation in the southern caddo area: The clarence h. Webb collections. Journal of Cultural Heritage 35, 41–55.</w:t>
      </w:r>
    </w:p>
    <w:bookmarkEnd w:id="120"/>
    <w:bookmarkStart w:id="121"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1"/>
    <w:bookmarkStart w:id="122"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2"/>
    <w:bookmarkStart w:id="123" w:name="ref-Silliman2001"/>
    <w:p>
      <w:pPr>
        <w:pStyle w:val="Bibliography"/>
      </w:pPr>
      <w:r>
        <w:t xml:space="preserve">Silliman, S., 2001. Agency, practical politics and the archaeology of culture contact. Journal of social archaeology 1, 190–209.</w:t>
      </w:r>
    </w:p>
    <w:bookmarkEnd w:id="123"/>
    <w:bookmarkStart w:id="124" w:name="ref-Silliman2005"/>
    <w:p>
      <w:pPr>
        <w:pStyle w:val="Bibliography"/>
      </w:pPr>
      <w:r>
        <w:t xml:space="preserve">Silliman, S.W., 2005. Culture contact or colonialism? Challenges in the archaeology of native North America. American Antiquity 55–74.</w:t>
      </w:r>
    </w:p>
    <w:bookmarkEnd w:id="124"/>
    <w:bookmarkStart w:id="125" w:name="ref-Slice2007"/>
    <w:p>
      <w:pPr>
        <w:pStyle w:val="Bibliography"/>
      </w:pPr>
      <w:r>
        <w:t xml:space="preserve">Slice, D.E., 2007. Geometric morphometrics. Annu. Rev. Anthropol. 36, 261–281.</w:t>
      </w:r>
    </w:p>
    <w:bookmarkEnd w:id="125"/>
    <w:bookmarkStart w:id="126"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26"/>
    <w:bookmarkStart w:id="127"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27"/>
    <w:bookmarkStart w:id="128" w:name="ref-Tite1999"/>
    <w:p>
      <w:pPr>
        <w:pStyle w:val="Bibliography"/>
      </w:pPr>
      <w:r>
        <w:t xml:space="preserve">Tite, M.S., 1999. Pottery production, distribution, and consumption—the contribution of the physical sciences. Journal of archaeological method and theory 6, 181–233.</w:t>
      </w:r>
    </w:p>
    <w:bookmarkEnd w:id="128"/>
    <w:bookmarkStart w:id="129" w:name="ref-Topi2017"/>
    <w:p>
      <w:pPr>
        <w:pStyle w:val="Bibliography"/>
      </w:pPr>
      <w:r>
        <w:t xml:space="preserve">Topi, J.R., VanPool, C.S., Waller, K.D., VanPool, T.L., 2017. The economy of specialized ceramic craft production in the casas grandes region. Latin American Antiquity 29, 122–142.</w:t>
      </w:r>
    </w:p>
    <w:bookmarkEnd w:id="129"/>
    <w:bookmarkStart w:id="130" w:name="ref-TorrenceandClarke2000"/>
    <w:p>
      <w:pPr>
        <w:pStyle w:val="Bibliography"/>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30"/>
    <w:bookmarkStart w:id="131" w:name="ref-Trabert2017"/>
    <w:p>
      <w:pPr>
        <w:pStyle w:val="Bibliography"/>
      </w:pPr>
      <w:r>
        <w:t xml:space="preserve">Trabert, S., 2017. Considering the indirect effects of colonialism: Example from a great plains middle ground. Journal of Anthropological Archaeology 48, 17–27.</w:t>
      </w:r>
    </w:p>
    <w:bookmarkEnd w:id="131"/>
    <w:bookmarkStart w:id="132" w:name="ref-Voss2008"/>
    <w:p>
      <w:pPr>
        <w:pStyle w:val="Bibliography"/>
      </w:pPr>
      <w:r>
        <w:t xml:space="preserve">Voss, B.L., 2008. Between the household and the world system: Social collectivity and community agency in overseas chinese archaeology. Historical Archaeology 37–52.</w:t>
      </w:r>
    </w:p>
    <w:bookmarkEnd w:id="132"/>
    <w:bookmarkStart w:id="133" w:name="ref-Voss2005"/>
    <w:p>
      <w:pPr>
        <w:pStyle w:val="Bibliography"/>
      </w:pPr>
      <w:r>
        <w:t xml:space="preserve">Voss, B.L., 2005. From casta to californio: Social identity and the archaeology of culture contact. American Anthropologist 107, 461–474.</w:t>
      </w:r>
    </w:p>
    <w:bookmarkEnd w:id="133"/>
    <w:bookmarkStart w:id="134" w:name="ref-Wang2011"/>
    <w:p>
      <w:pPr>
        <w:pStyle w:val="Bibliography"/>
      </w:pPr>
      <w:r>
        <w:t xml:space="preserve">Wang, L.-Y., 2011. Yi lan qi wu lan yi zhi chu tu zhuang shi pin zhi xiang guan yan jiu [a research of ornaments excavated at ki-wu-lan site, i-lan] (Master’s thesis).</w:t>
      </w:r>
    </w:p>
    <w:bookmarkEnd w:id="134"/>
    <w:bookmarkStart w:id="135"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35"/>
    <w:bookmarkStart w:id="136" w:name="ref-Wills2001"/>
    <w:p>
      <w:pPr>
        <w:pStyle w:val="Bibliography"/>
      </w:pPr>
      <w:r>
        <w:t xml:space="preserve">Wills, M.A., 2001. Morphological disparity: A primer, in: Adrain, E., Jonathan M. (Ed.), Fossils, Phylogeny, and Form. Springer, pp. 55–144.</w:t>
      </w:r>
    </w:p>
    <w:bookmarkEnd w:id="136"/>
    <w:bookmarkStart w:id="137"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37"/>
    <w:bookmarkEnd w:id="138"/>
    <w:p>
      <w:pPr>
        <w:pStyle w:val="Heading5"/>
      </w:pPr>
      <w:bookmarkStart w:id="139" w:name="pagebreak-1"/>
      <w:r>
        <w:t xml:space="preserve">pagebreak</w:t>
      </w:r>
      <w:bookmarkEnd w:id="139"/>
    </w:p>
    <w:p>
      <w:pPr>
        <w:pStyle w:val="Heading3"/>
      </w:pPr>
      <w:bookmarkStart w:id="140" w:name="colophon"/>
      <w:r>
        <w:t xml:space="preserve">Colophon</w:t>
      </w:r>
      <w:bookmarkEnd w:id="140"/>
    </w:p>
    <w:p>
      <w:pPr>
        <w:pStyle w:val="FirstParagraph"/>
      </w:pPr>
      <w:r>
        <w:t xml:space="preserve">This report was generated on 2020-07-28 22:26:07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2020-07-28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4.0.0)                     </w:t>
      </w:r>
      <w:r>
        <w:br/>
      </w:r>
      <w:r>
        <w:rPr>
          <w:rStyle w:val="VerbatimChar"/>
        </w:rPr>
        <w:t xml:space="preserve">#&gt;  assertthat     0.2.1    2019-03-21 [1] CRAN (R 4.0.0)                     </w:t>
      </w:r>
      <w:r>
        <w:br/>
      </w:r>
      <w:r>
        <w:rPr>
          <w:rStyle w:val="VerbatimChar"/>
        </w:rPr>
        <w:t xml:space="preserve">#&gt;  backports      1.1.8    2020-06-17 [1] CRAN (R 4.0.0)                     </w:t>
      </w:r>
      <w:r>
        <w:br/>
      </w:r>
      <w:r>
        <w:rPr>
          <w:rStyle w:val="VerbatimChar"/>
        </w:rPr>
        <w:t xml:space="preserve">#&gt;  blob           1.2.1    2020-01-20 [1] CRAN (R 4.0.0)                     </w:t>
      </w:r>
      <w:r>
        <w:br/>
      </w:r>
      <w:r>
        <w:rPr>
          <w:rStyle w:val="VerbatimChar"/>
        </w:rPr>
        <w:t xml:space="preserve">#&gt;  bookdown       0.20     2020-06-23 [1] CRAN (R 4.0.0)                     </w:t>
      </w:r>
      <w:r>
        <w:br/>
      </w:r>
      <w:r>
        <w:rPr>
          <w:rStyle w:val="VerbatimChar"/>
        </w:rPr>
        <w:t xml:space="preserve">#&gt;  broom          0.7.0    2020-07-09 [1] CRAN (R 4.0.2)                     </w:t>
      </w:r>
      <w:r>
        <w:br/>
      </w:r>
      <w:r>
        <w:rPr>
          <w:rStyle w:val="VerbatimChar"/>
        </w:rPr>
        <w:t xml:space="preserve">#&gt;  callr          3.4.3    2020-03-28 [1] CRAN (R 4.0.0)                     </w:t>
      </w:r>
      <w:r>
        <w:br/>
      </w:r>
      <w:r>
        <w:rPr>
          <w:rStyle w:val="VerbatimChar"/>
        </w:rPr>
        <w:t xml:space="preserve">#&gt;  car            3.0-8    2020-05-21 [1] CRAN (R 4.0.0)                     </w:t>
      </w:r>
      <w:r>
        <w:br/>
      </w:r>
      <w:r>
        <w:rPr>
          <w:rStyle w:val="VerbatimChar"/>
        </w:rPr>
        <w:t xml:space="preserve">#&gt;  carData        3.0-4    2020-05-22 [1] CRAN (R 4.0.0)                     </w:t>
      </w:r>
      <w:r>
        <w:br/>
      </w:r>
      <w:r>
        <w:rPr>
          <w:rStyle w:val="VerbatimChar"/>
        </w:rPr>
        <w:t xml:space="preserve">#&gt;  cellranger     1.1.0    2016-07-27 [1] CRAN (R 4.0.0)                     </w:t>
      </w:r>
      <w:r>
        <w:br/>
      </w:r>
      <w:r>
        <w:rPr>
          <w:rStyle w:val="VerbatimChar"/>
        </w:rPr>
        <w:t xml:space="preserve">#&gt;  class          7.3-17   2020-04-26 [1] CRAN (R 4.0.2)                     </w:t>
      </w:r>
      <w:r>
        <w:br/>
      </w:r>
      <w:r>
        <w:rPr>
          <w:rStyle w:val="VerbatimChar"/>
        </w:rPr>
        <w:t xml:space="preserve">#&gt;  classInt       0.4-3    2020-04-07 [1] CRAN (R 4.0.0)                     </w:t>
      </w:r>
      <w:r>
        <w:br/>
      </w:r>
      <w:r>
        <w:rPr>
          <w:rStyle w:val="VerbatimChar"/>
        </w:rPr>
        <w:t xml:space="preserve">#&gt;  cli            2.0.2    2020-02-28 [1] CRAN (R 4.0.0)                     </w:t>
      </w:r>
      <w:r>
        <w:br/>
      </w:r>
      <w:r>
        <w:rPr>
          <w:rStyle w:val="VerbatimChar"/>
        </w:rPr>
        <w:t xml:space="preserve">#&gt;  colorspace     1.4-1    2019-03-18 [1] CRAN (R 4.0.0)                     </w:t>
      </w:r>
      <w:r>
        <w:br/>
      </w:r>
      <w:r>
        <w:rPr>
          <w:rStyle w:val="VerbatimChar"/>
        </w:rPr>
        <w:t xml:space="preserve">#&gt;  cowplot      * 1.0.0    2019-07-11 [1] CRAN (R 4.0.0)                     </w:t>
      </w:r>
      <w:r>
        <w:br/>
      </w:r>
      <w:r>
        <w:rPr>
          <w:rStyle w:val="VerbatimChar"/>
        </w:rPr>
        <w:t xml:space="preserve">#&gt;  crayon         1.3.4    2017-09-16 [1] CRAN (R 4.0.0)                     </w:t>
      </w:r>
      <w:r>
        <w:br/>
      </w:r>
      <w:r>
        <w:rPr>
          <w:rStyle w:val="VerbatimChar"/>
        </w:rPr>
        <w:t xml:space="preserve">#&gt;  curl           4.3      2019-12-02 [1] CRAN (R 4.0.0)                     </w:t>
      </w:r>
      <w:r>
        <w:br/>
      </w:r>
      <w:r>
        <w:rPr>
          <w:rStyle w:val="VerbatimChar"/>
        </w:rPr>
        <w:t xml:space="preserve">#&gt;  cvequality   * 0.2.0    2019-01-07 [1] CRAN (R 4.0.0)                     </w:t>
      </w:r>
      <w:r>
        <w:br/>
      </w:r>
      <w:r>
        <w:rPr>
          <w:rStyle w:val="VerbatimChar"/>
        </w:rPr>
        <w:t xml:space="preserve">#&gt;  data.table     1.12.8   2019-12-09 [1] CRAN (R 4.0.0)                     </w:t>
      </w:r>
      <w:r>
        <w:br/>
      </w:r>
      <w:r>
        <w:rPr>
          <w:rStyle w:val="VerbatimChar"/>
        </w:rPr>
        <w:t xml:space="preserve">#&gt;  DBI            1.1.0    2019-12-15 [1] CRAN (R 4.0.0)                     </w:t>
      </w:r>
      <w:r>
        <w:br/>
      </w:r>
      <w:r>
        <w:rPr>
          <w:rStyle w:val="VerbatimChar"/>
        </w:rPr>
        <w:t xml:space="preserve">#&gt;  dbplyr         1.4.4    2020-05-27 [1] CRAN (R 4.0.0)                     </w:t>
      </w:r>
      <w:r>
        <w:br/>
      </w:r>
      <w:r>
        <w:rPr>
          <w:rStyle w:val="VerbatimChar"/>
        </w:rPr>
        <w:t xml:space="preserve">#&gt;  desc           1.2.0    2018-05-01 [1] CRAN (R 4.0.0)                     </w:t>
      </w:r>
      <w:r>
        <w:br/>
      </w:r>
      <w:r>
        <w:rPr>
          <w:rStyle w:val="VerbatimChar"/>
        </w:rPr>
        <w:t xml:space="preserve">#&gt;  devtools       2.3.0    2020-04-10 [1] CRAN (R 4.0.0)                     </w:t>
      </w:r>
      <w:r>
        <w:br/>
      </w:r>
      <w:r>
        <w:rPr>
          <w:rStyle w:val="VerbatimChar"/>
        </w:rPr>
        <w:t xml:space="preserve">#&gt;  digest         0.6.25   2020-02-23 [1] CRAN (R 4.0.0)                     </w:t>
      </w:r>
      <w:r>
        <w:br/>
      </w:r>
      <w:r>
        <w:rPr>
          <w:rStyle w:val="VerbatimChar"/>
        </w:rPr>
        <w:t xml:space="preserve">#&gt;  dplyr        * 1.0.0    2020-05-29 [1] CRAN (R 4.0.0)                     </w:t>
      </w:r>
      <w:r>
        <w:br/>
      </w:r>
      <w:r>
        <w:rPr>
          <w:rStyle w:val="VerbatimChar"/>
        </w:rPr>
        <w:t xml:space="preserve">#&gt;  e1071          1.7-3    2019-11-26 [1] CRAN (R 4.0.0)                     </w:t>
      </w:r>
      <w:r>
        <w:br/>
      </w:r>
      <w:r>
        <w:rPr>
          <w:rStyle w:val="VerbatimChar"/>
        </w:rPr>
        <w:t xml:space="preserve">#&gt;  ellipsis       0.3.1    2020-05-15 [1] CRAN (R 4.0.0)                     </w:t>
      </w:r>
      <w:r>
        <w:br/>
      </w:r>
      <w:r>
        <w:rPr>
          <w:rStyle w:val="VerbatimChar"/>
        </w:rPr>
        <w:t xml:space="preserve">#&gt;  evaluate       0.14     2019-05-28 [1] CRAN (R 4.0.0)                     </w:t>
      </w:r>
      <w:r>
        <w:br/>
      </w:r>
      <w:r>
        <w:rPr>
          <w:rStyle w:val="VerbatimChar"/>
        </w:rPr>
        <w:t xml:space="preserve">#&gt;  fansi          0.4.1    2020-01-08 [1] CRAN (R 4.0.0)                     </w:t>
      </w:r>
      <w:r>
        <w:br/>
      </w:r>
      <w:r>
        <w:rPr>
          <w:rStyle w:val="VerbatimChar"/>
        </w:rPr>
        <w:t xml:space="preserve">#&gt;  farver         2.0.3    2020-01-16 [1] CRAN (R 4.0.0)                     </w:t>
      </w:r>
      <w:r>
        <w:br/>
      </w:r>
      <w:r>
        <w:rPr>
          <w:rStyle w:val="VerbatimChar"/>
        </w:rPr>
        <w:t xml:space="preserve">#&gt;  forcats      * 0.5.0    2020-03-01 [1] CRAN (R 4.0.0)                     </w:t>
      </w:r>
      <w:r>
        <w:br/>
      </w:r>
      <w:r>
        <w:rPr>
          <w:rStyle w:val="VerbatimChar"/>
        </w:rPr>
        <w:t xml:space="preserve">#&gt;  foreign        0.8-80   2020-05-24 [1] CRAN (R 4.0.2)                     </w:t>
      </w:r>
      <w:r>
        <w:br/>
      </w:r>
      <w:r>
        <w:rPr>
          <w:rStyle w:val="VerbatimChar"/>
        </w:rPr>
        <w:t xml:space="preserve">#&gt;  fs             1.4.2    2020-06-30 [1] CRAN (R 4.0.0)                     </w:t>
      </w:r>
      <w:r>
        <w:br/>
      </w:r>
      <w:r>
        <w:rPr>
          <w:rStyle w:val="VerbatimChar"/>
        </w:rPr>
        <w:t xml:space="preserve">#&gt;  generics       0.0.2    2018-11-29 [1] CRAN (R 4.0.0)                     </w:t>
      </w:r>
      <w:r>
        <w:br/>
      </w:r>
      <w:r>
        <w:rPr>
          <w:rStyle w:val="VerbatimChar"/>
        </w:rPr>
        <w:t xml:space="preserve">#&gt;  ggforce        0.3.2    2020-06-23 [1] CRAN (R 4.0.0)                     </w:t>
      </w:r>
      <w:r>
        <w:br/>
      </w:r>
      <w:r>
        <w:rPr>
          <w:rStyle w:val="VerbatimChar"/>
        </w:rPr>
        <w:t xml:space="preserve">#&gt;  ggplot2      * 3.3.2    2020-06-19 [1] CRAN (R 4.0.0)                     </w:t>
      </w:r>
      <w:r>
        <w:br/>
      </w:r>
      <w:r>
        <w:rPr>
          <w:rStyle w:val="VerbatimChar"/>
        </w:rPr>
        <w:t xml:space="preserve">#&gt;  ggpubr       * 0.4.0    2020-06-27 [1] CRAN (R 4.0.2)                     </w:t>
      </w:r>
      <w:r>
        <w:br/>
      </w:r>
      <w:r>
        <w:rPr>
          <w:rStyle w:val="VerbatimChar"/>
        </w:rPr>
        <w:t xml:space="preserve">#&gt;  ggsignif       0.6.0    2019-08-08 [1] CRAN (R 4.0.0)                     </w:t>
      </w:r>
      <w:r>
        <w:br/>
      </w:r>
      <w:r>
        <w:rPr>
          <w:rStyle w:val="VerbatimChar"/>
        </w:rPr>
        <w:t xml:space="preserve">#&gt;  glue           1.4.1    2020-05-13 [1] CRAN (R 4.0.0)                     </w:t>
      </w:r>
      <w:r>
        <w:br/>
      </w:r>
      <w:r>
        <w:rPr>
          <w:rStyle w:val="VerbatimChar"/>
        </w:rPr>
        <w:t xml:space="preserve">#&gt;  gridExtra      2.3      2017-09-09 [1] CRAN (R 4.0.0)                     </w:t>
      </w:r>
      <w:r>
        <w:br/>
      </w:r>
      <w:r>
        <w:rPr>
          <w:rStyle w:val="VerbatimChar"/>
        </w:rPr>
        <w:t xml:space="preserve">#&gt;  gtable         0.3.0    2019-03-25 [1] CRAN (R 4.0.0)                     </w:t>
      </w:r>
      <w:r>
        <w:br/>
      </w:r>
      <w:r>
        <w:rPr>
          <w:rStyle w:val="VerbatimChar"/>
        </w:rPr>
        <w:t xml:space="preserve">#&gt;  haven          2.3.1    2020-06-01 [1] CRAN (R 4.0.0)                     </w:t>
      </w:r>
      <w:r>
        <w:br/>
      </w:r>
      <w:r>
        <w:rPr>
          <w:rStyle w:val="VerbatimChar"/>
        </w:rPr>
        <w:t xml:space="preserve">#&gt;  here         * 0.1      2017-05-28 [1] CRAN (R 4.0.0)                     </w:t>
      </w:r>
      <w:r>
        <w:br/>
      </w:r>
      <w:r>
        <w:rPr>
          <w:rStyle w:val="VerbatimChar"/>
        </w:rPr>
        <w:t xml:space="preserve">#&gt;  highr          0.8      2019-03-20 [1] CRAN (R 4.0.0)                     </w:t>
      </w:r>
      <w:r>
        <w:br/>
      </w:r>
      <w:r>
        <w:rPr>
          <w:rStyle w:val="VerbatimChar"/>
        </w:rPr>
        <w:t xml:space="preserve">#&gt;  hms            0.5.3    2020-01-08 [1] CRAN (R 4.0.0)                     </w:t>
      </w:r>
      <w:r>
        <w:br/>
      </w:r>
      <w:r>
        <w:rPr>
          <w:rStyle w:val="VerbatimChar"/>
        </w:rPr>
        <w:t xml:space="preserve">#&gt;  htmltools      0.5.0    2020-06-16 [1] CRAN (R 4.0.0)                     </w:t>
      </w:r>
      <w:r>
        <w:br/>
      </w:r>
      <w:r>
        <w:rPr>
          <w:rStyle w:val="VerbatimChar"/>
        </w:rPr>
        <w:t xml:space="preserve">#&gt;  httr           1.4.1    2019-08-05 [1] CRAN (R 4.0.0)                     </w:t>
      </w:r>
      <w:r>
        <w:br/>
      </w:r>
      <w:r>
        <w:rPr>
          <w:rStyle w:val="VerbatimChar"/>
        </w:rPr>
        <w:t xml:space="preserve">#&gt;  jpeg           0.1-8.1  2019-10-24 [1] CRAN (R 4.0.0)                     </w:t>
      </w:r>
      <w:r>
        <w:br/>
      </w:r>
      <w:r>
        <w:rPr>
          <w:rStyle w:val="VerbatimChar"/>
        </w:rPr>
        <w:t xml:space="preserve">#&gt;  jsonlite       1.7.0    2020-06-25 [1] CRAN (R 4.0.0)                     </w:t>
      </w:r>
      <w:r>
        <w:br/>
      </w:r>
      <w:r>
        <w:rPr>
          <w:rStyle w:val="VerbatimChar"/>
        </w:rPr>
        <w:t xml:space="preserve">#&gt;  KernSmooth     2.23-17  2020-04-26 [1] CRAN (R 4.0.2)                     </w:t>
      </w:r>
      <w:r>
        <w:br/>
      </w:r>
      <w:r>
        <w:rPr>
          <w:rStyle w:val="VerbatimChar"/>
        </w:rPr>
        <w:t xml:space="preserve">#&gt;  knitr          1.29     2020-06-23 [1] CRAN (R 4.0.0)                     </w:t>
      </w:r>
      <w:r>
        <w:br/>
      </w:r>
      <w:r>
        <w:rPr>
          <w:rStyle w:val="VerbatimChar"/>
        </w:rPr>
        <w:t xml:space="preserve">#&gt;  labeling       0.3      2014-08-23 [1] CRAN (R 4.0.0)                     </w:t>
      </w:r>
      <w:r>
        <w:br/>
      </w:r>
      <w:r>
        <w:rPr>
          <w:rStyle w:val="VerbatimChar"/>
        </w:rPr>
        <w:t xml:space="preserve">#&gt;  lattice        0.20-41  2020-04-02 [1] CRAN (R 4.0.2)                     </w:t>
      </w:r>
      <w:r>
        <w:br/>
      </w:r>
      <w:r>
        <w:rPr>
          <w:rStyle w:val="VerbatimChar"/>
        </w:rPr>
        <w:t xml:space="preserve">#&gt;  lifecycle      0.2.0    2020-03-06 [1] CRAN (R 4.0.0)                     </w:t>
      </w:r>
      <w:r>
        <w:br/>
      </w:r>
      <w:r>
        <w:rPr>
          <w:rStyle w:val="VerbatimChar"/>
        </w:rPr>
        <w:t xml:space="preserve">#&gt;  lubridate      1.7.9    2020-06-08 [1] CRAN (R 4.0.0)                     </w:t>
      </w:r>
      <w:r>
        <w:br/>
      </w:r>
      <w:r>
        <w:rPr>
          <w:rStyle w:val="VerbatimChar"/>
        </w:rPr>
        <w:t xml:space="preserve">#&gt;  magick       * 2.4.0    2020-06-23 [1] CRAN (R 4.0.0)                     </w:t>
      </w:r>
      <w:r>
        <w:br/>
      </w:r>
      <w:r>
        <w:rPr>
          <w:rStyle w:val="VerbatimChar"/>
        </w:rPr>
        <w:t xml:space="preserve">#&gt;  magrittr       1.5      2014-11-22 [1] CRAN (R 4.0.0)                     </w:t>
      </w:r>
      <w:r>
        <w:br/>
      </w:r>
      <w:r>
        <w:rPr>
          <w:rStyle w:val="VerbatimChar"/>
        </w:rPr>
        <w:t xml:space="preserve">#&gt;  MASS           7.3-51.6 2020-04-26 [1] CRAN (R 4.0.2)                     </w:t>
      </w:r>
      <w:r>
        <w:br/>
      </w:r>
      <w:r>
        <w:rPr>
          <w:rStyle w:val="VerbatimChar"/>
        </w:rPr>
        <w:t xml:space="preserve">#&gt;  Matrix         1.2-18   2019-11-27 [1] CRAN (R 4.0.2)                     </w:t>
      </w:r>
      <w:r>
        <w:br/>
      </w:r>
      <w:r>
        <w:rPr>
          <w:rStyle w:val="VerbatimChar"/>
        </w:rPr>
        <w:t xml:space="preserve">#&gt;  memoise        1.1.0    2017-04-21 [1] CRAN (R 4.0.0)                     </w:t>
      </w:r>
      <w:r>
        <w:br/>
      </w:r>
      <w:r>
        <w:rPr>
          <w:rStyle w:val="VerbatimChar"/>
        </w:rPr>
        <w:t xml:space="preserve">#&gt;  mgcv           1.8-31   2019-11-09 [1] CRAN (R 4.0.2)                     </w:t>
      </w:r>
      <w:r>
        <w:br/>
      </w:r>
      <w:r>
        <w:rPr>
          <w:rStyle w:val="VerbatimChar"/>
        </w:rPr>
        <w:t xml:space="preserve">#&gt;  modelr         0.1.8    2020-05-19 [1] CRAN (R 4.0.0)                     </w:t>
      </w:r>
      <w:r>
        <w:br/>
      </w:r>
      <w:r>
        <w:rPr>
          <w:rStyle w:val="VerbatimChar"/>
        </w:rPr>
        <w:t xml:space="preserve">#&gt;  Momocs       * 1.3.0    2020-04-15 [1] CRAN (R 4.0.0)                     </w:t>
      </w:r>
      <w:r>
        <w:br/>
      </w:r>
      <w:r>
        <w:rPr>
          <w:rStyle w:val="VerbatimChar"/>
        </w:rPr>
        <w:t xml:space="preserve">#&gt;  munsell        0.5.0    2018-06-12 [1] CRAN (R 4.0.0)                     </w:t>
      </w:r>
      <w:r>
        <w:br/>
      </w:r>
      <w:r>
        <w:rPr>
          <w:rStyle w:val="VerbatimChar"/>
        </w:rPr>
        <w:t xml:space="preserve">#&gt;  nlme           3.1-148  2020-05-24 [1] CRAN (R 4.0.2)                     </w:t>
      </w:r>
      <w:r>
        <w:br/>
      </w:r>
      <w:r>
        <w:rPr>
          <w:rStyle w:val="VerbatimChar"/>
        </w:rPr>
        <w:t xml:space="preserve">#&gt;  openxlsx       4.1.5    2020-05-06 [1] CRAN (R 4.0.0)                     </w:t>
      </w:r>
      <w:r>
        <w:br/>
      </w:r>
      <w:r>
        <w:rPr>
          <w:rStyle w:val="VerbatimChar"/>
        </w:rPr>
        <w:t xml:space="preserve">#&gt;  pillar         1.4.4    2020-05-05 [1] CRAN (R 4.0.0)                     </w:t>
      </w:r>
      <w:r>
        <w:br/>
      </w:r>
      <w:r>
        <w:rPr>
          <w:rStyle w:val="VerbatimChar"/>
        </w:rPr>
        <w:t xml:space="preserve">#&gt;  pkgbuild       1.0.8    2020-05-07 [1] CRAN (R 4.0.0)                     </w:t>
      </w:r>
      <w:r>
        <w:br/>
      </w:r>
      <w:r>
        <w:rPr>
          <w:rStyle w:val="VerbatimChar"/>
        </w:rPr>
        <w:t xml:space="preserve">#&gt;  pkgconfig      2.0.3    2019-09-22 [1] CRAN (R 4.0.0)                     </w:t>
      </w:r>
      <w:r>
        <w:br/>
      </w:r>
      <w:r>
        <w:rPr>
          <w:rStyle w:val="VerbatimChar"/>
        </w:rPr>
        <w:t xml:space="preserve">#&gt;  pkgload        1.1.0    2020-05-29 [1] CRAN (R 4.0.0)                     </w:t>
      </w:r>
      <w:r>
        <w:br/>
      </w:r>
      <w:r>
        <w:rPr>
          <w:rStyle w:val="VerbatimChar"/>
        </w:rPr>
        <w:t xml:space="preserve">#&gt;  png            0.1-7    2013-12-03 [1] CRAN (R 4.0.0)                     </w:t>
      </w:r>
      <w:r>
        <w:br/>
      </w:r>
      <w:r>
        <w:rPr>
          <w:rStyle w:val="VerbatimChar"/>
        </w:rPr>
        <w:t xml:space="preserve">#&gt;  polyclip       1.10-0   2019-03-14 [1] CRAN (R 4.0.0)                     </w:t>
      </w:r>
      <w:r>
        <w:br/>
      </w:r>
      <w:r>
        <w:rPr>
          <w:rStyle w:val="VerbatimChar"/>
        </w:rPr>
        <w:t xml:space="preserve">#&gt;  prettyunits    1.1.1    2020-01-24 [1] CRAN (R 4.0.0)                     </w:t>
      </w:r>
      <w:r>
        <w:br/>
      </w:r>
      <w:r>
        <w:rPr>
          <w:rStyle w:val="VerbatimChar"/>
        </w:rPr>
        <w:t xml:space="preserve">#&gt;  processx       3.4.3    2020-07-05 [1] CRAN (R 4.0.0)                     </w:t>
      </w:r>
      <w:r>
        <w:br/>
      </w:r>
      <w:r>
        <w:rPr>
          <w:rStyle w:val="VerbatimChar"/>
        </w:rPr>
        <w:t xml:space="preserve">#&gt;  ps             1.3.3    2020-05-08 [1] CRAN (R 4.0.0)                     </w:t>
      </w:r>
      <w:r>
        <w:br/>
      </w:r>
      <w:r>
        <w:rPr>
          <w:rStyle w:val="VerbatimChar"/>
        </w:rPr>
        <w:t xml:space="preserve">#&gt;  purrr        * 0.3.4    2020-04-17 [1] CRAN (R 4.0.0)                     </w:t>
      </w:r>
      <w:r>
        <w:br/>
      </w:r>
      <w:r>
        <w:rPr>
          <w:rStyle w:val="VerbatimChar"/>
        </w:rPr>
        <w:t xml:space="preserve">#&gt;  R6             2.4.1    2019-11-12 [1] CRAN (R 4.0.0)                     </w:t>
      </w:r>
      <w:r>
        <w:br/>
      </w:r>
      <w:r>
        <w:rPr>
          <w:rStyle w:val="VerbatimChar"/>
        </w:rPr>
        <w:t xml:space="preserve">#&gt;  RColorBrewer   1.1-2    2014-12-07 [1] CRAN (R 4.0.0)                     </w:t>
      </w:r>
      <w:r>
        <w:br/>
      </w:r>
      <w:r>
        <w:rPr>
          <w:rStyle w:val="VerbatimChar"/>
        </w:rPr>
        <w:t xml:space="preserve">#&gt;  Rcpp           1.0.5    2020-07-06 [1] CRAN (R 4.0.0)                     </w:t>
      </w:r>
      <w:r>
        <w:br/>
      </w:r>
      <w:r>
        <w:rPr>
          <w:rStyle w:val="VerbatimChar"/>
        </w:rPr>
        <w:t xml:space="preserve">#&gt;  readr        * 1.3.1    2018-12-21 [1] CRAN (R 4.0.0)                     </w:t>
      </w:r>
      <w:r>
        <w:br/>
      </w:r>
      <w:r>
        <w:rPr>
          <w:rStyle w:val="VerbatimChar"/>
        </w:rPr>
        <w:t xml:space="preserve">#&gt;  readxl         1.3.1    2019-03-13 [1] CRAN (R 4.0.0)                     </w:t>
      </w:r>
      <w:r>
        <w:br/>
      </w:r>
      <w:r>
        <w:rPr>
          <w:rStyle w:val="VerbatimChar"/>
        </w:rPr>
        <w:t xml:space="preserve">#&gt;  remotes        2.1.1    2020-02-15 [1] CRAN (R 4.0.0)                     </w:t>
      </w:r>
      <w:r>
        <w:br/>
      </w:r>
      <w:r>
        <w:rPr>
          <w:rStyle w:val="VerbatimChar"/>
        </w:rPr>
        <w:t xml:space="preserve">#&gt;  reprex         0.3.0    2019-05-16 [1] CRAN (R 4.0.0)                     </w:t>
      </w:r>
      <w:r>
        <w:br/>
      </w:r>
      <w:r>
        <w:rPr>
          <w:rStyle w:val="VerbatimChar"/>
        </w:rPr>
        <w:t xml:space="preserve">#&gt;  rio            0.5.16   2018-11-26 [1] CRAN (R 4.0.0)                     </w:t>
      </w:r>
      <w:r>
        <w:br/>
      </w:r>
      <w:r>
        <w:rPr>
          <w:rStyle w:val="VerbatimChar"/>
        </w:rPr>
        <w:t xml:space="preserve">#&gt;  rlang          0.4.7    2020-07-09 [1] CRAN (R 4.0.2)                     </w:t>
      </w:r>
      <w:r>
        <w:br/>
      </w:r>
      <w:r>
        <w:rPr>
          <w:rStyle w:val="VerbatimChar"/>
        </w:rPr>
        <w:t xml:space="preserve">#&gt;  rmarkdown      2.3      2020-06-18 [1] CRAN (R 4.0.0)                     </w:t>
      </w:r>
      <w:r>
        <w:br/>
      </w:r>
      <w:r>
        <w:rPr>
          <w:rStyle w:val="VerbatimChar"/>
        </w:rPr>
        <w:t xml:space="preserve">#&gt;  rprojroot      1.3-2    2018-01-03 [1] CRAN (R 4.0.0)                     </w:t>
      </w:r>
      <w:r>
        <w:br/>
      </w:r>
      <w:r>
        <w:rPr>
          <w:rStyle w:val="VerbatimChar"/>
        </w:rPr>
        <w:t xml:space="preserve">#&gt;  rrtools        0.1.0    2020-06-24 [1] Github (benmarwick/rrtools@f43aae1)</w:t>
      </w:r>
      <w:r>
        <w:br/>
      </w:r>
      <w:r>
        <w:rPr>
          <w:rStyle w:val="VerbatimChar"/>
        </w:rPr>
        <w:t xml:space="preserve">#&gt;  rstatix        0.6.0    2020-06-18 [1] CRAN (R 4.0.0)                     </w:t>
      </w:r>
      <w:r>
        <w:br/>
      </w:r>
      <w:r>
        <w:rPr>
          <w:rStyle w:val="VerbatimChar"/>
        </w:rPr>
        <w:t xml:space="preserve">#&gt;  rstudioapi     0.11     2020-02-07 [1] CRAN (R 4.0.0)                     </w:t>
      </w:r>
      <w:r>
        <w:br/>
      </w:r>
      <w:r>
        <w:rPr>
          <w:rStyle w:val="VerbatimChar"/>
        </w:rPr>
        <w:t xml:space="preserve">#&gt;  rvest          0.3.5    2019-11-08 [1] CRAN (R 4.0.0)                     </w:t>
      </w:r>
      <w:r>
        <w:br/>
      </w:r>
      <w:r>
        <w:rPr>
          <w:rStyle w:val="VerbatimChar"/>
        </w:rPr>
        <w:t xml:space="preserve">#&gt;  scales         1.1.1    2020-05-11 [1] CRAN (R 4.0.0)                     </w:t>
      </w:r>
      <w:r>
        <w:br/>
      </w:r>
      <w:r>
        <w:rPr>
          <w:rStyle w:val="VerbatimChar"/>
        </w:rPr>
        <w:t xml:space="preserve">#&gt;  sessioninfo    1.1.1    2018-11-05 [1] CRAN (R 4.0.0)                     </w:t>
      </w:r>
      <w:r>
        <w:br/>
      </w:r>
      <w:r>
        <w:rPr>
          <w:rStyle w:val="VerbatimChar"/>
        </w:rPr>
        <w:t xml:space="preserve">#&gt;  sf           * 0.9-4    2020-06-13 [1] CRAN (R 4.0.0)                     </w:t>
      </w:r>
      <w:r>
        <w:br/>
      </w:r>
      <w:r>
        <w:rPr>
          <w:rStyle w:val="VerbatimChar"/>
        </w:rPr>
        <w:t xml:space="preserve">#&gt;  stringi        1.4.6    2020-02-17 [1] CRAN (R 4.0.0)                     </w:t>
      </w:r>
      <w:r>
        <w:br/>
      </w:r>
      <w:r>
        <w:rPr>
          <w:rStyle w:val="VerbatimChar"/>
        </w:rPr>
        <w:t xml:space="preserve">#&gt;  stringr      * 1.4.0    2019-02-10 [1] CRAN (R 4.0.0)                     </w:t>
      </w:r>
      <w:r>
        <w:br/>
      </w:r>
      <w:r>
        <w:rPr>
          <w:rStyle w:val="VerbatimChar"/>
        </w:rPr>
        <w:t xml:space="preserve">#&gt;  testthat       2.3.2    2020-03-02 [1] CRAN (R 4.0.0)                     </w:t>
      </w:r>
      <w:r>
        <w:br/>
      </w:r>
      <w:r>
        <w:rPr>
          <w:rStyle w:val="VerbatimChar"/>
        </w:rPr>
        <w:t xml:space="preserve">#&gt;  tibble       * 3.0.2    2020-07-07 [1] CRAN (R 4.0.0)                     </w:t>
      </w:r>
      <w:r>
        <w:br/>
      </w:r>
      <w:r>
        <w:rPr>
          <w:rStyle w:val="VerbatimChar"/>
        </w:rPr>
        <w:t xml:space="preserve">#&gt;  tidyr        * 1.1.0    2020-05-20 [1] CRAN (R 4.0.0)                     </w:t>
      </w:r>
      <w:r>
        <w:br/>
      </w:r>
      <w:r>
        <w:rPr>
          <w:rStyle w:val="VerbatimChar"/>
        </w:rPr>
        <w:t xml:space="preserve">#&gt;  tidyselect     1.1.0    2020-05-11 [1] CRAN (R 4.0.0)                     </w:t>
      </w:r>
      <w:r>
        <w:br/>
      </w:r>
      <w:r>
        <w:rPr>
          <w:rStyle w:val="VerbatimChar"/>
        </w:rPr>
        <w:t xml:space="preserve">#&gt;  tidyverse    * 1.3.0    2019-11-21 [1] CRAN (R 4.0.2)                     </w:t>
      </w:r>
      <w:r>
        <w:br/>
      </w:r>
      <w:r>
        <w:rPr>
          <w:rStyle w:val="VerbatimChar"/>
        </w:rPr>
        <w:t xml:space="preserve">#&gt;  tweenr         1.0.1    2018-12-14 [1] CRAN (R 4.0.0)                     </w:t>
      </w:r>
      <w:r>
        <w:br/>
      </w:r>
      <w:r>
        <w:rPr>
          <w:rStyle w:val="VerbatimChar"/>
        </w:rPr>
        <w:t xml:space="preserve">#&gt;  units          0.6-7    2020-06-13 [1] CRAN (R 4.0.0)                     </w:t>
      </w:r>
      <w:r>
        <w:br/>
      </w:r>
      <w:r>
        <w:rPr>
          <w:rStyle w:val="VerbatimChar"/>
        </w:rPr>
        <w:t xml:space="preserve">#&gt;  usethis        1.6.1    2020-04-29 [1] CRAN (R 4.0.0)                     </w:t>
      </w:r>
      <w:r>
        <w:br/>
      </w:r>
      <w:r>
        <w:rPr>
          <w:rStyle w:val="VerbatimChar"/>
        </w:rPr>
        <w:t xml:space="preserve">#&gt;  vctrs          0.3.1    2020-06-05 [1] CRAN (R 4.0.0)                     </w:t>
      </w:r>
      <w:r>
        <w:br/>
      </w:r>
      <w:r>
        <w:rPr>
          <w:rStyle w:val="VerbatimChar"/>
        </w:rPr>
        <w:t xml:space="preserve">#&gt;  viridis      * 0.5.1    2018-03-29 [1] CRAN (R 4.0.0)                     </w:t>
      </w:r>
      <w:r>
        <w:br/>
      </w:r>
      <w:r>
        <w:rPr>
          <w:rStyle w:val="VerbatimChar"/>
        </w:rPr>
        <w:t xml:space="preserve">#&gt;  viridisLite  * 0.3.0    2018-02-01 [1] CRAN (R 4.0.0)                     </w:t>
      </w:r>
      <w:r>
        <w:br/>
      </w:r>
      <w:r>
        <w:rPr>
          <w:rStyle w:val="VerbatimChar"/>
        </w:rPr>
        <w:t xml:space="preserve">#&gt;  withr          2.2.0    2020-04-20 [1] CRAN (R 4.0.0)                     </w:t>
      </w:r>
      <w:r>
        <w:br/>
      </w:r>
      <w:r>
        <w:rPr>
          <w:rStyle w:val="VerbatimChar"/>
        </w:rPr>
        <w:t xml:space="preserve">#&gt;  xfun           0.15     2020-06-21 [1] CRAN (R 4.0.0)                     </w:t>
      </w:r>
      <w:r>
        <w:br/>
      </w:r>
      <w:r>
        <w:rPr>
          <w:rStyle w:val="VerbatimChar"/>
        </w:rPr>
        <w:t xml:space="preserve">#&gt;  xml2           1.3.2    2020-04-23 [1] CRAN (R 4.0.0)                     </w:t>
      </w:r>
      <w:r>
        <w:br/>
      </w:r>
      <w:r>
        <w:rPr>
          <w:rStyle w:val="VerbatimChar"/>
        </w:rPr>
        <w:t xml:space="preserve">#&gt;  yaml           2.2.1    2020-02-01 [1] CRAN (R 4.0.0)                     </w:t>
      </w:r>
      <w:r>
        <w:br/>
      </w:r>
      <w:r>
        <w:rPr>
          <w:rStyle w:val="VerbatimChar"/>
        </w:rPr>
        <w:t xml:space="preserve">#&gt;  zip            2.0.4    2019-09-01 [1]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r>
      <w:r>
        <w:rPr>
          <w:rStyle w:val="VerbatimChar"/>
        </w:rPr>
        <w:t xml:space="preserve">#&gt; Remote:   master @ origin (https://github.com/LiYingWang/kwl.pottery.git)</w:t>
      </w:r>
      <w:r>
        <w:br/>
      </w:r>
      <w:r>
        <w:rPr>
          <w:rStyle w:val="VerbatimChar"/>
        </w:rPr>
        <w:t xml:space="preserve">#&gt; Head:     [7efd44d] 2020-07-29: adjust number in regression plot, and make boxplot for cv of size vs shape</w:t>
      </w:r>
    </w:p>
    <w:p>
      <w:pPr>
        <w:pStyle w:val="FirstParagraph"/>
      </w:pPr>
      <w:r>
        <w:t xml:space="preserve">Word count: 5220</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35" Target="media/rId35.jpg" /><Relationship Type="http://schemas.openxmlformats.org/officeDocument/2006/relationships/hyperlink" Id="rId28" Target="http://inkscape.org" TargetMode="External" /><Relationship Type="http://schemas.openxmlformats.org/officeDocument/2006/relationships/hyperlink" Id="rId101"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1"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studay from the Iron Age pottery from northeastern Taiwan</dc:title>
  <dc:creator>Li-Ying Wang; Ben Marwick</dc:creator>
  <cp:keywords/>
  <dcterms:created xsi:type="dcterms:W3CDTF">2020-07-29T05:26:18Z</dcterms:created>
  <dcterms:modified xsi:type="dcterms:W3CDTF">2020-07-29T05:26:18Z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28 July, 2020</vt:lpwstr>
  </property>
  <property fmtid="{D5CDD505-2E9C-101B-9397-08002B2CF9AE}" pid="6" name="highlights">
    <vt:lpwstr>Iron Age pottery shapes from Kiwulan, Taiwan, were analyzed using elliptical Fourier analysisStatistical test for the equality of coefficients of variation of shape coefficients was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