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9.png" ContentType="image/png"/>
  <Override PartName="/word/media/rId35.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12</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Boness et al., 2015;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morphometrics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production.</w:t>
      </w:r>
      <w:r>
        <w:t xml:space="preserve"> </w:t>
      </w:r>
      <w:r>
        <w:t xml:space="preserve">Topi et al. (2018)</w:t>
      </w:r>
      <w:r>
        <w:t xml:space="preserve"> </w:t>
      </w:r>
      <w:r>
        <w:t xml:space="preserve">examine 89 photographs of globular jars from the Casas Grandes of northwest Mexico using semi-landmarks method to explore the relationship between social complexity and the emergence of craft specialization. Their results suggest that some ceramic types from Medio period (AD 1200-1450), were made by specialists. Among those high standardized jars, some were made by attached specialists, while others were made by independent specialists according to distribution patterns of jars.</w:t>
      </w:r>
      <w:r>
        <w:t xml:space="preserve"> </w:t>
      </w:r>
      <w:r>
        <w:t xml:space="preserve">Wilczek et al. (2014)</w:t>
      </w:r>
      <w:r>
        <w:t xml:space="preserve"> </w:t>
      </w:r>
      <w:r>
        <w:t xml:space="preserve">evaluate the concordance between outline-based approaches,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Those examples show that outline approaches can distinguish variation in ceramic shapes in a finer resolution to understand deeply the issue of craft specialisation.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shapes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in relation to foreign influences?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four connected trenches at Kiwulan, northeastern Taiwan. Kiwulan is situated on a hill near a riverside at the northern margin of Yilan, which is characterized by a triangular alluvial plain facing eastwards the Pacific and mountains on three other sides. It is an ideal context to study peripheral colonial influence because it was isolated from intensive direct contact with the Spanish and Dutch colonial presence in other parts of Taiwan. The chronology of Kiwulan is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 colonial presence in the 17th century and great waves of Chinese immigrants since the 19th century. Imported ceramics from mainland China, stonewares, and ornaments elements such as beads were trade goods commonly found in the upper component that indicates the frequent long-distance trade activities in the 17th century during the European presence. In addition to artifacts, features such as burials, middens, and post-holes with in-situ posts that explain Kiwulan was a large settlement site</w:t>
      </w:r>
      <w:r>
        <w:t xml:space="preserve"> </w:t>
      </w:r>
      <w:r>
        <w:t xml:space="preserve">(Chen, 2007)</w:t>
      </w:r>
      <w:r>
        <w:t xml:space="preserve">. To compare different foreign influences, the deposits were classified into three phases, the pre-European, European, and Chinese periods. The principle of identification of three phases is based on 32 radiocarbon ages, excavation depth, consistency of contexts, and types of chronologically diagnostic artifacts, such as blue and white porcelains, light grey glazed jars, and large dark brown glazed stoneware jars prevailing in the 17th century, and bricks and tiles used by the Chinese in the 19th century</w:t>
      </w:r>
      <w:r>
        <w:t xml:space="preserve"> </w:t>
      </w:r>
      <w:r>
        <w:t xml:space="preserve">(</w:t>
      </w:r>
      <w:r>
        <w:rPr>
          <w:b/>
        </w:rPr>
        <w:t xml:space="preserve">???</w:t>
      </w:r>
      <w:r>
        <w:t xml:space="preserve">;</w:t>
      </w:r>
      <w:r>
        <w:t xml:space="preserve"> </w:t>
      </w:r>
      <w:r>
        <w:rPr>
          <w:b/>
        </w:rPr>
        <w:t xml:space="preserve">???</w:t>
      </w:r>
      <w:r>
        <w:t xml:space="preserve">)</w:t>
      </w:r>
      <w:r>
        <w:t xml:space="preserve">. The deposit shows signs of continuous human occupation during each of the three phases across the sampling area.</w:t>
      </w:r>
    </w:p>
    <w:p>
      <w:pPr>
        <w:pStyle w:val="BodyText"/>
      </w:pPr>
      <w:r>
        <w:t xml:space="preserve">The predominant artefact found is locally made ceramics, which distributed throughout the sequence across the site. 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because of the evidence of charred residues and carbon deposits commonly observed on the interior and soot on the exterior. Moreover,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p>
    <w:p>
      <w:pPr>
        <w:pStyle w:val="BodyText"/>
      </w:pPr>
      <w:r>
        <w:t xml:space="preserve">We examine 350 reconstructed pots recovered from the 40 sampling units.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34 thin sections shows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In general, this type presents a mixture of fine, rounded argillite with a small part of rounded metasandstone and rounded to sub-angular monocrystalline quartz. The composition matches the mineralogical composition of local raw materials in the Yilan Plain [</w:t>
      </w:r>
      <w:r>
        <w:t xml:space="preserve">].</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3" w:name="methods"/>
      <w:r>
        <w:t xml:space="preserve">Methods</w:t>
      </w:r>
      <w:bookmarkEnd w:id="23"/>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2.490548</w:t>
            </w:r>
          </w:p>
        </w:tc>
        <w:tc>
          <w:p>
            <w:pPr>
              <w:pStyle w:val="Compact"/>
              <w:jc w:val="right"/>
            </w:pPr>
            <w:r>
              <w:t xml:space="preserve">0.1145318</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14.514355</w:t>
            </w:r>
          </w:p>
        </w:tc>
        <w:tc>
          <w:p>
            <w:pPr>
              <w:pStyle w:val="Compact"/>
              <w:jc w:val="right"/>
            </w:pPr>
            <w:r>
              <w:t xml:space="preserve">0.0001391</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8.685846</w:t>
            </w:r>
          </w:p>
        </w:tc>
        <w:tc>
          <w:p>
            <w:pPr>
              <w:pStyle w:val="Compact"/>
              <w:jc w:val="right"/>
            </w:pPr>
            <w:r>
              <w:t xml:space="preserve">0.0032069</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4.374028</w:t>
            </w:r>
          </w:p>
        </w:tc>
        <w:tc>
          <w:p>
            <w:pPr>
              <w:pStyle w:val="Compact"/>
              <w:jc w:val="right"/>
            </w:pPr>
            <w:r>
              <w:t xml:space="preserve">0.0364906</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8.626742</w:t>
            </w:r>
          </w:p>
        </w:tc>
        <w:tc>
          <w:p>
            <w:pPr>
              <w:pStyle w:val="Compact"/>
              <w:jc w:val="right"/>
            </w:pPr>
            <w:r>
              <w:t xml:space="preserve">0.0033126</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8.025281</w:t>
            </w:r>
          </w:p>
        </w:tc>
        <w:tc>
          <w:p>
            <w:pPr>
              <w:pStyle w:val="Compact"/>
              <w:jc w:val="right"/>
            </w:pPr>
            <w:r>
              <w:t xml:space="preserve">0.0046129</w:t>
            </w:r>
          </w:p>
        </w:tc>
        <w:tc>
          <w:p>
            <w:pPr>
              <w:pStyle w:val="Compact"/>
              <w:jc w:val="left"/>
            </w:pPr>
            <w:r>
              <w:t xml:space="preserve">Chinese Contact vs Post-European</w:t>
            </w:r>
          </w:p>
        </w:tc>
      </w:tr>
    </w:tbl>
    <w:p>
      <w:pPr>
        <w:pStyle w:val="CaptionedFigure"/>
      </w:pPr>
      <w:r>
        <w:drawing>
          <wp:inline>
            <wp:extent cx="5943600" cy="4754880"/>
            <wp:effectExtent b="0" l="0" r="0" t="0"/>
            <wp:docPr descr="(#fig:CV-test-PCs_plot)P-values of the CV equality test of PC1 and PC2 between phases, red color indicates p-value is less than 0.05" title="" id="1" name="Picture"/>
            <a:graphic>
              <a:graphicData uri="http://schemas.openxmlformats.org/drawingml/2006/picture">
                <pic:pic>
                  <pic:nvPicPr>
                    <pic:cNvPr descr="../figures/CV-test-PCs_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(#fig:CV-test-PCs_plot)P-values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post-European(Figure @ref(fig:CV-test-PCs_plot), Table</w:t>
      </w:r>
      <w:r>
        <w:t xml:space="preserve"> </w:t>
      </w:r>
      <w:r>
        <w:t xml:space="preserve">2</w:t>
      </w:r>
      <w:r>
        <w:t xml:space="preserve">). Significant difference is also detected between pre-European and post-European (P-value &lt; 0.05).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BodyText"/>
      </w:pPr>
      <w:r>
        <w:t xml:space="preserve">&lt;—1. cv test for elliptic fourier coefficients</w:t>
      </w:r>
      <w:r>
        <w:t xml:space="preserve"> </w:t>
      </w:r>
      <w:r>
        <w:t xml:space="preserve">2. PCA - Anova - statistical tests - common strategies for testing PCA</w:t>
      </w:r>
      <w:r>
        <w:t xml:space="preserve"> </w:t>
      </w:r>
      <w:r>
        <w:t xml:space="preserve">3. specific points, the outliers mean –&gt;</w:t>
      </w:r>
    </w:p>
    <w:p>
      <w:pPr>
        <w:pStyle w:val="Heading1"/>
      </w:pPr>
      <w:bookmarkStart w:id="37" w:name="discussion"/>
      <w:r>
        <w:t xml:space="preserve">Discussion</w:t>
      </w:r>
      <w:bookmarkEnd w:id="37"/>
    </w:p>
    <w:p>
      <w:pPr>
        <w:pStyle w:val="FirstParagraph"/>
      </w:pPr>
      <w:r>
        <w:t xml:space="preserve">Previous investigations at Kiwulan suggest an unequal distribution pattern of prestige goods, trade ornaments specifically, after the presence of the European that hints the emergence of social inequality. We examine the degree of the ceramic standardization to measure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 result of MANOVA shows there is significant difference in shapes between pre-European and Post-European period, and between the pre-European and the Chinese period. The average shape presents round body with wider rim and neck before the European contact, and turns to oval-shaped body with narrower rim and neck after the European presence and even more obvious during the Chinese contact period. In general, pottery shapes become shorter in hight over time that leads to oval-shaped body. For the standardization of pottery shape, the result of CV test indicates the significant differences between pre-European period and post-European period (P-value &lt; 0.05), and between Chinese contact and either pre-European or post-European (P-value &lt; 0.01). This suggests pottery shape becomes more homogeneous and standardized after foreign contacts with the European colonizer and even more with the Chinese immigrants. The compositional analysis shows clay pastes are similar, regardless of the increasing standardization of the pottery shape, reflecting the raw material sources remains unchanged. More standardized shape in the Chinese period might indicate the appearance of specialized group.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that offers limited spaces to protect organic molecules from microbiological degradation</w:t>
      </w:r>
      <w:r>
        <w:t xml:space="preserve"> </w:t>
      </w:r>
      <w:r>
        <w:t xml:space="preserve">(Evershed, 2008, p. 909)</w:t>
      </w:r>
      <w:r>
        <w:t xml:space="preserve">.</w:t>
      </w:r>
    </w:p>
    <w:p>
      <w:pPr>
        <w:pStyle w:val="BodyText"/>
      </w:pPr>
      <w:r>
        <w:t xml:space="preserve">The results support part of our hypothesis that foreign influences had impacts on the emergence of social inequality in local indigenous society reflected by the degree of pottery standardization, however, stronger in the Chinese period instead of the European period originally thought to be. The hypothesis of emergence of social inequality based on the monopolies for long-distance trade brought by the Europeans was not fully supported. The nature and context of the interaction with the foreign presences might give an insight into the different degree of standardized pottery. Compared to other region in Taiwan, the European colonial control was weak in Yilan due to the relatively isolated location by mountains and the economic consideration of the Spanish and the Dutch who prefer northern Taiwan as trading base. Yilan could be seen as a place experienced indirect influences by the European trade network and their colonial activities in a pericolonial context</w:t>
      </w:r>
      <w:r>
        <w:t xml:space="preserve"> </w:t>
      </w:r>
      <w:r>
        <w:t xml:space="preserve">(cf. 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large amount of Chinese porcelains and distinctive architectural bricks and tiles used by Chinese</w:t>
      </w:r>
      <w:r>
        <w:t xml:space="preserve"> </w:t>
      </w:r>
      <w:r>
        <w:t xml:space="preserve">(</w:t>
      </w:r>
      <w:r>
        <w:rPr>
          <w:b/>
        </w:rPr>
        <w:t xml:space="preserve">???</w:t>
      </w:r>
      <w:r>
        <w:t xml:space="preserve">)</w:t>
      </w:r>
      <w:r>
        <w:t xml:space="preserve">. Also, the finding of adoption of coffin in mortuary practice that viewed as an ethnic symbol for Chinese was observed</w:t>
      </w:r>
      <w:r>
        <w:t xml:space="preserve"> </w:t>
      </w:r>
      <w:r>
        <w:t xml:space="preserve">(Chen, 2007)</w:t>
      </w:r>
      <w:r>
        <w:t xml:space="preserve">.</w:t>
      </w:r>
    </w:p>
    <w:p>
      <w:pPr>
        <w:pStyle w:val="BodyText"/>
      </w:pPr>
      <w:r>
        <w:t xml:space="preserve">More standardized pottery shape without controlling the clay paste or technology suggests the shape as a preferred characteristic in pottery production during the Chinese period. However, the standardization is not reflected by the metric attributes, specifically the rim, neck, and body thickness. There is higher variation in thickness attributes compared to diameter attributes, indicating shape is the only attribute that presents homogeneous. In addition to the emergence of specialized groups indicative of changes in social organization, another explanation is that producing homogeneous pottery is an act of resistance to the Chinese immigrant by emphasizing the practice of traditional pottery production. Among the pottery attributes, shape is the most obvious and visible trait, which can be used as an expression of social boundary or group identity</w:t>
      </w:r>
      <w:r>
        <w:t xml:space="preserve"> </w:t>
      </w:r>
      <w:r>
        <w:t xml:space="preserve">(cf.</w:t>
      </w:r>
      <w:r>
        <w:t xml:space="preserve"> </w:t>
      </w:r>
      <w:r>
        <w:rPr>
          <w:b/>
        </w:rPr>
        <w:t xml:space="preserve">???</w:t>
      </w:r>
      <w:r>
        <w:t xml:space="preserve">)</w:t>
      </w:r>
      <w:r>
        <w:t xml:space="preserve">.</w:t>
      </w:r>
    </w:p>
    <w:p>
      <w:pPr>
        <w:pStyle w:val="Compact"/>
        <w:numPr>
          <w:numId w:val="1001"/>
          <w:ilvl w:val="0"/>
        </w:numPr>
      </w:pPr>
      <w:r>
        <w:t xml:space="preserve">cultural resistance</w:t>
      </w:r>
    </w:p>
    <w:p>
      <w:pPr>
        <w:pStyle w:val="Compact"/>
        <w:numPr>
          <w:numId w:val="1001"/>
          <w:ilvl w:val="0"/>
        </w:numPr>
      </w:pPr>
      <w:r>
        <w:t xml:space="preserve">trade</w:t>
      </w:r>
      <w:r>
        <w:t xml:space="preserve"> </w:t>
      </w:r>
      <w:r>
        <w:t xml:space="preserve">(Alizadeh et al., 2018)</w:t>
      </w:r>
    </w:p>
    <w:p>
      <w:pPr>
        <w:pStyle w:val="Compact"/>
        <w:numPr>
          <w:numId w:val="1001"/>
          <w:ilvl w:val="0"/>
        </w:numPr>
      </w:pPr>
      <w:r>
        <w:t xml:space="preserve">identity, social boundary, visible trait, Raux2015, Boness2017</w:t>
      </w:r>
    </w:p>
    <w:p>
      <w:pPr>
        <w:pStyle w:val="Compact"/>
        <w:numPr>
          <w:numId w:val="1001"/>
          <w:ilvl w:val="0"/>
        </w:numPr>
      </w:pPr>
      <w:r>
        <w:t xml:space="preserve">thickness and diameter show difference but not reach the threshold of specialization, also the clay paste does not show any specific change throughout the time</w:t>
      </w:r>
    </w:p>
    <w:p>
      <w:pPr>
        <w:pStyle w:val="Compact"/>
        <w:numPr>
          <w:numId w:val="1001"/>
          <w:ilvl w:val="0"/>
        </w:numPr>
      </w:pPr>
      <w:r>
        <w:t xml:space="preserve">shape as an symbol</w:t>
      </w:r>
    </w:p>
    <w:p>
      <w:pPr>
        <w:pStyle w:val="Heading1"/>
      </w:pPr>
      <w:bookmarkStart w:id="38" w:name="conclusion"/>
      <w:r>
        <w:t xml:space="preserve">Conclusion</w:t>
      </w:r>
      <w:bookmarkEnd w:id="38"/>
    </w:p>
    <w:p>
      <w:pPr>
        <w:pStyle w:val="FirstParagraph"/>
      </w:pPr>
      <w:r>
        <w:t xml:space="preserve">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39" w:name="acknowledgements"/>
      <w:r>
        <w:t xml:space="preserve">Acknowledgements</w:t>
      </w:r>
      <w:bookmarkEnd w:id="39"/>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This research used statistical consulting resources provided by the Center for Statistics and the Social Sciences, University of Washington.</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01"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ess2015"/>
    <w:p>
      <w:pPr>
        <w:pStyle w:val="BodyText"/>
      </w:pPr>
      <w:r>
        <w:t xml:space="preserve">Boness, D., Clarke, J., Goren, Y., 2015. Ceramic neolithic pottery in cyprus—origin, technology and possible implications for social structure and identity. Levant 47, 233–254.</w:t>
      </w:r>
    </w:p>
    <w:bookmarkEnd w:id="51"/>
    <w:bookmarkStart w:id="52" w:name="ref-Bonhomme2014"/>
    <w:p>
      <w:pPr>
        <w:pStyle w:val="BodyText"/>
      </w:pPr>
      <w:r>
        <w:t xml:space="preserve">Bonhomme, V., Picq, S., Gaucherel, C., Claude, J., others, 2014. Momocs: Outline analysis using r. Journal of Statistical Software 56, 1–24.</w:t>
      </w:r>
    </w:p>
    <w:bookmarkEnd w:id="52"/>
    <w:bookmarkStart w:id="53" w:name="ref-Bookstein1997"/>
    <w:p>
      <w:pPr>
        <w:pStyle w:val="BodyText"/>
      </w:pPr>
      <w:r>
        <w:t xml:space="preserve">Bookstein, F.L., 1997. Landmark methods for forms without landmarks: Morphometrics of group differences in outline shape. Medical image analysis 1, 225–243.</w:t>
      </w:r>
    </w:p>
    <w:bookmarkEnd w:id="53"/>
    <w:bookmarkStart w:id="54" w:name="ref-Bookstein1991"/>
    <w:p>
      <w:pPr>
        <w:pStyle w:val="BodyText"/>
      </w:pPr>
      <w:r>
        <w:t xml:space="preserve">Bookstein, F.L., 1991. Morphometric tools for landmark data: Geometry and biology. Cambridge University Press.</w:t>
      </w:r>
    </w:p>
    <w:bookmarkEnd w:id="54"/>
    <w:bookmarkStart w:id="55" w:name="ref-Buchanan2019"/>
    <w:p>
      <w:pPr>
        <w:pStyle w:val="BodyText"/>
      </w:pPr>
      <w:r>
        <w:t xml:space="preserve">Buchanan, B., Collard, M., O’Brien, M.J., 2019. Geometric morphometric analyses support incorporating the goshen point type into plainview. American Antiquity 1–11.</w:t>
      </w:r>
    </w:p>
    <w:bookmarkEnd w:id="55"/>
    <w:bookmarkStart w:id="56" w:name="ref-Cardillo2010"/>
    <w:p>
      <w:pPr>
        <w:pStyle w:val="BodyText"/>
      </w:pPr>
      <w:r>
        <w:t xml:space="preserve">Cardillo, M., 2010. Some applications of geometric morphometrics to archaeology, in: Elewa, A.M.T. (Ed.), Morphometrics for Nonmorphometricians. Springer, pp. 325–341.</w:t>
      </w:r>
    </w:p>
    <w:bookmarkEnd w:id="56"/>
    <w:bookmarkStart w:id="57" w:name="ref-Chen2007"/>
    <w:p>
      <w:pPr>
        <w:pStyle w:val="BodyText"/>
      </w:pPr>
      <w:r>
        <w:t xml:space="preserve">Chen, Y.-p., 2007. Qi wu lan yi zhi qiang jiu fa jue bao gao [report on the archaeological excavations at ki-wu-lan site]. Lanyang museum, Yilan, Taiwan.</w:t>
      </w:r>
    </w:p>
    <w:bookmarkEnd w:id="57"/>
    <w:bookmarkStart w:id="58" w:name="ref-Claude2008"/>
    <w:p>
      <w:pPr>
        <w:pStyle w:val="BodyText"/>
      </w:pPr>
      <w:r>
        <w:t xml:space="preserve">Claude, J., 2008. Morphometrics with r. Springer Science &amp; Business Media.</w:t>
      </w:r>
    </w:p>
    <w:bookmarkEnd w:id="58"/>
    <w:bookmarkStart w:id="59" w:name="ref-Costin2001"/>
    <w:p>
      <w:pPr>
        <w:pStyle w:val="BodyText"/>
      </w:pPr>
      <w:r>
        <w:t xml:space="preserve">Costin, C.L., 2001. Craft production systems, in: Archaeology at the Millennium. Springer, pp. 273–327.</w:t>
      </w:r>
    </w:p>
    <w:bookmarkEnd w:id="59"/>
    <w:bookmarkStart w:id="60" w:name="ref-Costin1991"/>
    <w:p>
      <w:pPr>
        <w:pStyle w:val="BodyText"/>
      </w:pPr>
      <w:r>
        <w:t xml:space="preserve">Costin, C.L., 1991. Craft specialization: Issues in defining, documenting, and explaining the organization of production. Archaeological method and theory 1–56.</w:t>
      </w:r>
    </w:p>
    <w:bookmarkEnd w:id="60"/>
    <w:bookmarkStart w:id="61" w:name="ref-Dietler2015"/>
    <w:p>
      <w:pPr>
        <w:pStyle w:val="BodyText"/>
      </w:pPr>
      <w:r>
        <w:t xml:space="preserve">Dietler, M., 2015. Archaeologies of colonialism: Consumption, entanglement, and violence in ancient mediterranean france. Univ of California Press.</w:t>
      </w:r>
    </w:p>
    <w:bookmarkEnd w:id="61"/>
    <w:bookmarkStart w:id="62"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2"/>
    <w:bookmarkStart w:id="63" w:name="ref-Dietler1997"/>
    <w:p>
      <w:pPr>
        <w:pStyle w:val="BodyText"/>
      </w:pPr>
      <w:r>
        <w:t xml:space="preserve">Dietler, M., 1997. The iron age in mediterranean france: Colonial encounters, entanglements, and transformations. Journal of World Prehistory 11, 269–358.</w:t>
      </w:r>
    </w:p>
    <w:bookmarkEnd w:id="63"/>
    <w:bookmarkStart w:id="64" w:name="ref-Eerkens2001"/>
    <w:p>
      <w:pPr>
        <w:pStyle w:val="BodyText"/>
      </w:pPr>
      <w:r>
        <w:t xml:space="preserve">Eerkens, J.W., Bettinger, R.L., 2001. Techniques for assessing standardization in artifact assemblages: Can we scale material variability? American Antiquity 66, 493–504.</w:t>
      </w:r>
    </w:p>
    <w:bookmarkEnd w:id="64"/>
    <w:bookmarkStart w:id="65" w:name="ref-Evershed2008"/>
    <w:p>
      <w:pPr>
        <w:pStyle w:val="BodyText"/>
      </w:pPr>
      <w:r>
        <w:t xml:space="preserve">Evershed, R.P., 2008. Organic residue analysis in archaeology: The archaeological biomarker revolution. Archaeometry 50, 895–924.</w:t>
      </w:r>
    </w:p>
    <w:bookmarkEnd w:id="65"/>
    <w:bookmarkStart w:id="66"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6"/>
    <w:bookmarkStart w:id="67" w:name="ref-Fox2015"/>
    <w:p>
      <w:pPr>
        <w:pStyle w:val="BodyText"/>
      </w:pPr>
      <w:r>
        <w:t xml:space="preserve">Fox, A.N., 2015. A study of late woodland projectile point typology in new york using elliptical fourier outline analysis. Journal of Archaeological Science: Reports 4, 501–509.</w:t>
      </w:r>
    </w:p>
    <w:bookmarkEnd w:id="67"/>
    <w:bookmarkStart w:id="68" w:name="ref-Given2004"/>
    <w:p>
      <w:pPr>
        <w:pStyle w:val="BodyText"/>
      </w:pPr>
      <w:r>
        <w:t xml:space="preserve">Given, M., 2004. The archaeology of the colonized. Routledge, London; New York.</w:t>
      </w:r>
    </w:p>
    <w:bookmarkEnd w:id="68"/>
    <w:bookmarkStart w:id="69" w:name="ref-Gunz2013"/>
    <w:p>
      <w:pPr>
        <w:pStyle w:val="BodyText"/>
      </w:pPr>
      <w:r>
        <w:t xml:space="preserve">Gunz, P., Mitteroecker, P., 2013. Semilandmarks: A method for quantifying curves and surfaces. Hystrix, the Italian Journal of Mammalogy 24, 103–109.</w:t>
      </w:r>
    </w:p>
    <w:bookmarkEnd w:id="69"/>
    <w:bookmarkStart w:id="70"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0"/>
    <w:bookmarkStart w:id="71" w:name="ref-Hirshman2010"/>
    <w:p>
      <w:pPr>
        <w:pStyle w:val="BodyText"/>
      </w:pPr>
      <w:r>
        <w:t xml:space="preserve">Hirshman, A.J., Lovis, W.A., Pollard, H.P., 2010. Specialization of ceramic production: A sherd assemblage based analytic perspective. Journal of Anthropological Archaeology 29, 265–277.</w:t>
      </w:r>
    </w:p>
    <w:bookmarkEnd w:id="71"/>
    <w:bookmarkStart w:id="72"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2"/>
    <w:bookmarkStart w:id="73" w:name="ref-Iovictua2010"/>
    <w:p>
      <w:pPr>
        <w:pStyle w:val="BodyText"/>
      </w:pPr>
      <w:r>
        <w:t xml:space="preserve">Ioviţă, R., 2010. Comparing stone tool resharpening trajectories with the aid of elliptical fourier analysis, in: New Perspectives on Old Stones. Springer, pp. 235–253.</w:t>
      </w:r>
    </w:p>
    <w:bookmarkEnd w:id="73"/>
    <w:bookmarkStart w:id="74" w:name="ref-Junker1999"/>
    <w:p>
      <w:pPr>
        <w:pStyle w:val="BodyText"/>
      </w:pPr>
      <w:r>
        <w:t xml:space="preserve">Junker, L.L., 1999. Raiding, trading, and feasting: The political economy of philippine chiefdoms. University of Hawaii Press.</w:t>
      </w:r>
    </w:p>
    <w:bookmarkEnd w:id="74"/>
    <w:bookmarkStart w:id="75" w:name="ref-Junker1993"/>
    <w:p>
      <w:pPr>
        <w:pStyle w:val="BodyText"/>
      </w:pPr>
      <w:r>
        <w:t xml:space="preserve">Junker, L.L., 1993. Craft goods specialization and prestige goods exchange in philippine chiefdoms of the fifteenth and sixteenth centuries. Asian Perspectives 1–35.</w:t>
      </w:r>
    </w:p>
    <w:bookmarkEnd w:id="75"/>
    <w:bookmarkStart w:id="76" w:name="ref-Kuhl1982"/>
    <w:p>
      <w:pPr>
        <w:pStyle w:val="BodyText"/>
      </w:pPr>
      <w:r>
        <w:t xml:space="preserve">Kuhl, F.P., Giardina, C.R., 1982. Elliptic fourier features of a closed contour. Computer graphics and image processing 18, 236–258.</w:t>
      </w:r>
    </w:p>
    <w:bookmarkEnd w:id="76"/>
    <w:bookmarkStart w:id="77" w:name="ref-Lawing2010"/>
    <w:p>
      <w:pPr>
        <w:pStyle w:val="BodyText"/>
      </w:pPr>
      <w:r>
        <w:t xml:space="preserve">Lawing, A.M., Polly, P.D., 2010. Geometric morphometrics: Recent applications to the study of evolution and development. Journal of Zoology 280, 1–7.</w:t>
      </w:r>
    </w:p>
    <w:bookmarkEnd w:id="77"/>
    <w:bookmarkStart w:id="78"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8"/>
    <w:bookmarkStart w:id="80"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9">
        <w:r>
          <w:rPr>
            <w:rStyle w:val="Hyperlink"/>
          </w:rPr>
          <w:t xml:space="preserve">https://doi.org/10.1007/s10816-015-9272-9</w:t>
        </w:r>
      </w:hyperlink>
    </w:p>
    <w:bookmarkEnd w:id="80"/>
    <w:bookmarkStart w:id="81" w:name="ref-Marwick2018"/>
    <w:p>
      <w:pPr>
        <w:pStyle w:val="BodyText"/>
      </w:pPr>
      <w:r>
        <w:t xml:space="preserve">Marwick, B., Boettiger, C., Mullen, L., 2018. Packaging data analytical work reproducibly using r (and friends). The American Statistician 72, 80–88.</w:t>
      </w:r>
    </w:p>
    <w:bookmarkEnd w:id="81"/>
    <w:bookmarkStart w:id="82" w:name="ref-Marwick2019"/>
    <w:p>
      <w:pPr>
        <w:pStyle w:val="BodyText"/>
      </w:pPr>
      <w:r>
        <w:t xml:space="preserve">Marwick, B., Krishnamoorthy, K., n.d. Cvequality: Tests for the equality of coefficients of variation from multiple groups.</w:t>
      </w:r>
    </w:p>
    <w:bookmarkEnd w:id="82"/>
    <w:bookmarkStart w:id="83" w:name="ref-Meloro2015"/>
    <w:p>
      <w:pPr>
        <w:pStyle w:val="BodyText"/>
      </w:pPr>
      <w:r>
        <w:t xml:space="preserve">Meloro, C., Hudson, A., Rook, L., 2015. Feeding habits of extant and fossil canids as determined by their skull geometry. Journal of Zoology 295, 178–188.</w:t>
      </w:r>
    </w:p>
    <w:bookmarkEnd w:id="83"/>
    <w:bookmarkStart w:id="84" w:name="ref-Mullins2011"/>
    <w:p>
      <w:pPr>
        <w:pStyle w:val="BodyText"/>
      </w:pPr>
      <w:r>
        <w:t xml:space="preserve">Mullins, P.R., 2011. The archaeology of consumption. Annual Review of Anthropology 40, 133–144.</w:t>
      </w:r>
    </w:p>
    <w:bookmarkEnd w:id="84"/>
    <w:bookmarkStart w:id="85" w:name="ref-Rlanguage2019"/>
    <w:p>
      <w:pPr>
        <w:pStyle w:val="BodyText"/>
      </w:pPr>
      <w:r>
        <w:t xml:space="preserve">R Core Team, 2019. R: A language and environment for statistical computing. R Foundation for Statistical Computing, Vienna, Austria.</w:t>
      </w:r>
    </w:p>
    <w:bookmarkEnd w:id="85"/>
    <w:bookmarkStart w:id="86"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6"/>
    <w:bookmarkStart w:id="87"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7"/>
    <w:bookmarkStart w:id="88" w:name="ref-Roux2003"/>
    <w:p>
      <w:pPr>
        <w:pStyle w:val="BodyText"/>
      </w:pPr>
      <w:r>
        <w:t xml:space="preserve">Roux, V., 2003. Ceramic standardization and intensity of production: Quantifying degrees of specialization. American Antiquity 68, 768–782.</w:t>
      </w:r>
    </w:p>
    <w:bookmarkEnd w:id="88"/>
    <w:bookmarkStart w:id="89"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9"/>
    <w:bookmarkStart w:id="90" w:name="ref-Scaramelli2005"/>
    <w:p>
      <w:pPr>
        <w:pStyle w:val="BodyText"/>
      </w:pPr>
      <w:r>
        <w:t xml:space="preserve">Scaramelli, F., Scaramelli, K.T. de, 2005. The roles of material culture in the colonization of the orinoco, venezuela. Journal of Social Archaeology 5, 135–168.</w:t>
      </w:r>
    </w:p>
    <w:bookmarkEnd w:id="90"/>
    <w:bookmarkStart w:id="91" w:name="ref-Silliman2001"/>
    <w:p>
      <w:pPr>
        <w:pStyle w:val="BodyText"/>
      </w:pPr>
      <w:r>
        <w:t xml:space="preserve">Silliman, S., 2001. Agency, practical politics and the archaeology of culture contact. Journal of social archaeology 1, 190–209.</w:t>
      </w:r>
    </w:p>
    <w:bookmarkEnd w:id="91"/>
    <w:bookmarkStart w:id="92" w:name="ref-Silliman2005"/>
    <w:p>
      <w:pPr>
        <w:pStyle w:val="BodyText"/>
      </w:pPr>
      <w:r>
        <w:t xml:space="preserve">Silliman, S.W., 2005. Culture contact or colonialism? Challenges in the archaeology of native North America. American Antiquity 55–74.</w:t>
      </w:r>
    </w:p>
    <w:bookmarkEnd w:id="92"/>
    <w:bookmarkStart w:id="93" w:name="ref-Slice2007"/>
    <w:p>
      <w:pPr>
        <w:pStyle w:val="BodyText"/>
      </w:pPr>
      <w:r>
        <w:t xml:space="preserve">Slice, D.E., 2007. Geometric morphometrics. Annu. Rev. Anthropol. 36, 261–281.</w:t>
      </w:r>
    </w:p>
    <w:bookmarkEnd w:id="93"/>
    <w:bookmarkStart w:id="94" w:name="ref-Stark1995economic"/>
    <w:p>
      <w:pPr>
        <w:pStyle w:val="BodyText"/>
      </w:pPr>
      <w:r>
        <w:t xml:space="preserve">Stark, B.L., 1995a. Economic intensification and ceramic specialization in the philippines: A view from kalinga. Research in Economic Anthropology 16, 179–226.</w:t>
      </w:r>
    </w:p>
    <w:bookmarkEnd w:id="94"/>
    <w:bookmarkStart w:id="95"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5"/>
    <w:bookmarkStart w:id="96" w:name="ref-Tite1999"/>
    <w:p>
      <w:pPr>
        <w:pStyle w:val="BodyText"/>
      </w:pPr>
      <w:r>
        <w:t xml:space="preserve">Tite, M.S., 1999. Pottery production, distribution, and consumption—the contribution of the physical sciences. Journal of archaeological method and theory 6, 181–233.</w:t>
      </w:r>
    </w:p>
    <w:bookmarkEnd w:id="96"/>
    <w:bookmarkStart w:id="97" w:name="ref-Topi2018"/>
    <w:p>
      <w:pPr>
        <w:pStyle w:val="BodyText"/>
      </w:pPr>
      <w:r>
        <w:t xml:space="preserve">Topi, J.R., VanPool, C.S., Waller, K.D., VanPool, T.L., 2018. The economy of specialized ceramic craft production in the casas grandes region. Latin American Antiquity 29, 122–142.</w:t>
      </w:r>
    </w:p>
    <w:bookmarkEnd w:id="97"/>
    <w:bookmarkStart w:id="98"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98"/>
    <w:bookmarkStart w:id="99" w:name="ref-Trabert2017"/>
    <w:p>
      <w:pPr>
        <w:pStyle w:val="BodyText"/>
      </w:pPr>
      <w:r>
        <w:t xml:space="preserve">Trabert, S., 2017. Considering the indirect effects of colonialism: Example from a great plains middle ground. Journal of Anthropological Archaeology 48, 17–27.</w:t>
      </w:r>
    </w:p>
    <w:bookmarkEnd w:id="99"/>
    <w:bookmarkStart w:id="100"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00"/>
    <w:bookmarkEnd w:id="101"/>
    <w:p>
      <w:pPr>
        <w:pStyle w:val="Heading5"/>
      </w:pPr>
      <w:bookmarkStart w:id="102" w:name="pagebreak-1"/>
      <w:r>
        <w:t xml:space="preserve">pagebreak</w:t>
      </w:r>
      <w:bookmarkEnd w:id="102"/>
    </w:p>
    <w:p>
      <w:pPr>
        <w:pStyle w:val="Heading3"/>
      </w:pPr>
      <w:bookmarkStart w:id="103" w:name="colophon"/>
      <w:r>
        <w:t xml:space="preserve">Colophon</w:t>
      </w:r>
      <w:bookmarkEnd w:id="103"/>
    </w:p>
    <w:p>
      <w:pPr>
        <w:pStyle w:val="FirstParagraph"/>
      </w:pPr>
      <w:r>
        <w:t xml:space="preserve">This report was generated on 2020-01-12 00:02:35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2020-01-12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[3721bb1] 2020-01-12: add script file for metric data</w:t>
      </w:r>
    </w:p>
    <w:p>
      <w:pPr>
        <w:pStyle w:val="FirstParagraph"/>
      </w:pPr>
      <w:r>
        <w:t xml:space="preserve">Word count: 4739</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79"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9"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2020-01-12T08:02:44Z</dcterms:created>
  <dcterms:modified xsi:type="dcterms:W3CDTF">2020-01-12T08:02:44Z</dcterms:modified>
</cp:coreProperties>
</file>