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along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s/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s/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Our Bayesian modeling of 11 ages related to the upper component from</w:t>
      </w:r>
      <w:r>
        <w:t xml:space="preserve"> </w:t>
      </w:r>
      <w:r>
        <w:t xml:space="preserve">Chen (2007)</w:t>
      </w:r>
      <w:r>
        <w:t xml:space="preserve"> </w:t>
      </w:r>
      <w:r>
        <w:t xml:space="preserve">shows a consistent result with our artifact-based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s/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s/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0.0706</w:t>
            </w:r>
          </w:p>
        </w:tc>
        <w:tc>
          <w:p>
            <w:pPr>
              <w:pStyle w:val="Compact"/>
              <w:jc w:val="right"/>
            </w:pPr>
            <w:r>
              <w:t xml:space="preserve">0.7905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7.5964</w:t>
            </w:r>
          </w:p>
        </w:tc>
        <w:tc>
          <w:p>
            <w:pPr>
              <w:pStyle w:val="Compact"/>
              <w:jc w:val="right"/>
            </w:pPr>
            <w:r>
              <w:t xml:space="preserve">0.0058</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6.6176</w:t>
            </w:r>
          </w:p>
        </w:tc>
        <w:tc>
          <w:p>
            <w:pPr>
              <w:pStyle w:val="Compact"/>
              <w:jc w:val="right"/>
            </w:pPr>
            <w:r>
              <w:t xml:space="preserve">0.0101</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-0.0454</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-0.0093</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0.0406</w:t>
            </w:r>
          </w:p>
        </w:tc>
        <w:tc>
          <w:p>
            <w:pPr>
              <w:pStyle w:val="Compact"/>
              <w:jc w:val="right"/>
            </w:pPr>
            <w:r>
              <w:t xml:space="preserve">0.8403</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EmilyWang/Desktop/School%20document/LW-Papers/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3.899</m:t>
        </m:r>
        <m:r>
          <m:t>×</m:t>
        </m:r>
        <m:sSup>
          <m:e>
            <m:r>
              <m:t>10</m:t>
            </m:r>
          </m:e>
          <m:sup>
            <m:r>
              <m:t>−</m:t>
            </m:r>
            <m:r>
              <m:t>20</m:t>
            </m:r>
          </m:sup>
        </m:sSup>
      </m:oMath>
      <w:r>
        <w:t xml:space="preserve">) or post-European periods (p=</w:t>
      </w:r>
      <w:r>
        <w:t xml:space="preserve"> </w:t>
      </w:r>
      <m:oMath>
        <m:r>
          <m:t>1.152</m:t>
        </m:r>
        <m:r>
          <m:t>×</m:t>
        </m:r>
        <m:sSup>
          <m:e>
            <m:r>
              <m:t>10</m:t>
            </m:r>
          </m:e>
          <m:sup>
            <m:r>
              <m:t>−</m:t>
            </m:r>
            <m:r>
              <m:t>19</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only a minor role at Kiwulan, and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indicates a non-randomly dispersed distribution before European contact and a more extreme dispersed distribution after European presence. In contrast, the distribution of pottery is more similar to random distributions during the Chinese period. This is interesting because it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the Indigenous population</w:t>
      </w:r>
      <w:r>
        <w:t xml:space="preserve"> </w:t>
      </w:r>
      <w:r>
        <w:t xml:space="preserve">(Chen, 2007; Hsieh, 2009)</w:t>
      </w:r>
      <w:r>
        <w:t xml:space="preserve">. We might expect reduced numbers of potters to result in pottery production shrinking to a few locations in the settlement during this time. However,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As population across our three occupation phases declines, we see less clustered distributions of pottery, supporting an interpretation of intentional standardization rather than mechanical standardization. The spatial pattern shows that ceramics were mostly household-produced, and no specific facilities of production are evident</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Another example demonstrates Indigenous endurance and resilience through the long-term persistence of mound use in Mississippian culture after contact with European colonizers</w:t>
      </w:r>
      <w:r>
        <w:t xml:space="preserve"> </w:t>
      </w:r>
      <w:r>
        <w:t xml:space="preserve">(Holland-Lulewicz et al., 2020)</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emerges from a combination of mechanical and intentional factors. Discrete groups of producers are not evident, favoring the role of intentional factors in this case. The distribution of ceramics in the Chinese period does not support clustered patterns of manufacturing locations, such as workshops. Instead, ceramic production is likely to have occurred in households. We speculate that the relatively homogeneous appearance of the vessels may suggest an expression of social identity or cultural boundaries in Indigenous societies through highly visible vessel qualities, such as shape. The symbolic value of these shapes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 This study also broadens the GMM field by focusing on ceramic technologies, which may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5"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lland"/>
    <w:p>
      <w:pPr>
        <w:pStyle w:val="Bibliography"/>
      </w:pPr>
      <w:r>
        <w:t xml:space="preserve">Holland-Lulewicz, J., Thompson, V.D., Wettstaed, J., Williams, M., 2020. Enduring traditions and the (im) materiality of early colonial encounters in the southeastern United States. American Antiquity 1–21.</w:t>
      </w:r>
    </w:p>
    <w:bookmarkEnd w:id="88"/>
    <w:bookmarkStart w:id="89" w:name="ref-hopkins2017morphological"/>
    <w:p>
      <w:pPr>
        <w:pStyle w:val="Bibliography"/>
      </w:pPr>
      <w:r>
        <w:t xml:space="preserve">Hopkins, M.J., Gerber, S., 2017. Morphological disparity. Nuño de la Rosa L, Müller GB, editors. Evolutionary Developmental Biology. Springer International Publishing 1–12.</w:t>
      </w:r>
    </w:p>
    <w:bookmarkEnd w:id="89"/>
    <w:bookmarkStart w:id="90" w:name="ref-Hsieh2009"/>
    <w:p>
      <w:pPr>
        <w:pStyle w:val="Bibliography"/>
      </w:pPr>
      <w:r>
        <w:t xml:space="preserve">Hsieh, E., 2009. Yilan qi wu lan yi zhi chu tu wai lai tao ci qi zhi xiang guan yan jiu [The study of imported ceramics excavated at the Ki-Wu-Lan site, I-lan] (Master’s thesis).</w:t>
      </w:r>
    </w:p>
    <w:bookmarkEnd w:id="90"/>
    <w:bookmarkStart w:id="91" w:name="ref-Iovictua2009"/>
    <w:p>
      <w:pPr>
        <w:pStyle w:val="Bibliography"/>
      </w:pPr>
      <w:r>
        <w:t xml:space="preserve">Ioviţă, R., 2009. Ontogenetic scaling and lithic systematics: Method and application. Journal of Archaeological Science 36, 1447–1457.</w:t>
      </w:r>
    </w:p>
    <w:bookmarkEnd w:id="91"/>
    <w:bookmarkStart w:id="92"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2"/>
    <w:bookmarkStart w:id="93" w:name="ref-Junker1999"/>
    <w:p>
      <w:pPr>
        <w:pStyle w:val="Bibliography"/>
      </w:pPr>
      <w:r>
        <w:t xml:space="preserve">Junker, L.L., 1999. Raiding, trading, and feasting: The political economy of Philippine chiefdoms. University of Hawaii Press.</w:t>
      </w:r>
    </w:p>
    <w:bookmarkEnd w:id="93"/>
    <w:bookmarkStart w:id="94" w:name="ref-Junker1993"/>
    <w:p>
      <w:pPr>
        <w:pStyle w:val="Bibliography"/>
      </w:pPr>
      <w:r>
        <w:t xml:space="preserve">Junker, L.L., 1993. Craft goods specialization and prestige goods exchange in Philippine chiefdoms of the fifteenth and sixteenth centuries. Asian Perspectives 32, 1–35.</w:t>
      </w:r>
    </w:p>
    <w:bookmarkEnd w:id="94"/>
    <w:bookmarkStart w:id="95" w:name="ref-Ke1993"/>
    <w:p>
      <w:pPr>
        <w:pStyle w:val="Bibliography"/>
      </w:pPr>
      <w:r>
        <w:t xml:space="preserve">Ke, P., 1993. Kavalan zhi lue [Record of Kavalen]. Historical Records Committee of Taiwan Provincial Government, Nantou.</w:t>
      </w:r>
    </w:p>
    <w:bookmarkEnd w:id="95"/>
    <w:bookmarkStart w:id="96" w:name="ref-Krishnamoorthy2014"/>
    <w:p>
      <w:pPr>
        <w:pStyle w:val="Bibliography"/>
      </w:pPr>
      <w:r>
        <w:t xml:space="preserve">Krishnamoorthy, K., Lee, M., 2014. Improved tests for the equality of normal coefficients of variation. Computational Statistics 29, 215–232.</w:t>
      </w:r>
    </w:p>
    <w:bookmarkEnd w:id="96"/>
    <w:bookmarkStart w:id="97" w:name="ref-Kubler1962"/>
    <w:p>
      <w:pPr>
        <w:pStyle w:val="Bibliography"/>
      </w:pPr>
      <w:r>
        <w:t xml:space="preserve">Kubler, G., 1962. The shape of time: Remarks on the history of things. Yale University Press, New Haven.</w:t>
      </w:r>
    </w:p>
    <w:bookmarkEnd w:id="97"/>
    <w:bookmarkStart w:id="98" w:name="ref-Kuhl1982"/>
    <w:p>
      <w:pPr>
        <w:pStyle w:val="Bibliography"/>
      </w:pPr>
      <w:r>
        <w:t xml:space="preserve">Kuhl, F.P., Giardina, C.R., 1982. Elliptic Fourier features of a closed contour. Computer Graphics and Image Processing 18, 236–258.</w:t>
      </w:r>
    </w:p>
    <w:bookmarkEnd w:id="98"/>
    <w:bookmarkStart w:id="99"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9"/>
    <w:bookmarkStart w:id="100"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100"/>
    <w:bookmarkStart w:id="101" w:name="ref-Lawing2010"/>
    <w:p>
      <w:pPr>
        <w:pStyle w:val="Bibliography"/>
      </w:pPr>
      <w:r>
        <w:t xml:space="preserve">Lawing, A.M., Polly, P.D., 2010. Geometric morphometrics: Recent applications to the study of evolution and development. Journal of Zoology 280, 1–7.</w:t>
      </w:r>
    </w:p>
    <w:bookmarkEnd w:id="101"/>
    <w:bookmarkStart w:id="102" w:name="ref-Lipo2016"/>
    <w:p>
      <w:pPr>
        <w:pStyle w:val="Bibliography"/>
      </w:pPr>
      <w:r>
        <w:t xml:space="preserve">Lipo, C.P., Hunt, T.L., Horneman, R., Bonhomme, V., 2016. Weapons of war? Rapa nui mata’a morphometric analyses. Antiquity 90, 172–187.</w:t>
      </w:r>
    </w:p>
    <w:bookmarkEnd w:id="102"/>
    <w:bookmarkStart w:id="10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3"/>
    <w:bookmarkStart w:id="104" w:name="ref-Lycett2008"/>
    <w:p>
      <w:pPr>
        <w:pStyle w:val="Bibliography"/>
      </w:pPr>
      <w:r>
        <w:t xml:space="preserve">Lycett, S.J., Gowlett, J.A., 2008. On questions surrounding the Acheulean “tradition”. World Archaeology 40, 295–315.</w:t>
      </w:r>
    </w:p>
    <w:bookmarkEnd w:id="104"/>
    <w:bookmarkStart w:id="10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5">
        <w:r>
          <w:rPr>
            <w:rStyle w:val="Hyperlink"/>
          </w:rPr>
          <w:t xml:space="preserve">https://doi.org/10.1007/s10816-015-9272-9</w:t>
        </w:r>
      </w:hyperlink>
    </w:p>
    <w:bookmarkEnd w:id="106"/>
    <w:bookmarkStart w:id="107" w:name="ref-Marwick2018"/>
    <w:p>
      <w:pPr>
        <w:pStyle w:val="Bibliography"/>
      </w:pPr>
      <w:r>
        <w:t xml:space="preserve">Marwick, B., Boettiger, C., Mullen, L., 2018. Packaging data analytical work reproducibly using R (and friends). The American Statistician 72, 80–88.</w:t>
      </w:r>
    </w:p>
    <w:bookmarkEnd w:id="107"/>
    <w:bookmarkStart w:id="108" w:name="ref-Marwick2019"/>
    <w:p>
      <w:pPr>
        <w:pStyle w:val="Bibliography"/>
      </w:pPr>
      <w:r>
        <w:t xml:space="preserve">Marwick, B., Krishnamoorthy, K., 2019. Cvequality: Tests for the equality of coefficients of variation from multiple groups.</w:t>
      </w:r>
    </w:p>
    <w:bookmarkEnd w:id="108"/>
    <w:bookmarkStart w:id="109" w:name="ref-Meloro2015"/>
    <w:p>
      <w:pPr>
        <w:pStyle w:val="Bibliography"/>
      </w:pPr>
      <w:r>
        <w:t xml:space="preserve">Meloro, C., Hudson, A., Rook, L., 2015. Feeding habits of extant and fossil canids as determined by their skull geometry. Journal of Zoology 295, 178–188.</w:t>
      </w:r>
    </w:p>
    <w:bookmarkEnd w:id="109"/>
    <w:bookmarkStart w:id="110" w:name="ref-Mullins2011"/>
    <w:p>
      <w:pPr>
        <w:pStyle w:val="Bibliography"/>
      </w:pPr>
      <w:r>
        <w:t xml:space="preserve">Mullins, P.R., 2011. The archaeology of consumption. Annual Review of Anthropology 40, 133–144.</w:t>
      </w:r>
    </w:p>
    <w:bookmarkEnd w:id="110"/>
    <w:bookmarkStart w:id="111" w:name="ref-Nakamura1938"/>
    <w:p>
      <w:pPr>
        <w:pStyle w:val="Bibliography"/>
      </w:pPr>
      <w:r>
        <w:t xml:space="preserve">Nakamura, 1938. Ranzin zidai no genbasya hoxukou biyao [The Dutch cencus record for Indigenous peoples in Taiwan]. Southern Anthropological Studies 4, 12.</w:t>
      </w:r>
    </w:p>
    <w:bookmarkEnd w:id="111"/>
    <w:bookmarkStart w:id="112"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2"/>
    <w:bookmarkStart w:id="113"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3"/>
    <w:bookmarkStart w:id="114"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4"/>
    <w:bookmarkStart w:id="115"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5"/>
    <w:bookmarkStart w:id="116" w:name="ref-Perez2007"/>
    <w:p>
      <w:pPr>
        <w:pStyle w:val="Bibliography"/>
      </w:pPr>
      <w:r>
        <w:t xml:space="preserve">Perez, S.I., 2007. Artificial cranial deformation in South America: A geometric morphometrics approximation. Journal of Archaeological Science 34, 1649–1658.</w:t>
      </w:r>
    </w:p>
    <w:bookmarkEnd w:id="116"/>
    <w:bookmarkStart w:id="117"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7"/>
    <w:bookmarkStart w:id="118" w:name="ref-Rlanguage2019"/>
    <w:p>
      <w:pPr>
        <w:pStyle w:val="Bibliography"/>
      </w:pPr>
      <w:r>
        <w:t xml:space="preserve">R Core Team, 2019. R: A language and environment for statistical computing. R Foundation for Statistical Computing, Vienna, Austria.</w:t>
      </w:r>
    </w:p>
    <w:bookmarkEnd w:id="118"/>
    <w:bookmarkStart w:id="119"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9"/>
    <w:bookmarkStart w:id="120"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20"/>
    <w:bookmarkStart w:id="121" w:name="ref-Roux2003"/>
    <w:p>
      <w:pPr>
        <w:pStyle w:val="Bibliography"/>
      </w:pPr>
      <w:r>
        <w:t xml:space="preserve">Roux, V., 2003. Ceramic standardization and intensity of production: Quantifying degrees of specialization. American Antiquity 68, 768–782.</w:t>
      </w:r>
    </w:p>
    <w:bookmarkEnd w:id="121"/>
    <w:bookmarkStart w:id="122"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2"/>
    <w:bookmarkStart w:id="123" w:name="ref-Scaramelli2005"/>
    <w:p>
      <w:pPr>
        <w:pStyle w:val="Bibliography"/>
      </w:pPr>
      <w:r>
        <w:t xml:space="preserve">Scaramelli, F., Scaramelli, K.T. de, 2005. The roles of material culture in the colonization of the Orinoco, Venezuela. Journal of Social Archaeology 5, 135–168.</w:t>
      </w:r>
    </w:p>
    <w:bookmarkEnd w:id="123"/>
    <w:bookmarkStart w:id="124"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4"/>
    <w:bookmarkStart w:id="125" w:name="ref-Selden2019"/>
    <w:p>
      <w:pPr>
        <w:pStyle w:val="Bibliography"/>
      </w:pPr>
      <w:r>
        <w:t xml:space="preserve">Selden Jr, R.Z., 2019. Ceramic morphological organisation in the Southern Caddo Area: The Clarence H. Webb collections. Journal of Cultural Heritage 35, 41–55.</w:t>
      </w:r>
    </w:p>
    <w:bookmarkEnd w:id="125"/>
    <w:bookmarkStart w:id="126"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6"/>
    <w:bookmarkStart w:id="127"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7"/>
    <w:bookmarkStart w:id="128" w:name="ref-Silliman2001"/>
    <w:p>
      <w:pPr>
        <w:pStyle w:val="Bibliography"/>
      </w:pPr>
      <w:r>
        <w:t xml:space="preserve">Silliman, S., 2001. Agency, practical politics and the archaeology of culture contact. Journal of Social Archaeology 1, 190–209.</w:t>
      </w:r>
    </w:p>
    <w:bookmarkEnd w:id="128"/>
    <w:bookmarkStart w:id="129" w:name="ref-Silliman2005"/>
    <w:p>
      <w:pPr>
        <w:pStyle w:val="Bibliography"/>
      </w:pPr>
      <w:r>
        <w:t xml:space="preserve">Silliman, S.W., 2005. Culture contact or colonialism? Challenges in the archaeology of native North America. American Antiquity 70, 55–74.</w:t>
      </w:r>
    </w:p>
    <w:bookmarkEnd w:id="129"/>
    <w:bookmarkStart w:id="130" w:name="ref-Slice2007"/>
    <w:p>
      <w:pPr>
        <w:pStyle w:val="Bibliography"/>
      </w:pPr>
      <w:r>
        <w:t xml:space="preserve">Slice, D.E., 2007. Geometric morphometrics. Annu. Rev. Anthropol. 36, 261–281.</w:t>
      </w:r>
    </w:p>
    <w:bookmarkEnd w:id="130"/>
    <w:bookmarkStart w:id="131"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1"/>
    <w:bookmarkStart w:id="132"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2"/>
    <w:bookmarkStart w:id="133" w:name="ref-Tite1999"/>
    <w:p>
      <w:pPr>
        <w:pStyle w:val="Bibliography"/>
      </w:pPr>
      <w:r>
        <w:t xml:space="preserve">Tite, M.S., 1999. Pottery production, distribution, and consumption—the contribution of the physical sciences. Journal of Archaeological Method and Theory 6, 181–233.</w:t>
      </w:r>
    </w:p>
    <w:bookmarkEnd w:id="133"/>
    <w:bookmarkStart w:id="134" w:name="ref-Topi2017"/>
    <w:p>
      <w:pPr>
        <w:pStyle w:val="Bibliography"/>
      </w:pPr>
      <w:r>
        <w:t xml:space="preserve">Topi, J.R., VanPool, C.S., Waller, K.D., VanPool, T.L., 2017. The economy of specialized ceramic craft production in the Casas Grandes region. Latin American Antiquity 29, 122–142.</w:t>
      </w:r>
    </w:p>
    <w:bookmarkEnd w:id="134"/>
    <w:bookmarkStart w:id="135"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5"/>
    <w:bookmarkStart w:id="136"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6"/>
    <w:bookmarkStart w:id="137" w:name="ref-Trabert2017"/>
    <w:p>
      <w:pPr>
        <w:pStyle w:val="Bibliography"/>
      </w:pPr>
      <w:r>
        <w:t xml:space="preserve">Trabert, S., 2017. Considering the indirect effects of colonialism: Example from a Great Plains middle ground. Journal of Anthropological Archaeology 48, 17–27.</w:t>
      </w:r>
    </w:p>
    <w:bookmarkEnd w:id="137"/>
    <w:bookmarkStart w:id="138" w:name="ref-Voss2008"/>
    <w:p>
      <w:pPr>
        <w:pStyle w:val="Bibliography"/>
      </w:pPr>
      <w:r>
        <w:t xml:space="preserve">Voss, B.L., 2008. Between the household and the world system: Social collectivity and community agency in Overseas Chinese archaeology. Historical Archaeology 42, 37–52.</w:t>
      </w:r>
    </w:p>
    <w:bookmarkEnd w:id="138"/>
    <w:bookmarkStart w:id="139" w:name="ref-Voss2005"/>
    <w:p>
      <w:pPr>
        <w:pStyle w:val="Bibliography"/>
      </w:pPr>
      <w:r>
        <w:t xml:space="preserve">Voss, B.L., 2005. From Casta to Californio: Social identity and the archaeology of culture contact. American Anthropologist 107, 461–474.</w:t>
      </w:r>
    </w:p>
    <w:bookmarkEnd w:id="139"/>
    <w:bookmarkStart w:id="140" w:name="ref-Wang2011"/>
    <w:p>
      <w:pPr>
        <w:pStyle w:val="Bibliography"/>
      </w:pPr>
      <w:r>
        <w:t xml:space="preserve">Wang, L.-Y., 2011. Yilan qi wu lan yi zhi chu tu zhuang shi pin zhi xiang guan yan jiu [A research of ornaments excavated at Ki-Wu-Lan site, I-lan] (Master’s thesis).</w:t>
      </w:r>
    </w:p>
    <w:bookmarkEnd w:id="140"/>
    <w:bookmarkStart w:id="141"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1"/>
    <w:bookmarkStart w:id="142"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2"/>
    <w:bookmarkStart w:id="143" w:name="ref-Wills2001"/>
    <w:p>
      <w:pPr>
        <w:pStyle w:val="Bibliography"/>
      </w:pPr>
      <w:r>
        <w:t xml:space="preserve">Wills, M.A., 2001. Morphological disparity: A primer, in: Adrain, E., Jonathan M. (Ed.), Fossils, Phylogeny, and Form. Springer, pp. 55–144.</w:t>
      </w:r>
    </w:p>
    <w:bookmarkEnd w:id="143"/>
    <w:bookmarkStart w:id="144"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4"/>
    <w:bookmarkEnd w:id="145"/>
    <w:p>
      <w:pPr>
        <w:pStyle w:val="Heading5"/>
      </w:pPr>
      <w:bookmarkStart w:id="146" w:name="pagebreak-1"/>
      <w:r>
        <w:t xml:space="preserve">pagebreak</w:t>
      </w:r>
      <w:bookmarkEnd w:id="146"/>
    </w:p>
    <w:p>
      <w:pPr>
        <w:pStyle w:val="Heading3"/>
      </w:pPr>
      <w:bookmarkStart w:id="147" w:name="colophon"/>
      <w:r>
        <w:t xml:space="preserve">Colophon</w:t>
      </w:r>
      <w:bookmarkEnd w:id="147"/>
    </w:p>
    <w:p>
      <w:pPr>
        <w:pStyle w:val="FirstParagraph"/>
      </w:pPr>
      <w:r>
        <w:t xml:space="preserve">This report was generated on 2020-08-22 07:53:31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2020-08-22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3.0-9      2020-08-11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1.13.0     2020-07-24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2.3.1      2020-07-21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1.0.2      2020-08-18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1.1.0      2020-07-13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1.3.4      2020-08-11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3.3-13     2020-07-17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0.3.6      2020-07-25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0.9-5      2020-07-14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1.1.1      2020-07-31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0.16       2020-07-24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document/LW-Papers/kwl-pottery-2019</w:t>
      </w:r>
      <w:r>
        <w:br/>
      </w:r>
      <w:r>
        <w:rPr>
          <w:rStyle w:val="VerbatimChar"/>
        </w:rPr>
        <w:t xml:space="preserve">#&gt; Remote:   master @ origin (https://github.com/LiYingWang/kwl.pottery.git)</w:t>
      </w:r>
      <w:r>
        <w:br/>
      </w:r>
      <w:r>
        <w:rPr>
          <w:rStyle w:val="VerbatimChar"/>
        </w:rPr>
        <w:t xml:space="preserve">#&gt; Head:     [8a7248d] 2020-08-22: added a reference and text for it</w:t>
      </w:r>
    </w:p>
    <w:p>
      <w:pPr>
        <w:pStyle w:val="FirstParagraph"/>
      </w:pPr>
      <w:r>
        <w:t xml:space="preserve">Word count: 6214</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5"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2020-08-22T14:53:46Z</dcterms:created>
  <dcterms:modified xsi:type="dcterms:W3CDTF">2020-08-22T14:53:46Z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22 August,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