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4.png" ContentType="image/png"/>
  <Override PartName="/word/media/rId36.png" ContentType="image/png"/>
  <Override PartName="/word/media/rId24.jpg" ContentType="image/jpeg"/>
  <Override PartName="/word/media/rId33.png" ContentType="image/png"/>
  <Override PartName="/word/media/rId23.jpg" ContentType="image/jpe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shape</w:t>
      </w:r>
      <w:r>
        <w:t xml:space="preserve"> </w:t>
      </w:r>
      <w:r>
        <w:t xml:space="preserve">standardization</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22</w:t>
      </w:r>
      <w:r>
        <w:t xml:space="preserve"> </w:t>
      </w:r>
      <w:r>
        <w:t xml:space="preserve">April,</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that is often linked to social change in small-scale societies is colonial settlers introducing foreign trade goods to local Indigenous societies. The monopolization of long-distance trade goods has caused substantial transformations of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often short-lived and unsuccessful, but their commercial activities had economic and political impacts on Indigenous peoples living on the periphery of colonial control</w:t>
      </w:r>
      <w:r>
        <w:t xml:space="preserve"> </w:t>
      </w:r>
      <w:r>
        <w:t xml:space="preserve">(Acabado, 2017; Trabert, 2017)</w:t>
      </w:r>
      <w:r>
        <w:t xml:space="preserve">. Pericolonial situations were common during the seventeenth to nineteenth centuries in East and Southeast Asia where European trading activity was extensive, but direct European rule less widespread. An emerging priority in archaeological research in this region is identifying the indirect influences are apparent on Indigenous communities during this time. For example,</w:t>
      </w:r>
      <w:r>
        <w:t xml:space="preserve"> </w:t>
      </w:r>
      <w:r>
        <w:t xml:space="preserve">Acabado (2017)</w:t>
      </w:r>
      <w:r>
        <w:t xml:space="preserve">’s study of Ifugao society in the Philippines highland suggests economic and political intensification during the Spanish presence as the response of Indigenous peoples to the Spanish cooptation.</w:t>
      </w:r>
    </w:p>
    <w:p>
      <w:pPr>
        <w:pStyle w:val="BodyText"/>
      </w:pPr>
      <w:r>
        <w:t xml:space="preserve">Indigenous societies’ responses to colonial contact range from passive acceptance through to active negotiation with the colonists, and accommodation or resistance of foreign intrusion. These responses can be identified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investigate the archaeology of a pericolonial situation at Kiwulan (1350-1850 AD), a large multi-component archaeological site in Yilan County, northeastern Taiwan</w:t>
      </w:r>
      <w:r>
        <w:t xml:space="preserve"> </w:t>
      </w:r>
      <w:r>
        <w:t xml:space="preserve">(Chen, 2007)</w:t>
      </w:r>
      <w:r>
        <w:t xml:space="preserve">, to identify the indirect impacts of colonial settler activity on local Indigenous societies. Yilan is an ideal context to study peripheral colonial influences because Indigenous communities there were isolated by geographical barriers that limited the frequency of direct contact with the Spanish and the Dutch settlers in northern Taiwan. Kiwulan is situated on a hill near a riverside at the northern margin of Yilan County, which is characterized by a triangular alluvial plain facing eastwards the Pacific with high mountains on three other sides.</w:t>
      </w:r>
    </w:p>
    <w:p>
      <w:pPr>
        <w:pStyle w:val="BodyText"/>
      </w:pPr>
      <w:r>
        <w:t xml:space="preserve">Our specific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We predict that competition within the Indigenous community at Kiwulan for foreign resources and trade partnerships with European or Chinese colonizers may have led to the emergence of craft specialization caused by greater economic and social control of pottery production by a small group of individuals. Using pottery shape as a proxy to study craft specialization, we ask: Did colonial trade impact the shape of locally-produced Indigenous pottery vessels? Did pottery shape become more homogeneous and standardized after foreign contacts with European colonizers or Chinese immigrants?</w:t>
      </w:r>
    </w:p>
    <w:p>
      <w:pPr>
        <w:pStyle w:val="BodyText"/>
      </w:pPr>
      <w:r>
        <w:t xml:space="preserve">Several measurements have been used for investigating ceramic standardization, such as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because of the ease of collecting these data. The coefficient of variation statistic is commonly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pottery shape using geometric morphometric methods.</w:t>
      </w:r>
    </w:p>
    <w:p>
      <w:pPr>
        <w:pStyle w:val="Heading2"/>
      </w:pPr>
      <w:bookmarkStart w:id="21" w:name="geometric-morphometry"/>
      <w:r>
        <w:t xml:space="preserve">Geometric Morphometry</w:t>
      </w:r>
      <w:bookmarkEnd w:id="21"/>
    </w:p>
    <w:p>
      <w:pPr>
        <w:pStyle w:val="FirstParagraph"/>
      </w:pPr>
      <w:r>
        <w:t xml:space="preserve">Geometric morphometrics differs from traditional linear measurements through its use of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Landmark-based morphometrics are widely applied to archaeological objects with obvious morphological features that can provide unambiguous reference points for landmark placement, such as projectile point tips or visually distinctive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a key limitation of the landmark approach is that landmarks may be difficult to reproducibly locate 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that is commonly applied to two-dimensional closed shapes is elliptic Fourier Analysis (EFA), that converts coordinates along a curve into Fourier function coefficients, called harmonic coefficients</w:t>
      </w:r>
      <w:r>
        <w:t xml:space="preserve"> </w:t>
      </w:r>
      <w:r>
        <w:t xml:space="preserve">(Kuhl and Giardina, 1982)</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EFA is suitable for shapes lacking representative landmarks or where curves contain the most meaningful variation. Applications in archaeology include human remains and zooarchaeology, stone artifacts, and ceramics</w:t>
      </w:r>
      <w:r>
        <w:t xml:space="preserve"> </w:t>
      </w:r>
      <w:r>
        <w:t xml:space="preserve">(Fox, 2015; Hoggard et al., 2019; Ioviţă, 2010; Selden Jr, 2019; Topi et al., 2018; Wilczek et al., 2014)</w:t>
      </w:r>
      <w:r>
        <w:t xml:space="preserve">. 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paper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at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1850, covering the late Iron Age and the historical period, which we define as the European occupation in Taiwan in the early 17th century. The Dutch first occupied southern Taiwan in 1624 and then the Spanish occupied northern Taiwan in 1626</w:t>
      </w:r>
      <w:r>
        <w:t xml:space="preserve"> </w:t>
      </w:r>
      <w:r>
        <w:t xml:space="preserve">(Andrade, 2007)</w:t>
      </w:r>
      <w:r>
        <w:t xml:space="preserve">.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with Europeans and Chinese merchants. In addition to artifacts,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the pre-European, European, and Chinese periods. We identified these phases using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used by the Chinese in the 19th century</w:t>
      </w:r>
      <w:r>
        <w:t xml:space="preserve"> </w:t>
      </w:r>
      <w:r>
        <w:t xml:space="preserve">(Chen, 2007; Hsieh, 2009; Wang, 2011)</w:t>
      </w:r>
      <w:r>
        <w:t xml:space="preserve">. The deposit shows signs of continuous human occupation during each of the three phases across the sampling area.</w:t>
      </w:r>
    </w:p>
    <w:p>
      <w:pPr>
        <w:pStyle w:val="BodyText"/>
      </w:pPr>
      <w:r>
        <w:t xml:space="preserve">The most abundant artifacts in the upper component are locally made ceramics, which are distributed throughout the sequence and across the site. More than 550,000 sherds were excavated, and around 1,200 vessels could be partially reconstructed (i.e. complete rim, or complete base). There are only two forms of local vessels, a cooking pot and a steamer made of two cooking pots stacked together with a clay filter layer in between. Those pots forms show high consistency in shape. They have a globular body with a short neck and wide mouth (Figure</w:t>
      </w:r>
      <w:r>
        <w:t xml:space="preserve"> </w:t>
      </w:r>
      <w:r>
        <w:t xml:space="preserve">3</w:t>
      </w:r>
      <w:r>
        <w:t xml:space="preserve">). The exterior surface below the neck is decorated with a wide variety of impressed geometric motifs. These vessels were probably used for cooking, with evidence of charred residues and carbon deposits frequently observed on vessel interiors and soot on their exteriors.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pPr>
        <w:pStyle w:val="BodyText"/>
      </w:pPr>
      <w:r>
        <w:t xml:space="preserve">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There are no substantial changes in the inclusions over time, indicating continuity in pottery fabric composition across the three periods.</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EmilyWang/Desktop/School%20document/LW-Paper/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We used all 73 vessels that could be reconstructed with rim, body and base parts and securely provenanced to pre-contact contexts (n = 32), post-European contexts (n = 27), and Chinese contact contexts (n = 14) for elliptic Fourier analysis.</w:t>
      </w:r>
    </w:p>
    <w:p>
      <w:pPr>
        <w:pStyle w:val="Heading2"/>
      </w:pPr>
      <w:bookmarkStart w:id="27" w:name="digitizing-and-analyzing-by-efa"/>
      <w:r>
        <w:t xml:space="preserve">Digitizing and analyzing by EFA</w:t>
      </w:r>
      <w:bookmarkEnd w:id="27"/>
    </w:p>
    <w:p>
      <w:pPr>
        <w:pStyle w:val="FirstParagraph"/>
      </w:pPr>
      <w:r>
        <w:t xml:space="preserve">We used scans of pottery drawings (Figure</w:t>
      </w:r>
      <w:r>
        <w:t xml:space="preserve"> </w:t>
      </w:r>
      <w:r>
        <w:t xml:space="preserve">3</w:t>
      </w:r>
      <w:r>
        <w:t xml:space="preserve">) acquired from the Bureau of Cultural Affairs in Yilan. All drawings present a two-dimensional view of vessel cross-sections with indications of metric measurements. The scanned drawings were imported into Inkscape (</w:t>
      </w:r>
      <w:hyperlink r:id="rId28">
        <w:r>
          <w:rPr>
            <w:rStyle w:val="Hyperlink"/>
          </w:rPr>
          <w:t xml:space="preserve">http://inkscape.org</w:t>
        </w:r>
      </w:hyperlink>
      <w:r>
        <w:t xml:space="preserve">) where outlines were traced manually. Where only half cross-section images were available, these were duplicated, flipped, and then joined with another one to create a 2D closed outline for each vessel. Geometric morphometric analyses were conducted using the R software (R Core Team, 2019) and the functions included in the Momocs, a R package intended to quantify and analyze shapes</w:t>
      </w:r>
      <w:r>
        <w:t xml:space="preserve"> </w:t>
      </w:r>
      <w:r>
        <w:t xml:space="preserve">(Bonhomme et al., 2014)</w:t>
      </w:r>
      <w:r>
        <w:t xml:space="preserve">. The digilized outlines were converted into a list of successive xy pixel coordinates for elliptic Fourier analysis (EFA). The harmonic coefficients generated by EFA were analyzed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us to directly compare variation in samples measured with different units or means. This is useful to compare the degree of standardization for archaeological assembles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0 and 1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pots to explore whether their distribution is significantly clustered or dispersed.</w:t>
      </w:r>
    </w:p>
    <w:p>
      <w:pPr>
        <w:pStyle w:val="Heading1"/>
      </w:pPr>
      <w:bookmarkStart w:id="30" w:name="reproducibility-and-open-source-materials"/>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found that 13 harmonics captured 99% of the total harmonic power in our elliptic Fourier coefficients of 73 vessels from three phases. Figure</w:t>
      </w:r>
      <w:r>
        <w:t xml:space="preserve"> </w:t>
      </w:r>
      <w:r>
        <w:t xml:space="preserve">4</w:t>
      </w:r>
      <w:r>
        <w:t xml:space="preserve"> </w:t>
      </w:r>
      <w:r>
        <w:t xml:space="preserve">shows vessel shape changes described using thin-plate spline warping for paired periods, pre- and post-European periods, and post-European and Chinese periods, with the most greatest differences between pre-European and Chinese periods.</w:t>
      </w:r>
    </w:p>
    <w:p>
      <w:pPr>
        <w:pStyle w:val="BodyText"/>
      </w:pPr>
      <w:r>
        <w:t xml:space="preserve">The first two principal components (PCs) of the PCA on the elliptic Fourier coefficients explain 74.85% of the total variance, of which 48.32% is explained by the first principle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of the neck, from a curved to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2476500"/>
            <wp:effectExtent b="0" l="0" r="0" t="0"/>
            <wp:docPr descr="Figure 4: Left: Comparison of average vessel shapes across phases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Comparison of average vessel shapes across phases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Comnparison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our three occupation phases. Table</w:t>
      </w:r>
      <w:r>
        <w:t xml:space="preserve"> </w:t>
      </w:r>
      <w:r>
        <w:t xml:space="preserve">1</w:t>
      </w:r>
      <w:r>
        <w:t xml:space="preserve"> </w:t>
      </w:r>
      <w:r>
        <w:t xml:space="preserve">shows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Although there is considerable overlap of shape variables between the Pre-European and Post-European phases, their PC scores are significantly different from each other. There is little difference between vessel shapes in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5</w:t>
      </w:r>
      <w:r>
        <w:t xml:space="preserve">). The first PC, capturing vessel height and roundness,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w:t>
      </w:r>
    </w:p>
    <w:p>
      <w:pPr>
        <w:pStyle w:val="BodyText"/>
      </w:pPr>
      <w:r>
        <w:t xml:space="preserve">To see whether the differences in the distribution of PCs between any two phases are substantive or due to chance, we used a modified signed-likelihood ratio test to assess the equality of CVs</w:t>
      </w:r>
      <w:r>
        <w:t xml:space="preserve"> </w:t>
      </w:r>
      <w:r>
        <w:t xml:space="preserve">(Krishnamoorthy and Lee, 2014; Marwick and Krishnamoorthy, n.d.)</w:t>
      </w:r>
      <w:r>
        <w:t xml:space="preserve">. P-values for this significance test of CVs for PC1 and PC2 show significant differences in the standardization of vessel shapes across periods, especially between Chinese contact with either pre-European or post-European (Figure</w:t>
      </w:r>
      <w:r>
        <w:t xml:space="preserve"> </w:t>
      </w:r>
      <w:r>
        <w:t xml:space="preserve">5</w:t>
      </w:r>
      <w:r>
        <w:t xml:space="preserve">, Table</w:t>
      </w:r>
      <w:r>
        <w:t xml:space="preserve"> </w:t>
      </w:r>
      <w:r>
        <w:t xml:space="preserve">2</w:t>
      </w:r>
      <w:r>
        <w:t xml:space="preserve">). A significant difference was also detected between the pre-European and post-European periods.</w:t>
      </w:r>
    </w:p>
    <w:p>
      <w:pPr>
        <w:pStyle w:val="CaptionedFigure"/>
      </w:pPr>
      <w:r>
        <w:drawing>
          <wp:inline>
            <wp:extent cx="5943600" cy="4754880"/>
            <wp:effectExtent b="0" l="0" r="0" t="0"/>
            <wp:docPr descr="Figure 5: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PC scores by phases</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0.0418</w:t>
            </w:r>
          </w:p>
        </w:tc>
        <w:tc>
          <w:p>
            <w:pPr>
              <w:pStyle w:val="Compact"/>
              <w:jc w:val="right"/>
            </w:pPr>
            <w:r>
              <w:t xml:space="preserve">0.8380</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8.8094</w:t>
            </w:r>
          </w:p>
        </w:tc>
        <w:tc>
          <w:p>
            <w:pPr>
              <w:pStyle w:val="Compact"/>
              <w:jc w:val="right"/>
            </w:pPr>
            <w:r>
              <w:t xml:space="preserve">0.0030</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6.8179</w:t>
            </w:r>
          </w:p>
        </w:tc>
        <w:tc>
          <w:p>
            <w:pPr>
              <w:pStyle w:val="Compact"/>
              <w:jc w:val="right"/>
            </w:pPr>
            <w:r>
              <w:t xml:space="preserve">0.0090</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0.1182</w:t>
            </w:r>
          </w:p>
        </w:tc>
        <w:tc>
          <w:p>
            <w:pPr>
              <w:pStyle w:val="Compact"/>
              <w:jc w:val="right"/>
            </w:pPr>
            <w:r>
              <w:t xml:space="preserve">0.7310</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0.2558</w:t>
            </w:r>
          </w:p>
        </w:tc>
        <w:tc>
          <w:p>
            <w:pPr>
              <w:pStyle w:val="Compact"/>
              <w:jc w:val="right"/>
            </w:pPr>
            <w:r>
              <w:t xml:space="preserve">0.6130</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0.0074</w:t>
            </w:r>
          </w:p>
        </w:tc>
        <w:tc>
          <w:p>
            <w:pPr>
              <w:pStyle w:val="Compact"/>
              <w:jc w:val="right"/>
            </w:pPr>
            <w:r>
              <w:t xml:space="preserve">0.9314</w:t>
            </w:r>
          </w:p>
        </w:tc>
        <w:tc>
          <w:p>
            <w:pPr>
              <w:pStyle w:val="Compact"/>
              <w:jc w:val="left"/>
            </w:pPr>
            <w:r>
              <w:t xml:space="preserve">Chinese Contact vs Post-European</w:t>
            </w:r>
          </w:p>
        </w:tc>
      </w:tr>
    </w:tbl>
    <w:p>
      <w:pPr>
        <w:pStyle w:val="Heading1"/>
      </w:pPr>
      <w:bookmarkStart w:id="35" w:name="discussion"/>
      <w:r>
        <w:t xml:space="preserve">Discussion</w:t>
      </w:r>
      <w:bookmarkEnd w:id="35"/>
    </w:p>
    <w:p>
      <w:pPr>
        <w:pStyle w:val="FirstParagraph"/>
      </w:pPr>
      <w:r>
        <w:t xml:space="preserve">Previous investigations at Kiwulan have suggested an unequal distribution of prestige goods, trade ornaments specifically, following the appearance of Europeans</w:t>
      </w:r>
      <w:r>
        <w:t xml:space="preserve"> </w:t>
      </w:r>
      <w:r>
        <w:t xml:space="preserve">(Cheng, 2008; Wang, 2011)</w:t>
      </w:r>
      <w:r>
        <w:t xml:space="preserve">, hinting at an emergence of social inequality in the Indigenous community. We have examined ceramic vessel shape standardization to measure craft specialization as a proxy for social differentiation</w:t>
      </w:r>
      <w:r>
        <w:t xml:space="preserve"> </w:t>
      </w:r>
      <w:r>
        <w:t xml:space="preserve">(Costin, 2001; Junker, 1999)</w:t>
      </w:r>
      <w:r>
        <w:t xml:space="preserve">. 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leading to an oval-shaped body.</w:t>
      </w:r>
    </w:p>
    <w:p>
      <w:pPr>
        <w:pStyle w:val="BodyText"/>
      </w:pPr>
      <w:r>
        <w:t xml:space="preserve">Our CV tests indicate that there are significant differences in shape standardization between the pre-European period and post-European period, and between the Chinese contact and either pre-European or post-European periods. Pottery shape became more homogeneous and standardized after contact with Europeans and even more so after contact with the Chinese.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w:t>
      </w:r>
    </w:p>
    <w:p>
      <w:pPr>
        <w:pStyle w:val="BodyText"/>
      </w:pPr>
      <w:r>
        <w:t xml:space="preserve">The spatial analysis (Figure</w:t>
      </w:r>
      <w:r>
        <w:t xml:space="preserve"> </w:t>
      </w:r>
      <w:r>
        <w:t xml:space="preserve">6</w:t>
      </w:r>
      <w:r>
        <w:t xml:space="preserve">) for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clustered pattern will be observed with an increase in pottery standardization since the emergence of specialized groups.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Although the overall number of vessels is smaller during the Chinese contact period, Figure</w:t>
      </w:r>
      <w:r>
        <w:t xml:space="preserve"> </w:t>
      </w:r>
      <w:r>
        <w:t xml:space="preserve">6</w:t>
      </w:r>
      <w:r>
        <w:t xml:space="preserve"> </w:t>
      </w:r>
      <w:r>
        <w:t xml:space="preserve">shows that pottery is distributed randomly across the sampling area without any distinctive clusters during this time. This suggests that differences in population across our three occupation phases are probably not driving variation in craft specialization.</w:t>
      </w:r>
    </w:p>
    <w:p>
      <w:pPr>
        <w:pStyle w:val="CaptionedFigure"/>
      </w:pPr>
      <w:r>
        <w:drawing>
          <wp:inline>
            <wp:extent cx="5943600" cy="4754880"/>
            <wp:effectExtent b="0" l="0" r="0" t="0"/>
            <wp:docPr descr="Figure 6: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7: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7"/>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7: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complexity resulting from foreign contact at Kiwulan will need support from multiple and diverse sources of evidence that are beyond the scope of this paper. We find vessel shapes were more standardized in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We recognize that the shape variation reported here is subtle, and this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w:t>
      </w:r>
      <w:r>
        <w:t xml:space="preserve"> </w:t>
      </w:r>
      <w:r>
        <w:t xml:space="preserve">(Voss, 2005)</w:t>
      </w:r>
      <w:r>
        <w:t xml:space="preserve">. It is also important to recognize that social identity might be more complicated in a colonial context, and may be more than a colonized–colonizer or local/foreign dichotomy</w:t>
      </w:r>
      <w:r>
        <w:t xml:space="preserve"> </w:t>
      </w:r>
      <w:r>
        <w:t xml:space="preserve">(Voss, 2008, 2005)</w:t>
      </w:r>
      <w:r>
        <w:t xml:space="preserve">.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 as an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pPr>
        <w:pStyle w:val="Heading1"/>
      </w:pPr>
      <w:bookmarkStart w:id="38" w:name="conclusion"/>
      <w:r>
        <w:t xml:space="preserve">Conclusion</w:t>
      </w:r>
      <w:bookmarkEnd w:id="38"/>
    </w:p>
    <w:p>
      <w:pPr>
        <w:pStyle w:val="FirstParagraph"/>
      </w:pPr>
      <w:r>
        <w:t xml:space="preserve">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 large Iron Age Indigenous settlement in northeastern Taiwan. Lower variation in ceramic shape was identified after European presence began, and even lower variation during the period of Chinese presence. Our findings help to understand the factors that may lead to standardization of pottery production in a pericolonial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39" w:name="acknowledgments"/>
      <w:r>
        <w:t xml:space="preserve">Acknowledgments</w:t>
      </w:r>
      <w:bookmarkEnd w:id="39"/>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16" w:name="refs"/>
    <w:bookmarkStart w:id="42"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2"/>
    <w:bookmarkStart w:id="43" w:name="ref-Adams2004"/>
    <w:p>
      <w:pPr>
        <w:pStyle w:val="BodyText"/>
      </w:pPr>
      <w:r>
        <w:t xml:space="preserve">Adams, D.C., Rohlf, F.J., Slice, D.E., 2004. Geometric morphometrics: Ten years of progress following the “revolution”. Italian Journal of Zoology 71, 5–16.</w:t>
      </w:r>
    </w:p>
    <w:bookmarkEnd w:id="43"/>
    <w:bookmarkStart w:id="44" w:name="ref-Andrade2007"/>
    <w:p>
      <w:pPr>
        <w:pStyle w:val="BodyText"/>
      </w:pPr>
      <w:r>
        <w:t xml:space="preserve">Andrade, T., 2007. How Taiwan became chinese : Dutch, spanish, and han colonization in the seventeenth century. Columbia University Press, New York.</w:t>
      </w:r>
    </w:p>
    <w:bookmarkEnd w:id="44"/>
    <w:bookmarkStart w:id="45" w:name="ref-Arnold2000"/>
    <w:p>
      <w:pPr>
        <w:pStyle w:val="BodyText"/>
      </w:pPr>
      <w:r>
        <w:t xml:space="preserve">Arnold, D.E., 2000. Does the standardization of ceramic pastes really mean specialization? Journal of Archaeological Method and Theory 7, 333–375.</w:t>
      </w:r>
    </w:p>
    <w:bookmarkEnd w:id="45"/>
    <w:bookmarkStart w:id="46"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6"/>
    <w:bookmarkStart w:id="47"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47"/>
    <w:bookmarkStart w:id="48" w:name="ref-Blanton1996"/>
    <w:p>
      <w:pPr>
        <w:pStyle w:val="BodyText"/>
      </w:pPr>
      <w:r>
        <w:t xml:space="preserve">Blanton, R.E., Feinman, G.M., Kowalewski, S.A., Peregrine, P.N., 1996. A dual-processual theory for the evolution of mesoamerican civilization. Current anthropology 37, 1–14.</w:t>
      </w:r>
    </w:p>
    <w:bookmarkEnd w:id="48"/>
    <w:bookmarkStart w:id="49" w:name="ref-Boness2015"/>
    <w:p>
      <w:pPr>
        <w:pStyle w:val="BodyText"/>
      </w:pPr>
      <w:r>
        <w:t xml:space="preserve">Boness, D., Clarke, J., Goren, Y., 2015. Ceramic neolithic pottery in cyprus—origin, technology and possible implications for social structure and identity. Levant 47, 233–254.</w:t>
      </w:r>
    </w:p>
    <w:bookmarkEnd w:id="49"/>
    <w:bookmarkStart w:id="50" w:name="ref-Bonhomme2014"/>
    <w:p>
      <w:pPr>
        <w:pStyle w:val="BodyText"/>
      </w:pPr>
      <w:r>
        <w:t xml:space="preserve">Bonhomme, V., Picq, S., Gaucherel, C., Claude, J., others, 2014. Momocs: Outline analysis using r. Journal of Statistical Software 56, 1–24.</w:t>
      </w:r>
    </w:p>
    <w:bookmarkEnd w:id="50"/>
    <w:bookmarkStart w:id="51" w:name="ref-Bookstein1997"/>
    <w:p>
      <w:pPr>
        <w:pStyle w:val="BodyText"/>
      </w:pPr>
      <w:r>
        <w:t xml:space="preserve">Bookstein, F.L., 1997. Landmark methods for forms without landmarks: Morphometrics of group differences in outline shape. Medical image analysis 1, 225–243.</w:t>
      </w:r>
    </w:p>
    <w:bookmarkEnd w:id="51"/>
    <w:bookmarkStart w:id="52" w:name="ref-Buchanan2019"/>
    <w:p>
      <w:pPr>
        <w:pStyle w:val="BodyText"/>
      </w:pPr>
      <w:r>
        <w:t xml:space="preserve">Buchanan, B., Collard, M., O’Brien, M.J., 2019. Geometric morphometric analyses support incorporating the goshen point type into plainview. American Antiquity 1–11.</w:t>
      </w:r>
    </w:p>
    <w:bookmarkEnd w:id="52"/>
    <w:bookmarkStart w:id="53" w:name="ref-Cardillo2010"/>
    <w:p>
      <w:pPr>
        <w:pStyle w:val="BodyText"/>
      </w:pPr>
      <w:r>
        <w:t xml:space="preserve">Cardillo, M., 2010. Some applications of geometric morphometrics to archaeology, in: Elewa, A.M.T. (Ed.), Morphometrics for Nonmorphometricians. Springer, pp. 325–341.</w:t>
      </w:r>
    </w:p>
    <w:bookmarkEnd w:id="53"/>
    <w:bookmarkStart w:id="54" w:name="ref-Chen1963"/>
    <w:p>
      <w:pPr>
        <w:pStyle w:val="BodyText"/>
      </w:pPr>
      <w:r>
        <w:t xml:space="preserve">Chen, S., 1963. Kavalan ting zhi [kavalen culture history], taiwan wen xian cong kan di 106 zhong [taiwan literature series: 106]. Economic Research Office, Bank ofTaiwan, Taipei.</w:t>
      </w:r>
    </w:p>
    <w:bookmarkEnd w:id="54"/>
    <w:bookmarkStart w:id="55" w:name="ref-Chen2016"/>
    <w:p>
      <w:pPr>
        <w:pStyle w:val="BodyText"/>
      </w:pPr>
      <w:r>
        <w:t xml:space="preserve">Chen, W.-S., 2016. Tai wan di zhi gai lun [an introduction to the geology of taiwan]. Geological Society Located in Taipei.</w:t>
      </w:r>
    </w:p>
    <w:bookmarkEnd w:id="55"/>
    <w:bookmarkStart w:id="56" w:name="ref-Chen2007"/>
    <w:p>
      <w:pPr>
        <w:pStyle w:val="BodyText"/>
      </w:pPr>
      <w:r>
        <w:t xml:space="preserve">Chen, Y.-p., 2007. Qi wu lan yi zhi qiang jiu fa jue bao gao [report on the archaeological excavations at ki-wu-lan site]. Lanyang museum, Yilan, Taiwan.</w:t>
      </w:r>
    </w:p>
    <w:bookmarkEnd w:id="56"/>
    <w:bookmarkStart w:id="57" w:name="ref-Cheng2008"/>
    <w:p>
      <w:pPr>
        <w:pStyle w:val="BodyText"/>
      </w:pPr>
      <w:r>
        <w:t xml:space="preserve">Cheng, C.-f., 2008. Qi wu lan yi zhi yu she nei yi zhi chu tu bo li zhu de xiang guan yan jiu [studies of glass beads excavated from kivulan and shenei site, Taiwan] (Master’s thesis).</w:t>
      </w:r>
    </w:p>
    <w:bookmarkEnd w:id="57"/>
    <w:bookmarkStart w:id="58" w:name="ref-Chiu2004"/>
    <w:p>
      <w:pPr>
        <w:pStyle w:val="BodyText"/>
      </w:pPr>
      <w:r>
        <w:t xml:space="preserve">Chiu, H.-l., 2004. Investigations of mortuary behaviors and cultural change of the kivulan site in i-lan county, Taiwan (Dissertation).</w:t>
      </w:r>
    </w:p>
    <w:bookmarkEnd w:id="58"/>
    <w:bookmarkStart w:id="59" w:name="ref-Claude2008"/>
    <w:p>
      <w:pPr>
        <w:pStyle w:val="BodyText"/>
      </w:pPr>
      <w:r>
        <w:t xml:space="preserve">Claude, J., 2008. Morphometrics with r. Springer Science &amp; Business Media.</w:t>
      </w:r>
    </w:p>
    <w:bookmarkEnd w:id="59"/>
    <w:bookmarkStart w:id="60" w:name="ref-Costin2001"/>
    <w:p>
      <w:pPr>
        <w:pStyle w:val="BodyText"/>
      </w:pPr>
      <w:r>
        <w:t xml:space="preserve">Costin, C.L., 2001. Craft production systems, in: Archaeology at the Millennium. Springer, pp. 273–327.</w:t>
      </w:r>
    </w:p>
    <w:bookmarkEnd w:id="60"/>
    <w:bookmarkStart w:id="61" w:name="ref-Costin1991"/>
    <w:p>
      <w:pPr>
        <w:pStyle w:val="BodyText"/>
      </w:pPr>
      <w:r>
        <w:t xml:space="preserve">Costin, C.L., 1991. Craft specialization: Issues in defining, documenting, and explaining the organization of production. Archaeological method and theory 1–56.</w:t>
      </w:r>
    </w:p>
    <w:bookmarkEnd w:id="61"/>
    <w:bookmarkStart w:id="62" w:name="ref-Dietler2015"/>
    <w:p>
      <w:pPr>
        <w:pStyle w:val="BodyText"/>
      </w:pPr>
      <w:r>
        <w:t xml:space="preserve">Dietler, M., 2015. Archaeologies of colonialism: Consumption, entanglement, and violence in ancient mediterranean france. Univ of California Press.</w:t>
      </w:r>
    </w:p>
    <w:bookmarkEnd w:id="62"/>
    <w:bookmarkStart w:id="63"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3"/>
    <w:bookmarkStart w:id="64" w:name="ref-Dietler1997"/>
    <w:p>
      <w:pPr>
        <w:pStyle w:val="BodyText"/>
      </w:pPr>
      <w:r>
        <w:t xml:space="preserve">Dietler, M., 1997. The iron age in mediterranean france: Colonial encounters, entanglements, and transformations. Journal of World Prehistory 11, 269–358.</w:t>
      </w:r>
    </w:p>
    <w:bookmarkEnd w:id="64"/>
    <w:bookmarkStart w:id="65" w:name="ref-Eerkens2000"/>
    <w:p>
      <w:pPr>
        <w:pStyle w:val="BodyText"/>
      </w:pPr>
      <w:r>
        <w:t xml:space="preserve">Eerkens, J.W., 2000. Practice makes within 5% of perfect: Visual perception, motor skills, and memory in artifact variation. Current Anthropology 41, 663–668.</w:t>
      </w:r>
    </w:p>
    <w:bookmarkEnd w:id="65"/>
    <w:bookmarkStart w:id="66" w:name="ref-Eerkens2001"/>
    <w:p>
      <w:pPr>
        <w:pStyle w:val="BodyText"/>
      </w:pPr>
      <w:r>
        <w:t xml:space="preserve">Eerkens, J.W., Bettinger, R.L., 2001. Techniques for assessing standardization in artifact assemblages: Can we scale material variability? American Antiquity 66, 493–504.</w:t>
      </w:r>
    </w:p>
    <w:bookmarkEnd w:id="66"/>
    <w:bookmarkStart w:id="67" w:name="ref-Evershed2008"/>
    <w:p>
      <w:pPr>
        <w:pStyle w:val="BodyText"/>
      </w:pPr>
      <w:r>
        <w:t xml:space="preserve">Evershed, R.P., 2008. Organic residue analysis in archaeology: The archaeological biomarker revolution. Archaeometry 50, 895–924.</w:t>
      </w:r>
    </w:p>
    <w:bookmarkEnd w:id="67"/>
    <w:bookmarkStart w:id="68" w:name="ref-Feinman2010"/>
    <w:p>
      <w:pPr>
        <w:pStyle w:val="BodyText"/>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68"/>
    <w:bookmarkStart w:id="69"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69"/>
    <w:bookmarkStart w:id="70" w:name="ref-Feinman1995"/>
    <w:p>
      <w:pPr>
        <w:pStyle w:val="BodyText"/>
      </w:pPr>
      <w:r>
        <w:t xml:space="preserve">Feinman, G.M., 1995. The emergence of inequality: A focus on strategies and processes, in: Price, T.D., Feinman, G.M. (Eds.), Foundations of Social Inequality. Springer Science &amp; Business Media, New York: Plenum Press, pp. 255–275.</w:t>
      </w:r>
    </w:p>
    <w:bookmarkEnd w:id="70"/>
    <w:bookmarkStart w:id="71" w:name="ref-Feinman2000political"/>
    <w:p>
      <w:pPr>
        <w:pStyle w:val="BodyText"/>
      </w:pPr>
      <w:r>
        <w:t xml:space="preserve">Feinman, G.M., Lightfoot, K.G., Upham, S., 2000. Political hierarchies and organizational strategies in the puebloan southwest. American Antiquity 65, 449–470.</w:t>
      </w:r>
    </w:p>
    <w:bookmarkEnd w:id="71"/>
    <w:bookmarkStart w:id="72" w:name="ref-Feltz1996"/>
    <w:p>
      <w:pPr>
        <w:pStyle w:val="BodyText"/>
      </w:pPr>
      <w:r>
        <w:t xml:space="preserve">Feltz, C.J., Miller, G.E., 1996. An asymptotic test for the equality of coefficients of variation from k populations. Statistics in medicine 15, 647–658.</w:t>
      </w:r>
    </w:p>
    <w:bookmarkEnd w:id="72"/>
    <w:bookmarkStart w:id="73" w:name="ref-Fox2015"/>
    <w:p>
      <w:pPr>
        <w:pStyle w:val="BodyText"/>
      </w:pPr>
      <w:r>
        <w:t xml:space="preserve">Fox, A.N., 2015. A study of late woodland projectile point typology in new york using elliptical fourier outline analysis. Journal of Archaeological Science: Reports 4, 501–509.</w:t>
      </w:r>
    </w:p>
    <w:bookmarkEnd w:id="73"/>
    <w:bookmarkStart w:id="74" w:name="ref-Given2004"/>
    <w:p>
      <w:pPr>
        <w:pStyle w:val="BodyText"/>
      </w:pPr>
      <w:r>
        <w:t xml:space="preserve">Given, M., 2004. The archaeology of the colonized. Routledge, London; New York.</w:t>
      </w:r>
    </w:p>
    <w:bookmarkEnd w:id="74"/>
    <w:bookmarkStart w:id="75" w:name="ref-Gunz2013"/>
    <w:p>
      <w:pPr>
        <w:pStyle w:val="BodyText"/>
      </w:pPr>
      <w:r>
        <w:t xml:space="preserve">Gunz, P., Mitteroecker, P., 2013. Semilandmarks: A method for quantifying curves and surfaces. Hystrix, the Italian Journal of Mammalogy 24, 103–109.</w:t>
      </w:r>
    </w:p>
    <w:bookmarkEnd w:id="75"/>
    <w:bookmarkStart w:id="76"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6"/>
    <w:bookmarkStart w:id="77" w:name="ref-Hoggard2017"/>
    <w:p>
      <w:pPr>
        <w:pStyle w:val="BodyText"/>
      </w:pPr>
      <w:r>
        <w:t xml:space="preserve">Hoggard, C.S., 2017. Considering the function of middle palaeolithic blade technologies through an examination of experimental blade edge angles. Journal of Archaeological Science: Reports 16, 233–239.</w:t>
      </w:r>
    </w:p>
    <w:bookmarkEnd w:id="77"/>
    <w:bookmarkStart w:id="78"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8"/>
    <w:bookmarkStart w:id="79" w:name="ref-Hsieh2009"/>
    <w:p>
      <w:pPr>
        <w:pStyle w:val="BodyText"/>
      </w:pPr>
      <w:r>
        <w:t xml:space="preserve">Hsieh, E., 2009. Yi lan qi wu lan yi zhi chu tu wai lai tao ci qi zhi xiang guan yan jiu [the study of imported ceramics excavated at the ki-wu-lan site, i-lan] (Master’s thesis).</w:t>
      </w:r>
    </w:p>
    <w:bookmarkEnd w:id="79"/>
    <w:bookmarkStart w:id="80" w:name="ref-Iovictua2010"/>
    <w:p>
      <w:pPr>
        <w:pStyle w:val="BodyText"/>
      </w:pPr>
      <w:r>
        <w:t xml:space="preserve">Ioviţă, R., 2010. Comparing stone tool resharpening trajectories with the aid of elliptical fourier analysis, in: New Perspectives on Old Stones. Springer, pp. 235–253.</w:t>
      </w:r>
    </w:p>
    <w:bookmarkEnd w:id="80"/>
    <w:bookmarkStart w:id="81" w:name="ref-Junker1999"/>
    <w:p>
      <w:pPr>
        <w:pStyle w:val="BodyText"/>
      </w:pPr>
      <w:r>
        <w:t xml:space="preserve">Junker, L.L., 1999. Raiding, trading, and feasting: The political economy of philippine chiefdoms. University of Hawaii Press.</w:t>
      </w:r>
    </w:p>
    <w:bookmarkEnd w:id="81"/>
    <w:bookmarkStart w:id="82" w:name="ref-Junker1993"/>
    <w:p>
      <w:pPr>
        <w:pStyle w:val="BodyText"/>
      </w:pPr>
      <w:r>
        <w:t xml:space="preserve">Junker, L.L., 1993. Craft goods specialization and prestige goods exchange in philippine chiefdoms of the fifteenth and sixteenth centuries. Asian Perspectives 1–35.</w:t>
      </w:r>
    </w:p>
    <w:bookmarkEnd w:id="82"/>
    <w:bookmarkStart w:id="83" w:name="ref-Ke1993"/>
    <w:p>
      <w:pPr>
        <w:pStyle w:val="BodyText"/>
      </w:pPr>
      <w:r>
        <w:t xml:space="preserve">Ke, P., 1993. Kavalan zhi lue [record of kavalen]. Historical Records Committee of Taiwan Provincial Government, Nantou.</w:t>
      </w:r>
    </w:p>
    <w:bookmarkEnd w:id="83"/>
    <w:bookmarkStart w:id="84" w:name="ref-Krishnamoorthy2014"/>
    <w:p>
      <w:pPr>
        <w:pStyle w:val="BodyText"/>
      </w:pPr>
      <w:r>
        <w:t xml:space="preserve">Krishnamoorthy, K., Lee, M., 2014. Improved tests for the equality of normal coefficients of variation. Computational Statistics 29, 215–232.</w:t>
      </w:r>
    </w:p>
    <w:bookmarkEnd w:id="84"/>
    <w:bookmarkStart w:id="85" w:name="ref-Kuhl1982"/>
    <w:p>
      <w:pPr>
        <w:pStyle w:val="BodyText"/>
      </w:pPr>
      <w:r>
        <w:t xml:space="preserve">Kuhl, F.P., Giardina, C.R., 1982. Elliptic fourier features of a closed contour. Computer graphics and image processing 18, 236–258.</w:t>
      </w:r>
    </w:p>
    <w:bookmarkEnd w:id="85"/>
    <w:bookmarkStart w:id="86" w:name="ref-Kwak2015"/>
    <w:p>
      <w:pPr>
        <w:pStyle w:val="BodyText"/>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86"/>
    <w:bookmarkStart w:id="87" w:name="ref-Lawing2010"/>
    <w:p>
      <w:pPr>
        <w:pStyle w:val="BodyText"/>
      </w:pPr>
      <w:r>
        <w:t xml:space="preserve">Lawing, A.M., Polly, P.D., 2010. Geometric morphometrics: Recent applications to the study of evolution and development. Journal of Zoology 280, 1–7.</w:t>
      </w:r>
    </w:p>
    <w:bookmarkEnd w:id="87"/>
    <w:bookmarkStart w:id="88"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88"/>
    <w:bookmarkStart w:id="89" w:name="ref-Lycett2008"/>
    <w:p>
      <w:pPr>
        <w:pStyle w:val="BodyText"/>
      </w:pPr>
      <w:r>
        <w:t xml:space="preserve">Lycett, S.J., Gowlett, J.A., 2008. On questions surrounding the acheulean “tradition”. World Archaeology 40, 295–315.</w:t>
      </w:r>
    </w:p>
    <w:bookmarkEnd w:id="89"/>
    <w:bookmarkStart w:id="91"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90">
        <w:r>
          <w:rPr>
            <w:rStyle w:val="Hyperlink"/>
          </w:rPr>
          <w:t xml:space="preserve">https://doi.org/10.1007/s10816-015-9272-9</w:t>
        </w:r>
      </w:hyperlink>
    </w:p>
    <w:bookmarkEnd w:id="91"/>
    <w:bookmarkStart w:id="92" w:name="ref-Marwick2018"/>
    <w:p>
      <w:pPr>
        <w:pStyle w:val="BodyText"/>
      </w:pPr>
      <w:r>
        <w:t xml:space="preserve">Marwick, B., Boettiger, C., Mullen, L., 2018. Packaging data analytical work reproducibly using r (and friends). The American Statistician 72, 80–88.</w:t>
      </w:r>
    </w:p>
    <w:bookmarkEnd w:id="92"/>
    <w:bookmarkStart w:id="93" w:name="ref-Marwick2019"/>
    <w:p>
      <w:pPr>
        <w:pStyle w:val="BodyText"/>
      </w:pPr>
      <w:r>
        <w:t xml:space="preserve">Marwick, B., Krishnamoorthy, K., n.d. Cvequality: Tests for the equality of coefficients of variation from multiple groups.</w:t>
      </w:r>
    </w:p>
    <w:bookmarkEnd w:id="93"/>
    <w:bookmarkStart w:id="94" w:name="ref-Meloro2015"/>
    <w:p>
      <w:pPr>
        <w:pStyle w:val="BodyText"/>
      </w:pPr>
      <w:r>
        <w:t xml:space="preserve">Meloro, C., Hudson, A., Rook, L., 2015. Feeding habits of extant and fossil canids as determined by their skull geometry. Journal of Zoology 295, 178–188.</w:t>
      </w:r>
    </w:p>
    <w:bookmarkEnd w:id="94"/>
    <w:bookmarkStart w:id="95" w:name="ref-Mullins2011"/>
    <w:p>
      <w:pPr>
        <w:pStyle w:val="BodyText"/>
      </w:pPr>
      <w:r>
        <w:t xml:space="preserve">Mullins, P.R., 2011. The archaeology of consumption. Annual Review of Anthropology 40, 133–144.</w:t>
      </w:r>
    </w:p>
    <w:bookmarkEnd w:id="95"/>
    <w:bookmarkStart w:id="96" w:name="ref-Okumura2014"/>
    <w:p>
      <w:pPr>
        <w:pStyle w:val="BodyText"/>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96"/>
    <w:bookmarkStart w:id="97" w:name="ref-Rlanguage2019"/>
    <w:p>
      <w:pPr>
        <w:pStyle w:val="BodyText"/>
      </w:pPr>
      <w:r>
        <w:t xml:space="preserve">R Core Team, 2019. R: A language and environment for statistical computing. R Foundation for Statistical Computing, Vienna, Austria.</w:t>
      </w:r>
    </w:p>
    <w:bookmarkEnd w:id="97"/>
    <w:bookmarkStart w:id="98"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98"/>
    <w:bookmarkStart w:id="99"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99"/>
    <w:bookmarkStart w:id="100" w:name="ref-Roux2003"/>
    <w:p>
      <w:pPr>
        <w:pStyle w:val="BodyText"/>
      </w:pPr>
      <w:r>
        <w:t xml:space="preserve">Roux, V., 2003. Ceramic standardization and intensity of production: Quantifying degrees of specialization. American Antiquity 68, 768–782.</w:t>
      </w:r>
    </w:p>
    <w:bookmarkEnd w:id="100"/>
    <w:bookmarkStart w:id="101" w:name="ref-Scaramelli2005"/>
    <w:p>
      <w:pPr>
        <w:pStyle w:val="BodyText"/>
      </w:pPr>
      <w:r>
        <w:t xml:space="preserve">Scaramelli, F., Scaramelli, K.T. de, 2005. The roles of material culture in the colonization of the orinoco, venezuela. Journal of Social Archaeology 5, 135–168.</w:t>
      </w:r>
    </w:p>
    <w:bookmarkEnd w:id="101"/>
    <w:bookmarkStart w:id="102" w:name="ref-Selden2019"/>
    <w:p>
      <w:pPr>
        <w:pStyle w:val="BodyText"/>
      </w:pPr>
      <w:r>
        <w:t xml:space="preserve">Selden Jr, R.Z., 2019. Ceramic morphological organisation in the southern caddo area: The clarence h. Webb collections. Journal of Cultural Heritage 35, 41–55.</w:t>
      </w:r>
    </w:p>
    <w:bookmarkEnd w:id="102"/>
    <w:bookmarkStart w:id="103" w:name="ref-Silliman2001"/>
    <w:p>
      <w:pPr>
        <w:pStyle w:val="BodyText"/>
      </w:pPr>
      <w:r>
        <w:t xml:space="preserve">Silliman, S., 2001. Agency, practical politics and the archaeology of culture contact. Journal of social archaeology 1, 190–209.</w:t>
      </w:r>
    </w:p>
    <w:bookmarkEnd w:id="103"/>
    <w:bookmarkStart w:id="104" w:name="ref-Silliman2005"/>
    <w:p>
      <w:pPr>
        <w:pStyle w:val="BodyText"/>
      </w:pPr>
      <w:r>
        <w:t xml:space="preserve">Silliman, S.W., 2005. Culture contact or colonialism? Challenges in the archaeology of native North America. American Antiquity 55–74.</w:t>
      </w:r>
    </w:p>
    <w:bookmarkEnd w:id="104"/>
    <w:bookmarkStart w:id="105" w:name="ref-Slice2007"/>
    <w:p>
      <w:pPr>
        <w:pStyle w:val="BodyText"/>
      </w:pPr>
      <w:r>
        <w:t xml:space="preserve">Slice, D.E., 2007. Geometric morphometrics. Annu. Rev. Anthropol. 36, 261–281.</w:t>
      </w:r>
    </w:p>
    <w:bookmarkEnd w:id="105"/>
    <w:bookmarkStart w:id="106" w:name="ref-Stark1995"/>
    <w:p>
      <w:pPr>
        <w:pStyle w:val="BodyText"/>
      </w:pPr>
      <w:r>
        <w:t xml:space="preserve">Stark, B.L., 1995. Problems in analysis of standardization and specialization in pottery, in: Mills, B.J., Crown, P.L. (Eds.), Ceramic Production in the American Southwest. The University of Arizona Press, Tucson, pp. 231–267.</w:t>
      </w:r>
    </w:p>
    <w:bookmarkEnd w:id="106"/>
    <w:bookmarkStart w:id="107" w:name="ref-Tite1999"/>
    <w:p>
      <w:pPr>
        <w:pStyle w:val="BodyText"/>
      </w:pPr>
      <w:r>
        <w:t xml:space="preserve">Tite, M.S., 1999. Pottery production, distribution, and consumption—the contribution of the physical sciences. Journal of archaeological method and theory 6, 181–233.</w:t>
      </w:r>
    </w:p>
    <w:bookmarkEnd w:id="107"/>
    <w:bookmarkStart w:id="108" w:name="ref-Topi2018"/>
    <w:p>
      <w:pPr>
        <w:pStyle w:val="BodyText"/>
      </w:pPr>
      <w:r>
        <w:t xml:space="preserve">Topi, J.R., VanPool, C.S., Waller, K.D., VanPool, T.L., 2018. The economy of specialized ceramic craft production in the casas grandes region. Latin American Antiquity 29, 122–142.</w:t>
      </w:r>
    </w:p>
    <w:bookmarkEnd w:id="108"/>
    <w:bookmarkStart w:id="109"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09"/>
    <w:bookmarkStart w:id="110" w:name="ref-Trabert2017"/>
    <w:p>
      <w:pPr>
        <w:pStyle w:val="BodyText"/>
      </w:pPr>
      <w:r>
        <w:t xml:space="preserve">Trabert, S., 2017. Considering the indirect effects of colonialism: Example from a great plains middle ground. Journal of Anthropological Archaeology 48, 17–27.</w:t>
      </w:r>
    </w:p>
    <w:bookmarkEnd w:id="110"/>
    <w:bookmarkStart w:id="111" w:name="ref-Voss2008"/>
    <w:p>
      <w:pPr>
        <w:pStyle w:val="BodyText"/>
      </w:pPr>
      <w:r>
        <w:t xml:space="preserve">Voss, B.L., 2008. Between the household and the world system: Social collectivity and community agency in overseas chinese archaeology. Historical Archaeology 37–52.</w:t>
      </w:r>
    </w:p>
    <w:bookmarkEnd w:id="111"/>
    <w:bookmarkStart w:id="112" w:name="ref-Voss2005"/>
    <w:p>
      <w:pPr>
        <w:pStyle w:val="BodyText"/>
      </w:pPr>
      <w:r>
        <w:t xml:space="preserve">Voss, B.L., 2005. From casta to californio: Social identity and the archaeology of culture contact. American Anthropologist 107, 461–474.</w:t>
      </w:r>
    </w:p>
    <w:bookmarkEnd w:id="112"/>
    <w:bookmarkStart w:id="113" w:name="ref-Wang2011"/>
    <w:p>
      <w:pPr>
        <w:pStyle w:val="BodyText"/>
      </w:pPr>
      <w:r>
        <w:t xml:space="preserve">Wang, L.-Y., 2011. Yi lan qi wu lan yi zhi chu tu zhuang shi pin zhi xiang guan yan jiu [a research of ornaments excavated at ki-wu-lan site, i-lan] (Master’s thesis).</w:t>
      </w:r>
    </w:p>
    <w:bookmarkEnd w:id="113"/>
    <w:bookmarkStart w:id="114"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114"/>
    <w:bookmarkStart w:id="115" w:name="ref-Wu2019"/>
    <w:p>
      <w:pPr>
        <w:pStyle w:val="BodyText"/>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15"/>
    <w:bookmarkEnd w:id="116"/>
    <w:p>
      <w:pPr>
        <w:pStyle w:val="Heading5"/>
      </w:pPr>
      <w:bookmarkStart w:id="117" w:name="pagebreak-1"/>
      <w:r>
        <w:t xml:space="preserve">pagebreak</w:t>
      </w:r>
      <w:bookmarkEnd w:id="117"/>
    </w:p>
    <w:p>
      <w:pPr>
        <w:pStyle w:val="Heading3"/>
      </w:pPr>
      <w:bookmarkStart w:id="118" w:name="colophon"/>
      <w:r>
        <w:t xml:space="preserve">Colophon</w:t>
      </w:r>
      <w:bookmarkEnd w:id="118"/>
    </w:p>
    <w:p>
      <w:pPr>
        <w:pStyle w:val="FirstParagraph"/>
      </w:pPr>
      <w:r>
        <w:t xml:space="preserve">This report was generated on 2020-04-22 23:32:08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3.6.3 (2020-02-29)</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2020-04-22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1.1.6    2020-04-05 [1] CRAN (R 3.6.2)                     </w:t>
      </w:r>
      <w:r>
        <w:br w:type="textWrapping"/>
      </w:r>
      <w:r>
        <w:rPr>
          <w:rStyle w:val="VerbatimChar"/>
        </w:rPr>
        <w:t xml:space="preserve">#&gt;  bookdown       0.18     2020-03-05 [1] CRAN (R 3.6.0)                     </w:t>
      </w:r>
      <w:r>
        <w:br w:type="textWrapping"/>
      </w:r>
      <w:r>
        <w:rPr>
          <w:rStyle w:val="VerbatimChar"/>
        </w:rPr>
        <w:t xml:space="preserve">#&gt;  broom          0.5.5    2020-02-29 [1] CRAN (R 3.6.0)                     </w:t>
      </w:r>
      <w:r>
        <w:br w:type="textWrapping"/>
      </w:r>
      <w:r>
        <w:rPr>
          <w:rStyle w:val="VerbatimChar"/>
        </w:rPr>
        <w:t xml:space="preserve">#&gt;  callr          3.4.3    2020-03-28 [1] CRAN (R 3.6.2)                     </w:t>
      </w:r>
      <w:r>
        <w:br w:type="textWrapping"/>
      </w:r>
      <w:r>
        <w:rPr>
          <w:rStyle w:val="VerbatimChar"/>
        </w:rPr>
        <w:t xml:space="preserve">#&gt;  cellranger     1.1.0    2016-07-27 [1] CRAN (R 3.6.0)                     </w:t>
      </w:r>
      <w:r>
        <w:br w:type="textWrapping"/>
      </w:r>
      <w:r>
        <w:rPr>
          <w:rStyle w:val="VerbatimChar"/>
        </w:rPr>
        <w:t xml:space="preserve">#&gt;  class          7.3-16   2020-03-25 [1] CRAN (R 3.6.0)                     </w:t>
      </w:r>
      <w:r>
        <w:br w:type="textWrapping"/>
      </w:r>
      <w:r>
        <w:rPr>
          <w:rStyle w:val="VerbatimChar"/>
        </w:rPr>
        <w:t xml:space="preserve">#&gt;  classInt       0.4-3    2020-04-07 [1] CRAN (R 3.6.2)                     </w:t>
      </w:r>
      <w:r>
        <w:br w:type="textWrapping"/>
      </w:r>
      <w:r>
        <w:rPr>
          <w:rStyle w:val="VerbatimChar"/>
        </w:rPr>
        <w:t xml:space="preserve">#&gt;  cli            2.0.2    2020-02-28 [1] CRAN (R 3.6.0)                     </w:t>
      </w:r>
      <w:r>
        <w:br w:type="textWrapping"/>
      </w:r>
      <w:r>
        <w:rPr>
          <w:rStyle w:val="VerbatimChar"/>
        </w:rPr>
        <w:t xml:space="preserve">#&gt;  colorspace     1.4-1    2019-03-18 [1] CRAN (R 3.6.0)                     </w:t>
      </w:r>
      <w:r>
        <w:br w:type="textWrapping"/>
      </w:r>
      <w:r>
        <w:rPr>
          <w:rStyle w:val="VerbatimChar"/>
        </w:rPr>
        <w:t xml:space="preserve">#&gt;  cowplot      * 1.0.0    2019-07-11 [1] CRAN (R 3.6.0)                     </w:t>
      </w:r>
      <w:r>
        <w:br w:type="textWrapping"/>
      </w:r>
      <w:r>
        <w:rPr>
          <w:rStyle w:val="VerbatimChar"/>
        </w:rPr>
        <w:t xml:space="preserve">#&gt;  crayon         1.3.4    2017-09-16 [1] CRAN (R 3.6.0)                     </w:t>
      </w:r>
      <w:r>
        <w:br w:type="textWrapping"/>
      </w:r>
      <w:r>
        <w:rPr>
          <w:rStyle w:val="VerbatimChar"/>
        </w:rPr>
        <w:t xml:space="preserve">#&gt;  curl           4.3      2019-12-02 [1] CRAN (R 3.6.0)                     </w:t>
      </w:r>
      <w:r>
        <w:br w:type="textWrapping"/>
      </w:r>
      <w:r>
        <w:rPr>
          <w:rStyle w:val="VerbatimChar"/>
        </w:rPr>
        <w:t xml:space="preserve">#&gt;  cvequality   * 0.2.0    2019-01-07 [1] CRAN (R 3.6.0)                     </w:t>
      </w:r>
      <w:r>
        <w:br w:type="textWrapping"/>
      </w:r>
      <w:r>
        <w:rPr>
          <w:rStyle w:val="VerbatimChar"/>
        </w:rPr>
        <w:t xml:space="preserve">#&gt;  DBI            1.1.0    2019-12-15 [1] CRAN (R 3.6.0)                     </w:t>
      </w:r>
      <w:r>
        <w:br w:type="textWrapping"/>
      </w:r>
      <w:r>
        <w:rPr>
          <w:rStyle w:val="VerbatimChar"/>
        </w:rPr>
        <w:t xml:space="preserve">#&gt;  dbplyr         1.4.2    2019-06-17 [1] CRAN (R 3.6.0)                     </w:t>
      </w:r>
      <w:r>
        <w:br w:type="textWrapping"/>
      </w:r>
      <w:r>
        <w:rPr>
          <w:rStyle w:val="VerbatimChar"/>
        </w:rPr>
        <w:t xml:space="preserve">#&gt;  desc           1.2.0    2018-05-01 [1] CRAN (R 3.6.0)                     </w:t>
      </w:r>
      <w:r>
        <w:br w:type="textWrapping"/>
      </w:r>
      <w:r>
        <w:rPr>
          <w:rStyle w:val="VerbatimChar"/>
        </w:rPr>
        <w:t xml:space="preserve">#&gt;  devtools       2.3.0    2020-04-10 [1] CRAN (R 3.6.3)                     </w:t>
      </w:r>
      <w:r>
        <w:br w:type="textWrapping"/>
      </w:r>
      <w:r>
        <w:rPr>
          <w:rStyle w:val="VerbatimChar"/>
        </w:rPr>
        <w:t xml:space="preserve">#&gt;  digest         0.6.25   2020-02-23 [1] CRAN (R 3.6.0)                     </w:t>
      </w:r>
      <w:r>
        <w:br w:type="textWrapping"/>
      </w:r>
      <w:r>
        <w:rPr>
          <w:rStyle w:val="VerbatimChar"/>
        </w:rPr>
        <w:t xml:space="preserve">#&gt;  dplyr        * 0.8.5    2020-03-07 [1] CRAN (R 3.6.0)                     </w:t>
      </w:r>
      <w:r>
        <w:br w:type="textWrapping"/>
      </w:r>
      <w:r>
        <w:rPr>
          <w:rStyle w:val="VerbatimChar"/>
        </w:rPr>
        <w:t xml:space="preserve">#&gt;  e1071          1.7-3    2019-11-26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0.4.1    2020-01-08 [1] CRAN (R 3.6.0)                     </w:t>
      </w:r>
      <w:r>
        <w:br w:type="textWrapping"/>
      </w:r>
      <w:r>
        <w:rPr>
          <w:rStyle w:val="VerbatimChar"/>
        </w:rPr>
        <w:t xml:space="preserve">#&gt;  farver         2.0.3    2020-01-16 [1] CRAN (R 3.6.0)                     </w:t>
      </w:r>
      <w:r>
        <w:br w:type="textWrapping"/>
      </w:r>
      <w:r>
        <w:rPr>
          <w:rStyle w:val="VerbatimChar"/>
        </w:rPr>
        <w:t xml:space="preserve">#&gt;  forcats      * 0.5.0    2020-03-01 [1] CRAN (R 3.6.1)                     </w:t>
      </w:r>
      <w:r>
        <w:br w:type="textWrapping"/>
      </w:r>
      <w:r>
        <w:rPr>
          <w:rStyle w:val="VerbatimChar"/>
        </w:rPr>
        <w:t xml:space="preserve">#&gt;  fs             1.4.1    2020-04-04 [1] CRAN (R 3.6.2)                     </w:t>
      </w:r>
      <w:r>
        <w:br w:type="textWrapping"/>
      </w:r>
      <w:r>
        <w:rPr>
          <w:rStyle w:val="VerbatimChar"/>
        </w:rPr>
        <w:t xml:space="preserve">#&gt;  generics       0.0.2    2018-11-29 [1] CRAN (R 3.6.0)                     </w:t>
      </w:r>
      <w:r>
        <w:br w:type="textWrapping"/>
      </w:r>
      <w:r>
        <w:rPr>
          <w:rStyle w:val="VerbatimChar"/>
        </w:rPr>
        <w:t xml:space="preserve">#&gt;  ggforce        0.3.1    2019-08-20 [1] CRAN (R 3.6.0)                     </w:t>
      </w:r>
      <w:r>
        <w:br w:type="textWrapping"/>
      </w:r>
      <w:r>
        <w:rPr>
          <w:rStyle w:val="VerbatimChar"/>
        </w:rPr>
        <w:t xml:space="preserve">#&gt;  ggplot2      * 3.3.0    2020-03-05 [1] CRAN (R 3.6.0)                     </w:t>
      </w:r>
      <w:r>
        <w:br w:type="textWrapping"/>
      </w:r>
      <w:r>
        <w:rPr>
          <w:rStyle w:val="VerbatimChar"/>
        </w:rPr>
        <w:t xml:space="preserve">#&gt;  glue           1.4.0    2020-04-03 [1] CRAN (R 3.6.2)                     </w:t>
      </w:r>
      <w:r>
        <w:br w:type="textWrapping"/>
      </w:r>
      <w:r>
        <w:rPr>
          <w:rStyle w:val="VerbatimChar"/>
        </w:rPr>
        <w:t xml:space="preserve">#&gt;  gridExtra      2.3      2017-09-09 [1] CRAN (R 3.6.0)                     </w:t>
      </w:r>
      <w:r>
        <w:br w:type="textWrapping"/>
      </w:r>
      <w:r>
        <w:rPr>
          <w:rStyle w:val="VerbatimChar"/>
        </w:rPr>
        <w:t xml:space="preserve">#&gt;  gtable         0.3.0    2019-03-25 [1] CRAN (R 3.6.0)                     </w:t>
      </w:r>
      <w:r>
        <w:br w:type="textWrapping"/>
      </w:r>
      <w:r>
        <w:rPr>
          <w:rStyle w:val="VerbatimChar"/>
        </w:rPr>
        <w:t xml:space="preserve">#&gt;  haven          2.2.0    2019-11-08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0.5.3    2020-01-08 [1] CRAN (R 3.6.0)                     </w:t>
      </w:r>
      <w:r>
        <w:br w:type="textWrapping"/>
      </w:r>
      <w:r>
        <w:rPr>
          <w:rStyle w:val="VerbatimChar"/>
        </w:rPr>
        <w:t xml:space="preserve">#&gt;  htmltools      0.4.0    2019-10-04 [1] CRAN (R 3.6.0)                     </w:t>
      </w:r>
      <w:r>
        <w:br w:type="textWrapping"/>
      </w:r>
      <w:r>
        <w:rPr>
          <w:rStyle w:val="VerbatimChar"/>
        </w:rPr>
        <w:t xml:space="preserve">#&gt;  httr           1.4.1    2019-08-05 [1] CRAN (R 3.6.0)                     </w:t>
      </w:r>
      <w:r>
        <w:br w:type="textWrapping"/>
      </w:r>
      <w:r>
        <w:rPr>
          <w:rStyle w:val="VerbatimChar"/>
        </w:rPr>
        <w:t xml:space="preserve">#&gt;  jpeg           0.1-8.1  2019-10-24 [1] CRAN (R 3.6.0)                     </w:t>
      </w:r>
      <w:r>
        <w:br w:type="textWrapping"/>
      </w:r>
      <w:r>
        <w:rPr>
          <w:rStyle w:val="VerbatimChar"/>
        </w:rPr>
        <w:t xml:space="preserve">#&gt;  jsonlite       1.6.1    2020-02-02 [1] CRAN (R 3.6.0)                     </w:t>
      </w:r>
      <w:r>
        <w:br w:type="textWrapping"/>
      </w:r>
      <w:r>
        <w:rPr>
          <w:rStyle w:val="VerbatimChar"/>
        </w:rPr>
        <w:t xml:space="preserve">#&gt;  KernSmooth     2.23-16  2019-10-15 [1] CRAN (R 3.6.3)                     </w:t>
      </w:r>
      <w:r>
        <w:br w:type="textWrapping"/>
      </w:r>
      <w:r>
        <w:rPr>
          <w:rStyle w:val="VerbatimChar"/>
        </w:rPr>
        <w:t xml:space="preserve">#&gt;  knitr          1.28     2020-02-06 [1] CRAN (R 3.6.1)                     </w:t>
      </w:r>
      <w:r>
        <w:br w:type="textWrapping"/>
      </w:r>
      <w:r>
        <w:rPr>
          <w:rStyle w:val="VerbatimChar"/>
        </w:rPr>
        <w:t xml:space="preserve">#&gt;  labeling       0.3      2014-08-23 [1] CRAN (R 3.6.0)                     </w:t>
      </w:r>
      <w:r>
        <w:br w:type="textWrapping"/>
      </w:r>
      <w:r>
        <w:rPr>
          <w:rStyle w:val="VerbatimChar"/>
        </w:rPr>
        <w:t xml:space="preserve">#&gt;  lattice        0.20-41  2020-04-02 [1] CRAN (R 3.6.2)                     </w:t>
      </w:r>
      <w:r>
        <w:br w:type="textWrapping"/>
      </w:r>
      <w:r>
        <w:rPr>
          <w:rStyle w:val="VerbatimChar"/>
        </w:rPr>
        <w:t xml:space="preserve">#&gt;  lifecycle      0.2.0    2020-03-06 [1] CRAN (R 3.6.0)                     </w:t>
      </w:r>
      <w:r>
        <w:br w:type="textWrapping"/>
      </w:r>
      <w:r>
        <w:rPr>
          <w:rStyle w:val="VerbatimChar"/>
        </w:rPr>
        <w:t xml:space="preserve">#&gt;  lubridate      1.7.8    2020-04-06 [1] CRAN (R 3.6.2)                     </w:t>
      </w:r>
      <w:r>
        <w:br w:type="textWrapping"/>
      </w:r>
      <w:r>
        <w:rPr>
          <w:rStyle w:val="VerbatimChar"/>
        </w:rPr>
        <w:t xml:space="preserve">#&gt;  magick       * 2.3      2020-01-24 [1] CRAN (R 3.6.0)                     </w:t>
      </w:r>
      <w:r>
        <w:br w:type="textWrapping"/>
      </w:r>
      <w:r>
        <w:rPr>
          <w:rStyle w:val="VerbatimChar"/>
        </w:rPr>
        <w:t xml:space="preserve">#&gt;  magrittr       1.5      2014-11-22 [1] CRAN (R 3.6.0)                     </w:t>
      </w:r>
      <w:r>
        <w:br w:type="textWrapping"/>
      </w:r>
      <w:r>
        <w:rPr>
          <w:rStyle w:val="VerbatimChar"/>
        </w:rPr>
        <w:t xml:space="preserve">#&gt;  MASS           7.3-51.5 2019-12-20 [1] CRAN (R 3.6.3)                     </w:t>
      </w:r>
      <w:r>
        <w:br w:type="textWrapping"/>
      </w:r>
      <w:r>
        <w:rPr>
          <w:rStyle w:val="VerbatimChar"/>
        </w:rPr>
        <w:t xml:space="preserve">#&gt;  memoise        1.1.0    2017-04-21 [1] CRAN (R 3.6.0)                     </w:t>
      </w:r>
      <w:r>
        <w:br w:type="textWrapping"/>
      </w:r>
      <w:r>
        <w:rPr>
          <w:rStyle w:val="VerbatimChar"/>
        </w:rPr>
        <w:t xml:space="preserve">#&gt;  modelr         0.1.6    2020-02-22 [1] CRAN (R 3.6.0)                     </w:t>
      </w:r>
      <w:r>
        <w:br w:type="textWrapping"/>
      </w:r>
      <w:r>
        <w:rPr>
          <w:rStyle w:val="VerbatimChar"/>
        </w:rPr>
        <w:t xml:space="preserve">#&gt;  Momocs       * 1.3.0    2019-12-20 [1] Github (MomX/Momocs@028e70e)       </w:t>
      </w:r>
      <w:r>
        <w:br w:type="textWrapping"/>
      </w:r>
      <w:r>
        <w:rPr>
          <w:rStyle w:val="VerbatimChar"/>
        </w:rPr>
        <w:t xml:space="preserve">#&gt;  munsell        0.5.0    2018-06-12 [1] CRAN (R 3.6.0)                     </w:t>
      </w:r>
      <w:r>
        <w:br w:type="textWrapping"/>
      </w:r>
      <w:r>
        <w:rPr>
          <w:rStyle w:val="VerbatimChar"/>
        </w:rPr>
        <w:t xml:space="preserve">#&gt;  nlme           3.1-147  2020-04-13 [1] CRAN (R 3.6.2)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png            0.1-7    2013-12-03 [1] CRAN (R 3.6.0)                     </w:t>
      </w:r>
      <w:r>
        <w:br w:type="textWrapping"/>
      </w:r>
      <w:r>
        <w:rPr>
          <w:rStyle w:val="VerbatimChar"/>
        </w:rPr>
        <w:t xml:space="preserve">#&gt;  polyclip       1.10-0   2019-03-14 [1] CRAN (R 3.6.0)                     </w:t>
      </w:r>
      <w:r>
        <w:br w:type="textWrapping"/>
      </w:r>
      <w:r>
        <w:rPr>
          <w:rStyle w:val="VerbatimChar"/>
        </w:rPr>
        <w:t xml:space="preserve">#&gt;  prettyunits    1.1.1    2020-01-24 [1] CRAN (R 3.6.0)                     </w:t>
      </w:r>
      <w:r>
        <w:br w:type="textWrapping"/>
      </w:r>
      <w:r>
        <w:rPr>
          <w:rStyle w:val="VerbatimChar"/>
        </w:rPr>
        <w:t xml:space="preserve">#&gt;  processx       3.4.2    2020-02-09 [1] CRAN (R 3.6.0)                     </w:t>
      </w:r>
      <w:r>
        <w:br w:type="textWrapping"/>
      </w:r>
      <w:r>
        <w:rPr>
          <w:rStyle w:val="VerbatimChar"/>
        </w:rPr>
        <w:t xml:space="preserve">#&gt;  ps             1.3.2    2020-02-13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RColorBrewer   1.1-2    2014-12-07 [1] CRAN (R 3.6.0)                     </w:t>
      </w:r>
      <w:r>
        <w:br w:type="textWrapping"/>
      </w:r>
      <w:r>
        <w:rPr>
          <w:rStyle w:val="VerbatimChar"/>
        </w:rPr>
        <w:t xml:space="preserve">#&gt;  Rcpp           1.0.4.6  2020-04-09 [1] CRAN (R 3.6.3)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2.1.1    2020-02-15 [1] CRAN (R 3.6.0)                     </w:t>
      </w:r>
      <w:r>
        <w:br w:type="textWrapping"/>
      </w:r>
      <w:r>
        <w:rPr>
          <w:rStyle w:val="VerbatimChar"/>
        </w:rPr>
        <w:t xml:space="preserve">#&gt;  reprex         0.3.0    2019-05-16 [1] CRAN (R 3.6.0)                     </w:t>
      </w:r>
      <w:r>
        <w:br w:type="textWrapping"/>
      </w:r>
      <w:r>
        <w:rPr>
          <w:rStyle w:val="VerbatimChar"/>
        </w:rPr>
        <w:t xml:space="preserve">#&gt;  rlang          0.4.5    2020-03-01 [1] CRAN (R 3.6.1)                     </w:t>
      </w:r>
      <w:r>
        <w:br w:type="textWrapping"/>
      </w:r>
      <w:r>
        <w:rPr>
          <w:rStyle w:val="VerbatimChar"/>
        </w:rPr>
        <w:t xml:space="preserve">#&gt;  rmarkdown      2.1      2020-01-20 [1] CRAN (R 3.6.0)                     </w:t>
      </w:r>
      <w:r>
        <w:br w:type="textWrapping"/>
      </w:r>
      <w:r>
        <w:rPr>
          <w:rStyle w:val="VerbatimChar"/>
        </w:rPr>
        <w:t xml:space="preserve">#&gt;  rprojroot      1.3-2    2018-01-03 [1] CRAN (R 3.6.0)                     </w:t>
      </w:r>
      <w:r>
        <w:br w:type="textWrapping"/>
      </w:r>
      <w:r>
        <w:rPr>
          <w:rStyle w:val="VerbatimChar"/>
        </w:rPr>
        <w:t xml:space="preserve">#&gt;  rrtools        0.1.0    2019-08-30 [1] Github (benmarwick/rrtools@966743e)</w:t>
      </w:r>
      <w:r>
        <w:br w:type="textWrapping"/>
      </w:r>
      <w:r>
        <w:rPr>
          <w:rStyle w:val="VerbatimChar"/>
        </w:rPr>
        <w:t xml:space="preserve">#&gt;  rstudioapi     0.11     2020-02-07 [1] CRAN (R 3.6.1)                     </w:t>
      </w:r>
      <w:r>
        <w:br w:type="textWrapping"/>
      </w:r>
      <w:r>
        <w:rPr>
          <w:rStyle w:val="VerbatimChar"/>
        </w:rPr>
        <w:t xml:space="preserve">#&gt;  rvest          0.3.5    2019-11-08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sf           * 0.8-1    2020-01-28 [1] CRAN (R 3.6.0)                     </w:t>
      </w:r>
      <w:r>
        <w:br w:type="textWrapping"/>
      </w:r>
      <w:r>
        <w:rPr>
          <w:rStyle w:val="VerbatimChar"/>
        </w:rPr>
        <w:t xml:space="preserve">#&gt;  stringi        1.4.6    2020-02-17 [1] CRAN (R 3.6.0)                     </w:t>
      </w:r>
      <w:r>
        <w:br w:type="textWrapping"/>
      </w:r>
      <w:r>
        <w:rPr>
          <w:rStyle w:val="VerbatimChar"/>
        </w:rPr>
        <w:t xml:space="preserve">#&gt;  stringr      * 1.4.0    2019-02-10 [1] CRAN (R 3.6.0)                     </w:t>
      </w:r>
      <w:r>
        <w:br w:type="textWrapping"/>
      </w:r>
      <w:r>
        <w:rPr>
          <w:rStyle w:val="VerbatimChar"/>
        </w:rPr>
        <w:t xml:space="preserve">#&gt;  testthat       2.3.2    2020-03-02 [1] CRAN (R 3.6.0)                     </w:t>
      </w:r>
      <w:r>
        <w:br w:type="textWrapping"/>
      </w:r>
      <w:r>
        <w:rPr>
          <w:rStyle w:val="VerbatimChar"/>
        </w:rPr>
        <w:t xml:space="preserve">#&gt;  tibble       * 3.0.0    2020-03-30 [1] CRAN (R 3.6.2)                     </w:t>
      </w:r>
      <w:r>
        <w:br w:type="textWrapping"/>
      </w:r>
      <w:r>
        <w:rPr>
          <w:rStyle w:val="VerbatimChar"/>
        </w:rPr>
        <w:t xml:space="preserve">#&gt;  tidyr        * 1.0.2    2020-01-24 [1] CRAN (R 3.6.1)                     </w:t>
      </w:r>
      <w:r>
        <w:br w:type="textWrapping"/>
      </w:r>
      <w:r>
        <w:rPr>
          <w:rStyle w:val="VerbatimChar"/>
        </w:rPr>
        <w:t xml:space="preserve">#&gt;  tidyselect     1.0.0    2020-01-27 [1] CRAN (R 3.6.0)                     </w:t>
      </w:r>
      <w:r>
        <w:br w:type="textWrapping"/>
      </w:r>
      <w:r>
        <w:rPr>
          <w:rStyle w:val="VerbatimChar"/>
        </w:rPr>
        <w:t xml:space="preserve">#&gt;  tidyverse    * 1.3.0    2019-11-21 [1] CRAN (R 3.6.0)                     </w:t>
      </w:r>
      <w:r>
        <w:br w:type="textWrapping"/>
      </w:r>
      <w:r>
        <w:rPr>
          <w:rStyle w:val="VerbatimChar"/>
        </w:rPr>
        <w:t xml:space="preserve">#&gt;  tweenr         1.0.1    2018-12-14 [1] CRAN (R 3.6.0)                     </w:t>
      </w:r>
      <w:r>
        <w:br w:type="textWrapping"/>
      </w:r>
      <w:r>
        <w:rPr>
          <w:rStyle w:val="VerbatimChar"/>
        </w:rPr>
        <w:t xml:space="preserve">#&gt;  units          0.6-6    2020-03-16 [1] CRAN (R 3.6.0)                     </w:t>
      </w:r>
      <w:r>
        <w:br w:type="textWrapping"/>
      </w:r>
      <w:r>
        <w:rPr>
          <w:rStyle w:val="VerbatimChar"/>
        </w:rPr>
        <w:t xml:space="preserve">#&gt;  usethis        1.6.0    2020-04-09 [1] CRAN (R 3.6.3)                     </w:t>
      </w:r>
      <w:r>
        <w:br w:type="textWrapping"/>
      </w:r>
      <w:r>
        <w:rPr>
          <w:rStyle w:val="VerbatimChar"/>
        </w:rPr>
        <w:t xml:space="preserve">#&gt;  vctrs          0.2.4    2020-03-10 [1] CRAN (R 3.6.0)                     </w:t>
      </w:r>
      <w:r>
        <w:br w:type="textWrapping"/>
      </w:r>
      <w:r>
        <w:rPr>
          <w:rStyle w:val="VerbatimChar"/>
        </w:rPr>
        <w:t xml:space="preserve">#&gt;  viridis      * 0.5.1    2018-03-29 [1] CRAN (R 3.6.0)                     </w:t>
      </w:r>
      <w:r>
        <w:br w:type="textWrapping"/>
      </w:r>
      <w:r>
        <w:rPr>
          <w:rStyle w:val="VerbatimChar"/>
        </w:rPr>
        <w:t xml:space="preserve">#&gt;  viridisLite  * 0.3.0    2018-02-01 [1] CRAN (R 3.6.0)                     </w:t>
      </w:r>
      <w:r>
        <w:br w:type="textWrapping"/>
      </w:r>
      <w:r>
        <w:rPr>
          <w:rStyle w:val="VerbatimChar"/>
        </w:rPr>
        <w:t xml:space="preserve">#&gt;  withr          2.1.2    2018-03-15 [1] CRAN (R 3.6.0)                     </w:t>
      </w:r>
      <w:r>
        <w:br w:type="textWrapping"/>
      </w:r>
      <w:r>
        <w:rPr>
          <w:rStyle w:val="VerbatimChar"/>
        </w:rPr>
        <w:t xml:space="preserve">#&gt;  xfun           0.13     2020-04-13 [1] CRAN (R 3.6.2)                     </w:t>
      </w:r>
      <w:r>
        <w:br w:type="textWrapping"/>
      </w:r>
      <w:r>
        <w:rPr>
          <w:rStyle w:val="VerbatimChar"/>
        </w:rPr>
        <w:t xml:space="preserve">#&gt;  xml2           1.3.1    2020-04-09 [1] CRAN (R 3.6.2)                     </w:t>
      </w:r>
      <w:r>
        <w:br w:type="textWrapping"/>
      </w:r>
      <w:r>
        <w:rPr>
          <w:rStyle w:val="VerbatimChar"/>
        </w:rPr>
        <w:t xml:space="preserve">#&gt;  yaml           2.2.1    2020-02-01 [1] CRAN (R 3.6.1)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[3e72b6b] 2020-04-23: add image of pot</w:t>
      </w:r>
    </w:p>
    <w:p>
      <w:pPr>
        <w:pStyle w:val="FirstParagraph"/>
      </w:pPr>
      <w:r>
        <w:t xml:space="preserve">Word count: 4261</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hyperlink" Id="rId28" Target="http://inkscape.org" TargetMode="External" /><Relationship Type="http://schemas.openxmlformats.org/officeDocument/2006/relationships/hyperlink" Id="rId90"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90"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shape standardization using geometric morphometry of pottery from Iron Age northeastern Taiwan</dc:title>
  <dc:creator>Li-Ying Wang; Ben Marwick</dc:creator>
  <cp:keywords/>
  <dcterms:created xsi:type="dcterms:W3CDTF">2020-04-23T06:32:14Z</dcterms:created>
  <dcterms:modified xsi:type="dcterms:W3CDTF">2020-04-23T06:32:14Z</dcterms:modified>
</cp:coreProperties>
</file>