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2.png" ContentType="image/png"/>
  <Override PartName="/word/media/rId36.png" ContentType="image/png"/>
  <Override PartName="/word/media/rId34.png" ContentType="image/png"/>
  <Override PartName="/word/media/rId35.png" ContentType="image/png"/>
  <Override PartName="/word/media/rId26.png" ContentType="image/png"/>
  <Override PartName="/word/media/rId33.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could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From the perspective of the political approaches, craft specialization specifically attached production, is a strategy used by elites to control over production systems to maintain power and authority</w:t>
      </w:r>
      <w:r>
        <w:t xml:space="preserve"> </w:t>
      </w:r>
      <w:r>
        <w:t xml:space="preserve">(Costin, 2001)</w:t>
      </w:r>
      <w:r>
        <w:t xml:space="preserve">. The relationship between craft specialization and social differentiation is broadly discussed, and many cases show that specialized production is a useful indicator of increasing socio-political complexity</w:t>
      </w:r>
      <w:r>
        <w:t xml:space="preserve"> </w:t>
      </w:r>
      <w:r>
        <w:t xml:space="preserve">(Hirshman et al., 2010; Junker, 1999)</w:t>
      </w:r>
      <w:r>
        <w:t xml:space="preserve">. One the other hand,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result from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straightforward or exclusive.</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to make an inference for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usually cause substantial transformations of indigenous economic, cultural, and socio-political systems</w:t>
      </w:r>
      <w:r>
        <w:t xml:space="preserve"> </w:t>
      </w:r>
      <w:r>
        <w:t xml:space="preserve">(Dietler, 2005, 1997; Junker, 1993; Silliman, 2005)</w:t>
      </w:r>
      <w:r>
        <w:t xml:space="preserve">. Recently indirect effects of colonialism or pericolonial archaeology were address when investigating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Northeastern Taiwan is an ideal example to explore the indirect impacts of the foreign occupations on local indigenous societies due to its isolated location.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an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and discussed, such as metric, compositional, and technological approaches</w:t>
      </w:r>
      <w:r>
        <w:t xml:space="preserve"> </w:t>
      </w:r>
      <w:r>
        <w:t xml:space="preserve">(Arnold, 2000; Blackman et al., 1993; Boness et al., 2015; Costin, 1991; Rice, 1991; Roux, 2015; Tite, 1999)</w:t>
      </w:r>
      <w:r>
        <w:t xml:space="preserve">. Among those variables, metric measurement is widely applied to archaeological assemblages.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However, linear measurements might be limited for identifying differences in variations because they could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morphometrics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is increasing ceramic specialization resulting from interaction with the Europeans in the 17th century or the Chinese in the 19th century, two major foreign influences in early historical Taiwan, that might indicate social changes in local indigenous societies.</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emergence of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Medio period (AD 1200-1450), were made by specialists based on high standardized shape. Among those high standardized jars, some were made by attached specialists, while others were made by independent specialists according to their spatial distribution patterns. Similarity,</w:t>
      </w:r>
      <w:r>
        <w:t xml:space="preserve"> </w:t>
      </w:r>
      <w:r>
        <w:t xml:space="preserve">Selden Jr (2019)</w:t>
      </w:r>
      <w:r>
        <w:t xml:space="preserve"> </w:t>
      </w:r>
      <w:r>
        <w:t xml:space="preserve">examines 28 Caddo bottle excavated at several sites (AD 500-1700) in northwest Louisiana from the Clarence H. Webb collections. The results indicate a significant integration between the different parts of the bottles including rim, neck, body, and base that vary in a coordinated manner. Also, two discrete base and body shapes represented north and south difference were identified. For the EFA method,</w:t>
      </w:r>
      <w:r>
        <w:t xml:space="preserve"> </w:t>
      </w:r>
      <w:r>
        <w:t xml:space="preserve">Wilczek et al. (2014)</w:t>
      </w:r>
      <w:r>
        <w:t xml:space="preserve"> </w:t>
      </w:r>
      <w:r>
        <w:t xml:space="preserve">evaluate the concordance between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Those examples show that outline approaches can distinguish variation in ceramic shapes in a finer resolution to understand deeply the ceramic production.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standarization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in relation to foreign influences?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the largest excavation section at Kiwulan, northeastern Taiwan (Figure</w:t>
      </w:r>
      <w:r>
        <w:t xml:space="preserve"> </w:t>
      </w:r>
      <w:r>
        <w:t xml:space="preserve">1</w:t>
      </w:r>
      <w:r>
        <w:t xml:space="preserve">; Figure</w:t>
      </w:r>
      <w:r>
        <w:t xml:space="preserve"> </w:t>
      </w:r>
      <w:r>
        <w:t xml:space="preserve">2</w:t>
      </w:r>
      <w:r>
        <w:t xml:space="preserve">). Kiwulan is situated on a hill near a riverside at the northern margin of Yilan, which is characterized by a triangular alluvial plain facing eastwards the Pacific with high mountains on three other sides . Yilan is an ideal context to study peripheral colonial influence because it was relatively isolated by natural barrier that reduced frequency of direct contact with the Europeans presences, the Spanish and the Dutch settled in northern Taiwan. The chronology of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at Helping dau in Keelung, and in Tamsui.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Europeans in the 17th century and great waves of Chinese immigrants in the 19th century. Imported ceramics from mainland China, stonewares, and ornaments elements such as beads were trade goods commonly found in the upper component that indicates the frequent long-distance trade activities in the 17th century during the European presence in northern Taiwan. In addition to artifacts, features such as burials, middens, and post-holes with in-situ posts widespread across 1-2 m thick deposit explain that Kiwulan was a continuously occupied and large settlement site</w:t>
      </w:r>
      <w:r>
        <w:t xml:space="preserve"> </w:t>
      </w:r>
      <w:r>
        <w:t xml:space="preserve">(Chen, 2007)</w:t>
      </w:r>
      <w:r>
        <w:t xml:space="preserve">. To compare different foreign influences, the upper component were classified into three phases, the pre-European, European, and Chinese periods. The principle of identification of three phases is based on 32 radiocarbon ages, excavation depth, consistency of contexts, and types of chronologically diagnostic artifacts, such as blue and white porcelains, light grey glazed jars, and large dark brown glazed stoneware jars prevailing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predominant artefact found is locally made ceramics, which distributed throughout the sequence across the site. More than 550 thousands of sherds were excavated, and around 1,200 vessels were reconstructed. It is interesting to note that there are only two forms of local vessels,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based on the evidence of charred residues and carbon deposits commonly observed on the interior and soot on the exterior. Moreover, a lack of evidence of other utilitarian earthenware ceramics suggests this globular pot was mainly used for daily cooking. They are fired to orange to brownish color with a fully oxidized core or a reduced core with oxidized fringes. Finger impressions and seams usually on the interior indicate they were pinched using slabs of clay and shaped by hand. In addition to Kiwulan site, this kind of pot was widely found at other archaeological sites during the same period in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Petrographic analysis for 34 thin sections shows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In general, this type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It seems there is no obvious changes in the inclusions over time.</w:t>
      </w:r>
    </w:p>
    <w:p>
      <w:pPr>
        <w:pStyle w:val="Heading1"/>
      </w:pPr>
      <w:bookmarkStart w:id="25" w:name="methods"/>
      <w:r>
        <w:t xml:space="preserve">Methods</w:t>
      </w:r>
      <w:bookmarkEnd w:id="25"/>
    </w:p>
    <w:p>
      <w:pPr>
        <w:pStyle w:val="FirstParagraph"/>
      </w:pPr>
      <w:r>
        <w:t xml:space="preserve">A total of 73 relativity intact vessels from pre-contact contexts (n = 32), post-European contexts (n = 27), and Chinese contact contexts (n = 14) were selected for Ellipic Fourier analysis. Most of them cover every components from rim to bottom. Given that the decline of indigenous population in the Chinese period might have impact on the interpretation, we examined the spatial distribution of pots analyzed in this paper. The pottery distributed randomly across the sampling area without any clusters could rule out the bias caused by the population dynamics (Figure</w:t>
      </w:r>
      <w:r>
        <w:t xml:space="preserve"> </w:t>
      </w:r>
      <w:r>
        <w:t xml:space="preserve">3</w:t>
      </w:r>
      <w:r>
        <w:t xml:space="preserve">).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took to compute an average value. To obtain information about the pottery shape, we also compare the ratio of Rim/Body thickness, and the ratio of Rim/Body diameter.</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Heading2"/>
      </w:pPr>
      <w:bookmarkStart w:id="27" w:name="digitising-and-analysing-by-efa"/>
      <w:r>
        <w:t xml:space="preserve">Digitising and analysing by EFA</w:t>
      </w:r>
      <w:bookmarkEnd w:id="27"/>
    </w:p>
    <w:p>
      <w:pPr>
        <w:pStyle w:val="FirstParagraph"/>
      </w:pPr>
      <w:r>
        <w:t xml:space="preserve">The scanned pottery drawings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in order to obtain clear outline.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8" w:name="statistical-testing"/>
      <w:r>
        <w:t xml:space="preserve">Statistical testing</w:t>
      </w:r>
      <w:bookmarkEnd w:id="28"/>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w:t>
      </w:r>
      <w:r>
        <w:t xml:space="preserve"> </w:t>
      </w:r>
      <w:r>
        <w:t xml:space="preserve">(Pearson, 1896)</w:t>
      </w:r>
      <w:r>
        <w:t xml:space="preserve">.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w:t>
      </w:r>
      <w:r>
        <w:t xml:space="preserve"> </w:t>
      </w:r>
      <w:r>
        <w:t xml:space="preserve">and the</w:t>
      </w:r>
      <w:r>
        <w:t xml:space="preserve"> </w:t>
      </w:r>
      <w:r>
        <w:t xml:space="preserve">“</w:t>
      </w:r>
      <w:r>
        <w:t xml:space="preserve">Modified signed-likelihood ratio test (SLRT) for equality of CVs</w:t>
      </w:r>
      <w:r>
        <w:t xml:space="preserve">”</w:t>
      </w:r>
      <w:r>
        <w:t xml:space="preserve"> </w:t>
      </w:r>
      <w:r>
        <w:t xml:space="preserve">(Krishnamoorthy and Lee, 2014)</w:t>
      </w:r>
      <w:r>
        <w:t xml:space="preserve">.</w:t>
      </w:r>
      <w:r>
        <w:t xml:space="preserve"> </w:t>
      </w:r>
      <w:r>
        <w:t xml:space="preserve">Feltz and Miller (1996)</w:t>
      </w:r>
      <w:r>
        <w:t xml:space="preserve"> </w:t>
      </w:r>
      <w:r>
        <w:t xml:space="preserve">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w:t>
      </w:r>
      <w:r>
        <w:t xml:space="preserve"> </w:t>
      </w:r>
      <w:r>
        <w:t xml:space="preserve">Feltz and Miller (1996)</w:t>
      </w:r>
      <w:r>
        <w:t xml:space="preserve">:</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w:t>
      </w:r>
      <w:r>
        <w:t xml:space="preserve"> </w:t>
      </w:r>
      <w:r>
        <w:t xml:space="preserve">Feltz and Miller (1996)</w:t>
      </w:r>
      <w:r>
        <w:t xml:space="preserve"> </w:t>
      </w:r>
      <w:r>
        <w:t xml:space="preserve">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 We also include the</w:t>
      </w:r>
      <w:r>
        <w:t xml:space="preserve"> </w:t>
      </w:r>
      <w:r>
        <w:t xml:space="preserve">Krishnamoorthy and Lee (2014)</w:t>
      </w:r>
      <w:r>
        <w:t xml:space="preserve"> </w:t>
      </w:r>
      <w:r>
        <w:t xml:space="preserve">test as a more recent development with lower rates of type I error, better performance with uneven sample numbers, and more power across a range of conditions.</w:t>
      </w:r>
    </w:p>
    <w:p>
      <w:pPr>
        <w:pStyle w:val="Heading1"/>
      </w:pPr>
      <w:bookmarkStart w:id="29" w:name="reproducibility-and-open-source-materials"/>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30">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Table</w:t>
      </w:r>
      <w:r>
        <w:t xml:space="preserve"> </w:t>
      </w:r>
      <w:r>
        <w:t xml:space="preserve">1</w:t>
      </w:r>
      <w:r>
        <w:t xml:space="preserve"> </w:t>
      </w:r>
      <w:r>
        <w:t xml:space="preserve">shows the results of Modified signed-likelihood ratio test (MSLRT) for equality of CVs for for six measurements and two ratio values. There is a significant difference (p-value less than 0.01) between CV values for two metric measurements across phases, the rim diameter and the neck diameter. The CV values show that the variation of rim diameter is small (6.8%) before European contact, increases after the European presence (9.6%), and decreases after the Chinese presence (6.9%). For the neck diameter, the CV values indicate smaller variation after the European period (7.7%) and the Chinese period (7.1%) compared to pre-European period (10.6%).</w:t>
      </w:r>
    </w:p>
    <w:p>
      <w:pPr>
        <w:pStyle w:val="TableCaption"/>
      </w:pPr>
      <w:r>
        <w:t xml:space="preserve">Table 1: Coefficient of Variation test for metric attributes by phases</w:t>
      </w:r>
    </w:p>
    <w:tbl>
      <w:tblPr>
        <w:tblStyle w:val="Table"/>
        <w:tblW w:type="pct" w:w="0.0"/>
        <w:tblLook w:firstRow="1"/>
        <w:tblCaption w:val="Table 1: Coefficient of Variation test for metric attributes by phas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pre-European</w:t>
            </w:r>
          </w:p>
        </w:tc>
        <w:tc>
          <w:tcPr>
            <w:tcBorders>
              <w:bottom w:val="single"/>
            </w:tcBorders>
            <w:vAlign w:val="bottom"/>
          </w:tcPr>
          <w:p>
            <w:pPr>
              <w:pStyle w:val="Compact"/>
              <w:jc w:val="right"/>
            </w:pPr>
            <w:r>
              <w:t xml:space="preserve">after European</w:t>
            </w:r>
          </w:p>
        </w:tc>
        <w:tc>
          <w:tcPr>
            <w:tcBorders>
              <w:bottom w:val="single"/>
            </w:tcBorders>
            <w:vAlign w:val="bottom"/>
          </w:tcPr>
          <w:p>
            <w:pPr>
              <w:pStyle w:val="Compact"/>
              <w:jc w:val="right"/>
            </w:pPr>
            <w:r>
              <w:t xml:space="preserve">Chinese</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r>
      <w:tr>
        <w:tc>
          <w:p>
            <w:pPr>
              <w:pStyle w:val="Compact"/>
              <w:jc w:val="left"/>
            </w:pPr>
            <w:r>
              <w:t xml:space="preserve">Rim thickness (mm)</w:t>
            </w:r>
          </w:p>
        </w:tc>
        <w:tc>
          <w:p>
            <w:pPr>
              <w:pStyle w:val="Compact"/>
              <w:jc w:val="right"/>
            </w:pPr>
            <w:r>
              <w:t xml:space="preserve">23.0893</w:t>
            </w:r>
          </w:p>
        </w:tc>
        <w:tc>
          <w:p>
            <w:pPr>
              <w:pStyle w:val="Compact"/>
              <w:jc w:val="right"/>
            </w:pPr>
            <w:r>
              <w:t xml:space="preserve">26.3245</w:t>
            </w:r>
          </w:p>
        </w:tc>
        <w:tc>
          <w:p>
            <w:pPr>
              <w:pStyle w:val="Compact"/>
              <w:jc w:val="right"/>
            </w:pPr>
            <w:r>
              <w:t xml:space="preserve">21.8166</w:t>
            </w:r>
          </w:p>
        </w:tc>
        <w:tc>
          <w:p>
            <w:pPr>
              <w:pStyle w:val="Compact"/>
              <w:jc w:val="right"/>
            </w:pPr>
            <w:r>
              <w:t xml:space="preserve">3.3113</w:t>
            </w:r>
          </w:p>
        </w:tc>
        <w:tc>
          <w:p>
            <w:pPr>
              <w:pStyle w:val="Compact"/>
              <w:jc w:val="right"/>
            </w:pPr>
            <w:r>
              <w:t xml:space="preserve">0.1910</w:t>
            </w:r>
          </w:p>
        </w:tc>
      </w:tr>
      <w:tr>
        <w:tc>
          <w:p>
            <w:pPr>
              <w:pStyle w:val="Compact"/>
              <w:jc w:val="left"/>
            </w:pPr>
            <w:r>
              <w:t xml:space="preserve">Neck thickness (mm)</w:t>
            </w:r>
          </w:p>
        </w:tc>
        <w:tc>
          <w:p>
            <w:pPr>
              <w:pStyle w:val="Compact"/>
              <w:jc w:val="right"/>
            </w:pPr>
            <w:r>
              <w:t xml:space="preserve">17.3862</w:t>
            </w:r>
          </w:p>
        </w:tc>
        <w:tc>
          <w:p>
            <w:pPr>
              <w:pStyle w:val="Compact"/>
              <w:jc w:val="right"/>
            </w:pPr>
            <w:r>
              <w:t xml:space="preserve">20.3716</w:t>
            </w:r>
          </w:p>
        </w:tc>
        <w:tc>
          <w:p>
            <w:pPr>
              <w:pStyle w:val="Compact"/>
              <w:jc w:val="right"/>
            </w:pPr>
            <w:r>
              <w:t xml:space="preserve">19.8610</w:t>
            </w:r>
          </w:p>
        </w:tc>
        <w:tc>
          <w:p>
            <w:pPr>
              <w:pStyle w:val="Compact"/>
              <w:jc w:val="right"/>
            </w:pPr>
            <w:r>
              <w:t xml:space="preserve">3.6368</w:t>
            </w:r>
          </w:p>
        </w:tc>
        <w:tc>
          <w:p>
            <w:pPr>
              <w:pStyle w:val="Compact"/>
              <w:jc w:val="right"/>
            </w:pPr>
            <w:r>
              <w:t xml:space="preserve">0.1623</w:t>
            </w:r>
          </w:p>
        </w:tc>
      </w:tr>
      <w:tr>
        <w:tc>
          <w:p>
            <w:pPr>
              <w:pStyle w:val="Compact"/>
              <w:jc w:val="left"/>
            </w:pPr>
            <w:r>
              <w:t xml:space="preserve">Body thickness (mm)</w:t>
            </w:r>
          </w:p>
        </w:tc>
        <w:tc>
          <w:p>
            <w:pPr>
              <w:pStyle w:val="Compact"/>
              <w:jc w:val="right"/>
            </w:pPr>
            <w:r>
              <w:t xml:space="preserve">25.9332</w:t>
            </w:r>
          </w:p>
        </w:tc>
        <w:tc>
          <w:p>
            <w:pPr>
              <w:pStyle w:val="Compact"/>
              <w:jc w:val="right"/>
            </w:pPr>
            <w:r>
              <w:t xml:space="preserve">28.6251</w:t>
            </w:r>
          </w:p>
        </w:tc>
        <w:tc>
          <w:p>
            <w:pPr>
              <w:pStyle w:val="Compact"/>
              <w:jc w:val="right"/>
            </w:pPr>
            <w:r>
              <w:t xml:space="preserve">24.1887</w:t>
            </w:r>
          </w:p>
        </w:tc>
        <w:tc>
          <w:p>
            <w:pPr>
              <w:pStyle w:val="Compact"/>
              <w:jc w:val="right"/>
            </w:pPr>
            <w:r>
              <w:t xml:space="preserve">2.2762</w:t>
            </w:r>
          </w:p>
        </w:tc>
        <w:tc>
          <w:p>
            <w:pPr>
              <w:pStyle w:val="Compact"/>
              <w:jc w:val="right"/>
            </w:pPr>
            <w:r>
              <w:t xml:space="preserve">0.3204</w:t>
            </w:r>
          </w:p>
        </w:tc>
      </w:tr>
      <w:tr>
        <w:tc>
          <w:p>
            <w:pPr>
              <w:pStyle w:val="Compact"/>
              <w:jc w:val="left"/>
            </w:pPr>
            <w:r>
              <w:t xml:space="preserve">Ratio of Rim/Body thickness</w:t>
            </w:r>
          </w:p>
        </w:tc>
        <w:tc>
          <w:p>
            <w:pPr>
              <w:pStyle w:val="Compact"/>
              <w:jc w:val="right"/>
            </w:pPr>
            <w:r>
              <w:t xml:space="preserve">31.9633</w:t>
            </w:r>
          </w:p>
        </w:tc>
        <w:tc>
          <w:p>
            <w:pPr>
              <w:pStyle w:val="Compact"/>
              <w:jc w:val="right"/>
            </w:pPr>
            <w:r>
              <w:t xml:space="preserve">30.7785</w:t>
            </w:r>
          </w:p>
        </w:tc>
        <w:tc>
          <w:p>
            <w:pPr>
              <w:pStyle w:val="Compact"/>
              <w:jc w:val="right"/>
            </w:pPr>
            <w:r>
              <w:t xml:space="preserve">30.0600</w:t>
            </w:r>
          </w:p>
        </w:tc>
        <w:tc>
          <w:p>
            <w:pPr>
              <w:pStyle w:val="Compact"/>
              <w:jc w:val="right"/>
            </w:pPr>
            <w:r>
              <w:t xml:space="preserve">0.3057</w:t>
            </w:r>
          </w:p>
        </w:tc>
        <w:tc>
          <w:p>
            <w:pPr>
              <w:pStyle w:val="Compact"/>
              <w:jc w:val="right"/>
            </w:pPr>
            <w:r>
              <w:t xml:space="preserve">0.8583</w:t>
            </w:r>
          </w:p>
        </w:tc>
      </w:tr>
      <w:tr>
        <w:tc>
          <w:p>
            <w:pPr>
              <w:pStyle w:val="Compact"/>
              <w:jc w:val="left"/>
            </w:pPr>
            <w:r>
              <w:t xml:space="preserve">Rim diameter (mm)</w:t>
            </w:r>
          </w:p>
        </w:tc>
        <w:tc>
          <w:p>
            <w:pPr>
              <w:pStyle w:val="Compact"/>
              <w:jc w:val="right"/>
            </w:pPr>
            <w:r>
              <w:t xml:space="preserve">6.8355</w:t>
            </w:r>
          </w:p>
        </w:tc>
        <w:tc>
          <w:p>
            <w:pPr>
              <w:pStyle w:val="Compact"/>
              <w:jc w:val="right"/>
            </w:pPr>
            <w:r>
              <w:t xml:space="preserve">9.6082</w:t>
            </w:r>
          </w:p>
        </w:tc>
        <w:tc>
          <w:p>
            <w:pPr>
              <w:pStyle w:val="Compact"/>
              <w:jc w:val="right"/>
            </w:pPr>
            <w:r>
              <w:t xml:space="preserve">6.9300</w:t>
            </w:r>
          </w:p>
        </w:tc>
        <w:tc>
          <w:p>
            <w:pPr>
              <w:pStyle w:val="Compact"/>
              <w:jc w:val="right"/>
            </w:pPr>
            <w:r>
              <w:t xml:space="preserve">19.2422</w:t>
            </w:r>
          </w:p>
        </w:tc>
        <w:tc>
          <w:p>
            <w:pPr>
              <w:pStyle w:val="Compact"/>
              <w:jc w:val="right"/>
            </w:pPr>
            <w:r>
              <w:t xml:space="preserve">0.0001</w:t>
            </w:r>
          </w:p>
        </w:tc>
      </w:tr>
      <w:tr>
        <w:tc>
          <w:p>
            <w:pPr>
              <w:pStyle w:val="Compact"/>
              <w:jc w:val="left"/>
            </w:pPr>
            <w:r>
              <w:t xml:space="preserve">Neck diameter (mm)</w:t>
            </w:r>
          </w:p>
        </w:tc>
        <w:tc>
          <w:p>
            <w:pPr>
              <w:pStyle w:val="Compact"/>
              <w:jc w:val="right"/>
            </w:pPr>
            <w:r>
              <w:t xml:space="preserve">10.6207</w:t>
            </w:r>
          </w:p>
        </w:tc>
        <w:tc>
          <w:p>
            <w:pPr>
              <w:pStyle w:val="Compact"/>
              <w:jc w:val="right"/>
            </w:pPr>
            <w:r>
              <w:t xml:space="preserve">7.7212</w:t>
            </w:r>
          </w:p>
        </w:tc>
        <w:tc>
          <w:p>
            <w:pPr>
              <w:pStyle w:val="Compact"/>
              <w:jc w:val="right"/>
            </w:pPr>
            <w:r>
              <w:t xml:space="preserve">7.0658</w:t>
            </w:r>
          </w:p>
        </w:tc>
        <w:tc>
          <w:p>
            <w:pPr>
              <w:pStyle w:val="Compact"/>
              <w:jc w:val="right"/>
            </w:pPr>
            <w:r>
              <w:t xml:space="preserve">19.0681</w:t>
            </w:r>
          </w:p>
        </w:tc>
        <w:tc>
          <w:p>
            <w:pPr>
              <w:pStyle w:val="Compact"/>
              <w:jc w:val="right"/>
            </w:pPr>
            <w:r>
              <w:t xml:space="preserve">0.0001</w:t>
            </w:r>
          </w:p>
        </w:tc>
      </w:tr>
      <w:tr>
        <w:tc>
          <w:p>
            <w:pPr>
              <w:pStyle w:val="Compact"/>
              <w:jc w:val="left"/>
            </w:pPr>
            <w:r>
              <w:t xml:space="preserve">Body diameter (mm)</w:t>
            </w:r>
          </w:p>
        </w:tc>
        <w:tc>
          <w:p>
            <w:pPr>
              <w:pStyle w:val="Compact"/>
              <w:jc w:val="right"/>
            </w:pPr>
            <w:r>
              <w:t xml:space="preserve">9.2486</w:t>
            </w:r>
          </w:p>
        </w:tc>
        <w:tc>
          <w:p>
            <w:pPr>
              <w:pStyle w:val="Compact"/>
              <w:jc w:val="right"/>
            </w:pPr>
            <w:r>
              <w:t xml:space="preserve">8.8551</w:t>
            </w:r>
          </w:p>
        </w:tc>
        <w:tc>
          <w:p>
            <w:pPr>
              <w:pStyle w:val="Compact"/>
              <w:jc w:val="right"/>
            </w:pPr>
            <w:r>
              <w:t xml:space="preserve">6.5620</w:t>
            </w:r>
          </w:p>
        </w:tc>
        <w:tc>
          <w:p>
            <w:pPr>
              <w:pStyle w:val="Compact"/>
              <w:jc w:val="right"/>
            </w:pPr>
            <w:r>
              <w:t xml:space="preserve">4.9965</w:t>
            </w:r>
          </w:p>
        </w:tc>
        <w:tc>
          <w:p>
            <w:pPr>
              <w:pStyle w:val="Compact"/>
              <w:jc w:val="right"/>
            </w:pPr>
            <w:r>
              <w:t xml:space="preserve">0.0822</w:t>
            </w:r>
          </w:p>
        </w:tc>
      </w:tr>
      <w:tr>
        <w:tc>
          <w:p>
            <w:pPr>
              <w:pStyle w:val="Compact"/>
              <w:jc w:val="left"/>
            </w:pPr>
            <w:r>
              <w:t xml:space="preserve">Ratio of Rim/Body diameter</w:t>
            </w:r>
          </w:p>
        </w:tc>
        <w:tc>
          <w:p>
            <w:pPr>
              <w:pStyle w:val="Compact"/>
              <w:jc w:val="right"/>
            </w:pPr>
            <w:r>
              <w:t xml:space="preserve">6.6892</w:t>
            </w:r>
          </w:p>
        </w:tc>
        <w:tc>
          <w:p>
            <w:pPr>
              <w:pStyle w:val="Compact"/>
              <w:jc w:val="right"/>
            </w:pPr>
            <w:r>
              <w:t xml:space="preserve">7.2115</w:t>
            </w:r>
          </w:p>
        </w:tc>
        <w:tc>
          <w:p>
            <w:pPr>
              <w:pStyle w:val="Compact"/>
              <w:jc w:val="right"/>
            </w:pPr>
            <w:r>
              <w:t xml:space="preserve">7.0293</w:t>
            </w:r>
          </w:p>
        </w:tc>
        <w:tc>
          <w:p>
            <w:pPr>
              <w:pStyle w:val="Compact"/>
              <w:jc w:val="right"/>
            </w:pPr>
            <w:r>
              <w:t xml:space="preserve">0.7344</w:t>
            </w:r>
          </w:p>
        </w:tc>
        <w:tc>
          <w:p>
            <w:pPr>
              <w:pStyle w:val="Compact"/>
              <w:jc w:val="right"/>
            </w:pPr>
            <w:r>
              <w:t xml:space="preserve">0.6927</w:t>
            </w:r>
          </w:p>
        </w:tc>
      </w:tr>
    </w:tbl>
    <w:p>
      <w:pPr>
        <w:pStyle w:val="BodyText"/>
      </w:pPr>
      <w:r>
        <w:t xml:space="preserve">The elliptic Fourier coefficients of 73 pottery from three phases were calculated. Reliable pottery outline was captured by 13 harmonics that gather 99 % of the total harmonic power. The average shape of vessels from each phase was visualized by computing the mean of the standardized Fourier coefficients within each phase group (Figure</w:t>
      </w:r>
      <w:r>
        <w:t xml:space="preserve"> </w:t>
      </w:r>
      <w:r>
        <w:t xml:space="preserve">4</w:t>
      </w:r>
      <w:r>
        <w:t xml:space="preserve">). Figure</w:t>
      </w:r>
      <w:r>
        <w:t xml:space="preserve"> </w:t>
      </w:r>
      <w:r>
        <w:t xml:space="preserve">5</w:t>
      </w:r>
      <w:r>
        <w:t xml:space="preserve"> </w:t>
      </w:r>
      <w:r>
        <w:t xml:space="preserve">shows the shape changes described using thin-plate spline warping for paired periods, pre and post European periods, and post-European and Chinese period in a time sequence.</w:t>
      </w:r>
    </w:p>
    <w:p>
      <w:pPr>
        <w:pStyle w:val="CaptionedFigure"/>
      </w:pPr>
      <w:r>
        <w:drawing>
          <wp:inline>
            <wp:extent cx="5943600" cy="4754880"/>
            <wp:effectExtent b="0" l="0" r="0" t="0"/>
            <wp:docPr descr="Figure 4: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Mean pottery shapes of three phases</w:t>
      </w:r>
    </w:p>
    <w:p>
      <w:pPr>
        <w:pStyle w:val="CaptionedFigure"/>
      </w:pPr>
      <w:r>
        <w:drawing>
          <wp:inline>
            <wp:extent cx="5943600" cy="4754880"/>
            <wp:effectExtent b="0" l="0" r="0" t="0"/>
            <wp:docPr descr="Figure 5: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Compare the average shapes across phases using thin plate splines (TPS) with outline deformations required to pass from an extreme of the morphospace to the other.</w:t>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6</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7</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CaptionedFigure"/>
      </w:pPr>
      <w:r>
        <w:drawing>
          <wp:inline>
            <wp:extent cx="5943600" cy="4754880"/>
            <wp:effectExtent b="0" l="0" r="0" t="0"/>
            <wp:docPr descr="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CaptionedFigure"/>
      </w:pPr>
      <w:r>
        <w:drawing>
          <wp:inline>
            <wp:extent cx="5943600" cy="4754880"/>
            <wp:effectExtent b="0" l="0" r="0" t="0"/>
            <wp:docPr descr="Figure 7: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Pottery shape distribution by each occupation phase according to the first two PCs</w:t>
      </w:r>
    </w:p>
    <w:p>
      <w:pPr>
        <w:pStyle w:val="TableCaption"/>
      </w:pPr>
      <w:r>
        <w:t xml:space="preserve">Table 2: The statistics summary of MANOVA test for the PC scores</w:t>
      </w:r>
    </w:p>
    <w:tbl>
      <w:tblPr>
        <w:tblStyle w:val="Table"/>
        <w:tblW w:type="pct" w:w="0.0"/>
        <w:tblLook w:firstRow="1"/>
        <w:tblCaption w:val="Table 2: The statistics summary of MANOVA test for the PC scores"/>
      </w:tblPr>
      <w:tblGrid/>
      <w:tr>
        <w:trPr>
          <w:cnfStyle w:firstRow="1"/>
        </w:trPr>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right"/>
            </w:pPr>
            <w:r>
              <w:t xml:space="preserve">1</w:t>
            </w:r>
          </w:p>
        </w:tc>
        <w:tc>
          <w:p>
            <w:pPr>
              <w:pStyle w:val="Compact"/>
              <w:jc w:val="right"/>
            </w:pPr>
            <w:r>
              <w:t xml:space="preserve">0.3806</w:t>
            </w:r>
          </w:p>
        </w:tc>
        <w:tc>
          <w:p>
            <w:pPr>
              <w:pStyle w:val="Compact"/>
              <w:jc w:val="right"/>
            </w:pPr>
            <w:r>
              <w:t xml:space="preserve">1.6202</w:t>
            </w:r>
          </w:p>
        </w:tc>
        <w:tc>
          <w:p>
            <w:pPr>
              <w:pStyle w:val="Compact"/>
              <w:jc w:val="right"/>
            </w:pPr>
            <w:r>
              <w:t xml:space="preserve">11</w:t>
            </w:r>
          </w:p>
        </w:tc>
        <w:tc>
          <w:p>
            <w:pPr>
              <w:pStyle w:val="Compact"/>
              <w:jc w:val="right"/>
            </w:pPr>
            <w:r>
              <w:t xml:space="preserve">29</w:t>
            </w:r>
          </w:p>
        </w:tc>
        <w:tc>
          <w:p>
            <w:pPr>
              <w:pStyle w:val="Compact"/>
              <w:jc w:val="right"/>
            </w:pPr>
            <w:r>
              <w:t xml:space="preserve">0.1452</w:t>
            </w:r>
          </w:p>
        </w:tc>
      </w:tr>
      <w:tr>
        <w:tc>
          <w:p>
            <w:pPr>
              <w:pStyle w:val="Compact"/>
              <w:jc w:val="right"/>
            </w:pPr>
            <w:r>
              <w:t xml:space="preserve">1</w:t>
            </w:r>
          </w:p>
        </w:tc>
        <w:tc>
          <w:p>
            <w:pPr>
              <w:pStyle w:val="Compact"/>
              <w:jc w:val="right"/>
            </w:pPr>
            <w:r>
              <w:t xml:space="preserve">0.6942</w:t>
            </w:r>
          </w:p>
        </w:tc>
        <w:tc>
          <w:p>
            <w:pPr>
              <w:pStyle w:val="Compact"/>
              <w:jc w:val="right"/>
            </w:pPr>
            <w:r>
              <w:t xml:space="preserve">7.0177</w:t>
            </w:r>
          </w:p>
        </w:tc>
        <w:tc>
          <w:p>
            <w:pPr>
              <w:pStyle w:val="Compact"/>
              <w:jc w:val="right"/>
            </w:pPr>
            <w:r>
              <w:t xml:space="preserve">11</w:t>
            </w:r>
          </w:p>
        </w:tc>
        <w:tc>
          <w:p>
            <w:pPr>
              <w:pStyle w:val="Compact"/>
              <w:jc w:val="right"/>
            </w:pPr>
            <w:r>
              <w:t xml:space="preserve">34</w:t>
            </w:r>
          </w:p>
        </w:tc>
        <w:tc>
          <w:p>
            <w:pPr>
              <w:pStyle w:val="Compact"/>
              <w:jc w:val="right"/>
            </w:pPr>
            <w:r>
              <w:t xml:space="preserve">0.0000</w:t>
            </w:r>
          </w:p>
        </w:tc>
      </w:tr>
      <w:tr>
        <w:tc>
          <w:p>
            <w:pPr>
              <w:pStyle w:val="Compact"/>
              <w:jc w:val="right"/>
            </w:pPr>
            <w:r>
              <w:t xml:space="preserve">1</w:t>
            </w:r>
          </w:p>
        </w:tc>
        <w:tc>
          <w:p>
            <w:pPr>
              <w:pStyle w:val="Compact"/>
              <w:jc w:val="right"/>
            </w:pPr>
            <w:r>
              <w:t xml:space="preserve">0.3491</w:t>
            </w:r>
          </w:p>
        </w:tc>
        <w:tc>
          <w:p>
            <w:pPr>
              <w:pStyle w:val="Compact"/>
              <w:jc w:val="right"/>
            </w:pPr>
            <w:r>
              <w:t xml:space="preserve">2.2917</w:t>
            </w:r>
          </w:p>
        </w:tc>
        <w:tc>
          <w:p>
            <w:pPr>
              <w:pStyle w:val="Compact"/>
              <w:jc w:val="right"/>
            </w:pPr>
            <w:r>
              <w:t xml:space="preserve">11</w:t>
            </w:r>
          </w:p>
        </w:tc>
        <w:tc>
          <w:p>
            <w:pPr>
              <w:pStyle w:val="Compact"/>
              <w:jc w:val="right"/>
            </w:pPr>
            <w:r>
              <w:t xml:space="preserve">47</w:t>
            </w:r>
          </w:p>
        </w:tc>
        <w:tc>
          <w:p>
            <w:pPr>
              <w:pStyle w:val="Compact"/>
              <w:jc w:val="right"/>
            </w:pPr>
            <w:r>
              <w:t xml:space="preserve">0.0243</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2</w:t>
      </w:r>
      <w:r>
        <w:t xml:space="preserve"> </w:t>
      </w:r>
      <w:r>
        <w:t xml:space="preserve">show significant differences in shape between Pre-European and Post-European (p =</w:t>
      </w:r>
      <w:r>
        <w:t xml:space="preserve"> </w:t>
      </w:r>
      <m:oMath>
        <m:r>
          <m:t>0.0243</m:t>
        </m:r>
      </m:oMath>
      <w:r>
        <w:t xml:space="preserve">) and Pre-European and Chinese contact shapes (p =</w:t>
      </w:r>
      <w:r>
        <w:t xml:space="preserve"> </w:t>
      </w:r>
      <m:oMath>
        <m:r>
          <m:t>0</m:t>
        </m:r>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8: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8: The distribution of PC scores by phases</w:t>
      </w:r>
    </w:p>
    <w:p>
      <w:pPr>
        <w:pStyle w:val="TableCaption"/>
      </w:pPr>
      <w:r>
        <w:t xml:space="preserve">Table 3: P-values of the CV equality test of PC1 and PC2 between phases</w:t>
      </w:r>
    </w:p>
    <w:tbl>
      <w:tblPr>
        <w:tblStyle w:val="Table"/>
        <w:tblW w:type="pct" w:w="0.0"/>
        <w:tblLook w:firstRow="1"/>
        <w:tblCaption w:val="Table 3: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2.6379</w:t>
            </w:r>
          </w:p>
        </w:tc>
        <w:tc>
          <w:p>
            <w:pPr>
              <w:pStyle w:val="Compact"/>
              <w:jc w:val="right"/>
            </w:pPr>
            <w:r>
              <w:t xml:space="preserve">0.1043</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13.9370</w:t>
            </w:r>
          </w:p>
        </w:tc>
        <w:tc>
          <w:p>
            <w:pPr>
              <w:pStyle w:val="Compact"/>
              <w:jc w:val="right"/>
            </w:pPr>
            <w:r>
              <w:t xml:space="preserve">0.0002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8.2417</w:t>
            </w:r>
          </w:p>
        </w:tc>
        <w:tc>
          <w:p>
            <w:pPr>
              <w:pStyle w:val="Compact"/>
              <w:jc w:val="right"/>
            </w:pPr>
            <w:r>
              <w:t xml:space="preserve">0.0041</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3.9697</w:t>
            </w:r>
          </w:p>
        </w:tc>
        <w:tc>
          <w:p>
            <w:pPr>
              <w:pStyle w:val="Compact"/>
              <w:jc w:val="right"/>
            </w:pPr>
            <w:r>
              <w:t xml:space="preserve">0.0463</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8.6295</w:t>
            </w:r>
          </w:p>
        </w:tc>
        <w:tc>
          <w:p>
            <w:pPr>
              <w:pStyle w:val="Compact"/>
              <w:jc w:val="right"/>
            </w:pPr>
            <w:r>
              <w:t xml:space="preserve">0.0033</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8.1378</w:t>
            </w:r>
          </w:p>
        </w:tc>
        <w:tc>
          <w:p>
            <w:pPr>
              <w:pStyle w:val="Compact"/>
              <w:jc w:val="right"/>
            </w:pPr>
            <w:r>
              <w:t xml:space="preserve">0.0043</w:t>
            </w:r>
          </w:p>
        </w:tc>
        <w:tc>
          <w:p>
            <w:pPr>
              <w:pStyle w:val="Compact"/>
              <w:jc w:val="left"/>
            </w:pPr>
            <w:r>
              <w:t xml:space="preserve">Chinese Contact vs Post-European</w:t>
            </w:r>
          </w:p>
        </w:tc>
      </w:tr>
    </w:tbl>
    <w:p>
      <w:pPr>
        <w:pStyle w:val="CaptionedFigure"/>
      </w:pPr>
      <w:r>
        <w:drawing>
          <wp:inline>
            <wp:extent cx="5943600" cy="4754880"/>
            <wp:effectExtent b="0" l="0" r="0" t="0"/>
            <wp:docPr descr="Figure 9: P-values of the CV equality test of PC1 and PC2 between phases, red color indicates p-value is less than 0.05" title="" id="1" name="Picture"/>
            <a:graphic>
              <a:graphicData uri="http://schemas.openxmlformats.org/drawingml/2006/picture">
                <pic:pic>
                  <pic:nvPicPr>
                    <pic:cNvPr descr="../figures/CV-test-PCs-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9: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8</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less than 0.01) in the standardization of vessel shape across some periods, especially between Chinese contact with either pre-European or post-European(Figure</w:t>
      </w:r>
      <w:r>
        <w:t xml:space="preserve"> </w:t>
      </w:r>
      <w:r>
        <w:t xml:space="preserve">9</w:t>
      </w:r>
      <w:r>
        <w:t xml:space="preserve">, Table</w:t>
      </w:r>
      <w:r>
        <w:t xml:space="preserve"> </w:t>
      </w:r>
      <w:r>
        <w:t xml:space="preserve">3</w:t>
      </w:r>
      <w:r>
        <w:t xml:space="preserve">). Significant difference is also detected between pre-European and post-European (P-value less than 0.05).</w:t>
      </w:r>
    </w:p>
    <w:p>
      <w:pPr>
        <w:pStyle w:val="Heading1"/>
      </w:pPr>
      <w:bookmarkStart w:id="38" w:name="discussion"/>
      <w:r>
        <w:t xml:space="preserve">Discussion</w:t>
      </w:r>
      <w:bookmarkEnd w:id="38"/>
    </w:p>
    <w:p>
      <w:pPr>
        <w:pStyle w:val="FirstParagraph"/>
      </w:pPr>
      <w:r>
        <w:t xml:space="preserve">Previous investigations at Kiwulan suggest an unequal distribution pattern of prestige goods, trade ornaments specifically, after the presence of the European that hints the emergence of social inequality. We examine the degree of the ceramic standardization to measure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 result of MANOVA shows there is a significant difference in shapes between pre-European and Post-European period, and between the pre-European and the Chinese period. The average shape presents a round body with a wider rim and neck before the European contact, and turns to oval-shaped body with narrower rim and neck after the European presence and even more obvious during the Chinese contact period. In general, pottery shapes become shorter in hight over time that leads to the oval-shaped body. For the standardization of pottery shape, the result of CV test indicates the significant differences between pre-European period and post-European period (P-value less than 0.05), and between Chinese contact and either pre-European or post-European (P-value less than 0.01). This suggests pottery shape becomes more homogeneous and standardized after foreign contacts with the European colonizer and even more with the Chinese immigrants. The compositional analysis shows clay pastes are similar, regardless of the increasing standardization of the pottery shape, reflecting the raw material sources remains unchanged. More standardized shape in the Chinese period might indicate the appearance of a specialized group.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that offers limited spaces to protect organic molecules from microbiological degradation</w:t>
      </w:r>
      <w:r>
        <w:t xml:space="preserve"> </w:t>
      </w:r>
      <w:r>
        <w:t xml:space="preserve">(Evershed, 2008, p. 909)</w:t>
      </w:r>
      <w:r>
        <w:t xml:space="preserve">.</w:t>
      </w:r>
    </w:p>
    <w:p>
      <w:pPr>
        <w:pStyle w:val="BodyText"/>
      </w:pPr>
      <w:r>
        <w:t xml:space="preserve">The results support part of our hypothesis that foreign influences had impacts on the emergence of social inequality in local indigenous society reflected by the degree of pottery standardization, however, stronger in the Chinese period instead of the European period originally thought to be. The hypothesis of the emergence of social inequality based on the monopolies for long-distance trade brought by the Europeans was not fully supported. The nature and context of the interaction with the foreign presences might give an insight into the different degrees of standardized pottery. Compared to other region in Taiwan, the European colonial control was weak in Yilan due to the relatively isolated location by mountains and the economic consideration of the Spanish and the Dutch who prefer northern Taiwan as a trading base. Yilan could be seen as a place experienced indirect influences by the European trade network and their colonial activities in a pericolonial context</w:t>
      </w:r>
      <w:r>
        <w:t xml:space="preserve"> </w:t>
      </w:r>
      <w:r>
        <w:t xml:space="preserve">(cf. 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a large amount of Chinese porcelains and distinctive architectural bricks and tiles used by Chinese</w:t>
      </w:r>
      <w:r>
        <w:t xml:space="preserve"> </w:t>
      </w:r>
      <w:r>
        <w:t xml:space="preserve">(Hsieh, 2009)</w:t>
      </w:r>
      <w:r>
        <w:t xml:space="preserve">. Also, the finding of adoption of coffin in mortuary practice that viewed as an ethnic symbol for Chinese was observed</w:t>
      </w:r>
      <w:r>
        <w:t xml:space="preserve"> </w:t>
      </w:r>
      <w:r>
        <w:t xml:space="preserve">(Chen, 2007)</w:t>
      </w:r>
      <w:r>
        <w:t xml:space="preserv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most metric attributes. There is higher variation in thickness attributes compared to diameter attributes, indicating shape is the main attribute that presents homogeneity. In addition to the emergence of specialized groups indicative of changes in social organization, a further explanation could be that producing homogeneous pottery is an act of resistance to the Europeans intrusion and the Chinese immigrants by emphasizing the practice of traditional pottery production. In a culture contact situation, social identity could be expressed through materials practices to show cultural homogeneity and distinction from other groups</w:t>
      </w:r>
      <w:r>
        <w:t xml:space="preserve"> </w:t>
      </w:r>
      <w:r>
        <w:t xml:space="preserve">(Voss, 2005)</w:t>
      </w:r>
      <w:r>
        <w:t xml:space="preserve">. It is also important to recognize that social identity might be more complicated in a colonial context, not just a colonized–colonizer or local/foreign dichotomy</w:t>
      </w:r>
      <w:r>
        <w:t xml:space="preserve"> </w:t>
      </w:r>
      <w:r>
        <w:t xml:space="preserve">(Voss, 2008, 2005)</w:t>
      </w:r>
      <w:r>
        <w:t xml:space="preserve">. The case study of Shamaoshan cemetery (3BC- 4AD) in Southwest China showing the process of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At Kiwulan, the standardization of potter shape is significant in the 19th century when a a large number of Chinese immigrants migrated to Yilan. Shape can be viewed as a symbol as an expression the indigenous identity or social boundary because shape is the most obvious and visible trait compared with other features of pottery</w:t>
      </w:r>
      <w:r>
        <w:t xml:space="preserve"> </w:t>
      </w:r>
      <w:r>
        <w:t xml:space="preserve">(cf. Roux, 2015)</w:t>
      </w:r>
      <w:r>
        <w:t xml:space="preserve">. Although there is an increase in number of imported ceramics over time and reached high quantity and diversity in the 19th century, the production of the local pottery continued and became more standardized. This might imply not only the utilitarian function, but an deliberate action to emphasize the pottery tradition as their cultural custom.</w:t>
      </w:r>
    </w:p>
    <w:p>
      <w:pPr>
        <w:pStyle w:val="Heading1"/>
      </w:pPr>
      <w:bookmarkStart w:id="39" w:name="conclusion"/>
      <w:r>
        <w:t xml:space="preserve">Conclusion</w:t>
      </w:r>
      <w:bookmarkEnd w:id="39"/>
    </w:p>
    <w:p>
      <w:pPr>
        <w:pStyle w:val="FirstParagraph"/>
      </w:pPr>
      <w:r>
        <w:t xml:space="preserve">This case study demonstrates the application of Elliptic Fourier analysis on ceramic shapes to explore the emergence of ceramic specialization and the underlying mechanism indicative of foreign cultural influences. Compared with the traditional linear measurement approach, geometric morphometrics methods especially EFA-based outline approach is more effective to detect shape variations for artifact shape without obvious landmarks. Here, EFA approach combined with a significance test for the equality of CVs for shape variables provides a robust way to identify and statistically assess the difference in shape standardization. Lower variation in ceramic shape was identified after the European presence and even much lower variation during the Chinese presence. The direct relationship between foreign influences and highly standardized ceramic shape was tested here on Kiwulan pottery. This finding helps to understand the cause and factor that would lead to the standardization of pottery production in a cross-cultural interaction context. This gave an insight into the discussion of ceramic specialization which is usually associated with the changes in social organization. The more homogeneous shape during the contact period without any changes in clay paste or producing technique suggests that shape standardization is an outcome resulted from an intentional act. The results here suggest an expression of social identity or showing cultural boundaries in indigenous societies through visible variables when encountering foreign intrusion. The analysis allows comparisons between sites with a similar historical trajectory in a pericolonial context. Our case study includes an openly available pipeline suitable for other assemblages, ensuring reproducibility and expanding the use of shape-based quantitative methods to questions about craft specialization and standardization in prehistoric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2" w:name="refs"/>
    <w:bookmarkStart w:id="43"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odyText"/>
      </w:pPr>
      <w:r>
        <w:t xml:space="preserve">Adams, D.C., Rohlf, F.J., Slice, D.E., 2004. Geometric morphometrics: Ten years of progress following the “revolution”. Italian Journal of Zoology 71, 5–16.</w:t>
      </w:r>
    </w:p>
    <w:bookmarkEnd w:id="45"/>
    <w:bookmarkStart w:id="46"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odyText"/>
      </w:pPr>
      <w:r>
        <w:t xml:space="preserve">Andrade, T., 2007. How Taiwan became chinese : Dutch, spanish, and han colonization in the seventeenth century. Columbia University Press, New York.</w:t>
      </w:r>
    </w:p>
    <w:bookmarkEnd w:id="47"/>
    <w:bookmarkStart w:id="48" w:name="ref-Arnold2000"/>
    <w:p>
      <w:pPr>
        <w:pStyle w:val="BodyText"/>
      </w:pPr>
      <w:r>
        <w:t xml:space="preserve">Arnold, D.E., 2000. Does the standardization of ceramic pastes really mean specialization? Journal of Archaeological Method and Theory 7, 333–375.</w:t>
      </w:r>
    </w:p>
    <w:bookmarkEnd w:id="48"/>
    <w:bookmarkStart w:id="49" w:name="ref-Arnold1994"/>
    <w:p>
      <w:pPr>
        <w:pStyle w:val="BodyText"/>
      </w:pPr>
      <w:r>
        <w:t xml:space="preserve">Arnold, J.E., Munns, A., 1994. Independent or attached specialization: The organization of shell bead production in california. Journal of Field Archaeology 21, 473–489.</w:t>
      </w:r>
    </w:p>
    <w:bookmarkEnd w:id="49"/>
    <w:bookmarkStart w:id="50"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odyText"/>
      </w:pPr>
      <w:r>
        <w:t xml:space="preserve">Boness, D., Clarke, J., Goren, Y., 2015. Ceramic neolithic pottery in cyprus—origin, technology and possible implications for social structure and identity. Levant 47, 233–254.</w:t>
      </w:r>
    </w:p>
    <w:bookmarkEnd w:id="52"/>
    <w:bookmarkStart w:id="53" w:name="ref-Bonhomme2014"/>
    <w:p>
      <w:pPr>
        <w:pStyle w:val="BodyText"/>
      </w:pPr>
      <w:r>
        <w:t xml:space="preserve">Bonhomme, V., Picq, S., Gaucherel, C., Claude, J., others, 2014. Momocs: Outline analysis using r. Journal of Statistical Software 56, 1–24.</w:t>
      </w:r>
    </w:p>
    <w:bookmarkEnd w:id="53"/>
    <w:bookmarkStart w:id="54" w:name="ref-Bookstein1997"/>
    <w:p>
      <w:pPr>
        <w:pStyle w:val="BodyText"/>
      </w:pPr>
      <w:r>
        <w:t xml:space="preserve">Bookstein, F.L., 1997. Landmark methods for forms without landmarks: Morphometrics of group differences in outline shape. Medical image analysis 1, 225–243.</w:t>
      </w:r>
    </w:p>
    <w:bookmarkEnd w:id="54"/>
    <w:bookmarkStart w:id="55" w:name="ref-Bookstein1991"/>
    <w:p>
      <w:pPr>
        <w:pStyle w:val="BodyText"/>
      </w:pPr>
      <w:r>
        <w:t xml:space="preserve">Bookstein, F.L., 1991. Morphometric tools for landmark data: Geometry and biology. Cambridge University Press.</w:t>
      </w:r>
    </w:p>
    <w:bookmarkEnd w:id="55"/>
    <w:bookmarkStart w:id="56" w:name="ref-Buchanan2019"/>
    <w:p>
      <w:pPr>
        <w:pStyle w:val="BodyText"/>
      </w:pPr>
      <w:r>
        <w:t xml:space="preserve">Buchanan, B., Collard, M., O’Brien, M.J., 2019. Geometric morphometric analyses support incorporating the goshen point type into plainview. American Antiquity 1–11.</w:t>
      </w:r>
    </w:p>
    <w:bookmarkEnd w:id="56"/>
    <w:bookmarkStart w:id="57" w:name="ref-Cardillo2010"/>
    <w:p>
      <w:pPr>
        <w:pStyle w:val="BodyText"/>
      </w:pPr>
      <w:r>
        <w:t xml:space="preserve">Cardillo, M., 2010. Some applications of geometric morphometrics to archaeology, in: Elewa, A.M.T. (Ed.), Morphometrics for Nonmorphometricians. Springer, pp. 325–341.</w:t>
      </w:r>
    </w:p>
    <w:bookmarkEnd w:id="57"/>
    <w:bookmarkStart w:id="58" w:name="ref-Chen2016"/>
    <w:p>
      <w:pPr>
        <w:pStyle w:val="BodyText"/>
      </w:pPr>
      <w:r>
        <w:t xml:space="preserve">Chen, W.-S., 2016. Tai wan di zhi gai lun [an introduction to the geology of taiwan]. Geological Society Located in Taipei.</w:t>
      </w:r>
    </w:p>
    <w:bookmarkEnd w:id="58"/>
    <w:bookmarkStart w:id="59" w:name="ref-Chen2007"/>
    <w:p>
      <w:pPr>
        <w:pStyle w:val="BodyText"/>
      </w:pPr>
      <w:r>
        <w:t xml:space="preserve">Chen, Y.-p., 2007. Qi wu lan yi zhi qiang jiu fa jue bao gao [report on the archaeological excavations at ki-wu-lan site]. Lanyang museum, Yilan, Taiwan.</w:t>
      </w:r>
    </w:p>
    <w:bookmarkEnd w:id="59"/>
    <w:bookmarkStart w:id="60" w:name="ref-Claude2008"/>
    <w:p>
      <w:pPr>
        <w:pStyle w:val="BodyText"/>
      </w:pPr>
      <w:r>
        <w:t xml:space="preserve">Claude, J., 2008. Morphometrics with r. Springer Science &amp; Business Media.</w:t>
      </w:r>
    </w:p>
    <w:bookmarkEnd w:id="60"/>
    <w:bookmarkStart w:id="61" w:name="ref-Costin2001"/>
    <w:p>
      <w:pPr>
        <w:pStyle w:val="BodyText"/>
      </w:pPr>
      <w:r>
        <w:t xml:space="preserve">Costin, C.L., 2001. Craft production systems, in: Archaeology at the Millennium. Springer, pp. 273–327.</w:t>
      </w:r>
    </w:p>
    <w:bookmarkEnd w:id="61"/>
    <w:bookmarkStart w:id="62" w:name="ref-Costin1991"/>
    <w:p>
      <w:pPr>
        <w:pStyle w:val="BodyText"/>
      </w:pPr>
      <w:r>
        <w:t xml:space="preserve">Costin, C.L., 1991. Craft specialization: Issues in defining, documenting, and explaining the organization of production. Archaeological method and theory 1–56.</w:t>
      </w:r>
    </w:p>
    <w:bookmarkEnd w:id="62"/>
    <w:bookmarkStart w:id="63" w:name="ref-Dietler2015"/>
    <w:p>
      <w:pPr>
        <w:pStyle w:val="BodyText"/>
      </w:pPr>
      <w:r>
        <w:t xml:space="preserve">Dietler, M., 2015. Archaeologies of colonialism: Consumption, entanglement, and violence in ancient mediterranean france. Univ of California Press.</w:t>
      </w:r>
    </w:p>
    <w:bookmarkEnd w:id="63"/>
    <w:bookmarkStart w:id="64"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4"/>
    <w:bookmarkStart w:id="65" w:name="ref-Dietler1997"/>
    <w:p>
      <w:pPr>
        <w:pStyle w:val="BodyText"/>
      </w:pPr>
      <w:r>
        <w:t xml:space="preserve">Dietler, M., 1997. The iron age in mediterranean france: Colonial encounters, entanglements, and transformations. Journal of World Prehistory 11, 269–358.</w:t>
      </w:r>
    </w:p>
    <w:bookmarkEnd w:id="65"/>
    <w:bookmarkStart w:id="66" w:name="ref-Eerkens2001"/>
    <w:p>
      <w:pPr>
        <w:pStyle w:val="BodyText"/>
      </w:pPr>
      <w:r>
        <w:t xml:space="preserve">Eerkens, J.W., Bettinger, R.L., 2001. Techniques for assessing standardization in artifact assemblages: Can we scale material variability? American Antiquity 66, 493–504.</w:t>
      </w:r>
    </w:p>
    <w:bookmarkEnd w:id="66"/>
    <w:bookmarkStart w:id="67" w:name="ref-Evershed2008"/>
    <w:p>
      <w:pPr>
        <w:pStyle w:val="BodyText"/>
      </w:pPr>
      <w:r>
        <w:t xml:space="preserve">Evershed, R.P., 2008. Organic residue analysis in archaeology: The archaeological biomarker revolution. Archaeometry 50, 895–924.</w:t>
      </w:r>
    </w:p>
    <w:bookmarkEnd w:id="67"/>
    <w:bookmarkStart w:id="68"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8"/>
    <w:bookmarkStart w:id="69" w:name="ref-Feltz1996"/>
    <w:p>
      <w:pPr>
        <w:pStyle w:val="BodyText"/>
      </w:pPr>
      <w:r>
        <w:t xml:space="preserve">Feltz, C.J., Miller, G.E., 1996. An asymptotic test for the equality of coefficients of variation from k populations. Statistics in medicine 15, 647–658.</w:t>
      </w:r>
    </w:p>
    <w:bookmarkEnd w:id="69"/>
    <w:bookmarkStart w:id="70" w:name="ref-Fox2015"/>
    <w:p>
      <w:pPr>
        <w:pStyle w:val="BodyText"/>
      </w:pPr>
      <w:r>
        <w:t xml:space="preserve">Fox, A.N., 2015. A study of late woodland projectile point typology in new york using elliptical fourier outline analysis. Journal of Archaeological Science: Reports 4, 501–509.</w:t>
      </w:r>
    </w:p>
    <w:bookmarkEnd w:id="70"/>
    <w:bookmarkStart w:id="71" w:name="ref-Given2004"/>
    <w:p>
      <w:pPr>
        <w:pStyle w:val="BodyText"/>
      </w:pPr>
      <w:r>
        <w:t xml:space="preserve">Given, M., 2004. The archaeology of the colonized. Routledge, London; New York.</w:t>
      </w:r>
    </w:p>
    <w:bookmarkEnd w:id="71"/>
    <w:bookmarkStart w:id="72" w:name="ref-Gunz2013"/>
    <w:p>
      <w:pPr>
        <w:pStyle w:val="BodyText"/>
      </w:pPr>
      <w:r>
        <w:t xml:space="preserve">Gunz, P., Mitteroecker, P., 2013. Semilandmarks: A method for quantifying curves and surfaces. Hystrix, the Italian Journal of Mammalogy 24, 103–109.</w:t>
      </w:r>
    </w:p>
    <w:bookmarkEnd w:id="72"/>
    <w:bookmarkStart w:id="73"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3"/>
    <w:bookmarkStart w:id="74" w:name="ref-Hirshman2010"/>
    <w:p>
      <w:pPr>
        <w:pStyle w:val="BodyText"/>
      </w:pPr>
      <w:r>
        <w:t xml:space="preserve">Hirshman, A.J., Lovis, W.A., Pollard, H.P., 2010. Specialization of ceramic production: A sherd assemblage based analytic perspective. Journal of Anthropological Archaeology 29, 265–277.</w:t>
      </w:r>
    </w:p>
    <w:bookmarkEnd w:id="74"/>
    <w:bookmarkStart w:id="75"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5"/>
    <w:bookmarkStart w:id="76" w:name="ref-Hsieh2009"/>
    <w:p>
      <w:pPr>
        <w:pStyle w:val="BodyText"/>
      </w:pPr>
      <w:r>
        <w:t xml:space="preserve">Hsieh, E., 2009. Yi lan qi wu lan yi zhi chu tu wai lai tao ci qi zhi xiang guan yan jiu [the study of imported ceramics excavated at the ki-wu-lan site, i-lan] (Master’s thesis).</w:t>
      </w:r>
    </w:p>
    <w:bookmarkEnd w:id="76"/>
    <w:bookmarkStart w:id="77" w:name="ref-Iovictua2010"/>
    <w:p>
      <w:pPr>
        <w:pStyle w:val="BodyText"/>
      </w:pPr>
      <w:r>
        <w:t xml:space="preserve">Ioviţă, R., 2010. Comparing stone tool resharpening trajectories with the aid of elliptical fourier analysis, in: New Perspectives on Old Stones. Springer, pp. 235–253.</w:t>
      </w:r>
    </w:p>
    <w:bookmarkEnd w:id="77"/>
    <w:bookmarkStart w:id="78" w:name="ref-Junker1999"/>
    <w:p>
      <w:pPr>
        <w:pStyle w:val="BodyText"/>
      </w:pPr>
      <w:r>
        <w:t xml:space="preserve">Junker, L.L., 1999. Raiding, trading, and feasting: The political economy of philippine chiefdoms. University of Hawaii Press.</w:t>
      </w:r>
    </w:p>
    <w:bookmarkEnd w:id="78"/>
    <w:bookmarkStart w:id="79" w:name="ref-Junker1993"/>
    <w:p>
      <w:pPr>
        <w:pStyle w:val="BodyText"/>
      </w:pPr>
      <w:r>
        <w:t xml:space="preserve">Junker, L.L., 1993. Craft goods specialization and prestige goods exchange in philippine chiefdoms of the fifteenth and sixteenth centuries. Asian Perspectives 1–35.</w:t>
      </w:r>
    </w:p>
    <w:bookmarkEnd w:id="79"/>
    <w:bookmarkStart w:id="80" w:name="ref-Krishnamoorthy2014"/>
    <w:p>
      <w:pPr>
        <w:pStyle w:val="BodyText"/>
      </w:pPr>
      <w:r>
        <w:t xml:space="preserve">Krishnamoorthy, K., Lee, M., 2014. Improved tests for the equality of normal coefficients of variation. Computational Statistics 29, 215–232.</w:t>
      </w:r>
    </w:p>
    <w:bookmarkEnd w:id="80"/>
    <w:bookmarkStart w:id="81" w:name="ref-Kuhl1982"/>
    <w:p>
      <w:pPr>
        <w:pStyle w:val="BodyText"/>
      </w:pPr>
      <w:r>
        <w:t xml:space="preserve">Kuhl, F.P., Giardina, C.R., 1982. Elliptic fourier features of a closed contour. Computer graphics and image processing 18, 236–258.</w:t>
      </w:r>
    </w:p>
    <w:bookmarkEnd w:id="81"/>
    <w:bookmarkStart w:id="82" w:name="ref-Lawing2010"/>
    <w:p>
      <w:pPr>
        <w:pStyle w:val="BodyText"/>
      </w:pPr>
      <w:r>
        <w:t xml:space="preserve">Lawing, A.M., Polly, P.D., 2010. Geometric morphometrics: Recent applications to the study of evolution and development. Journal of Zoology 280, 1–7.</w:t>
      </w:r>
    </w:p>
    <w:bookmarkEnd w:id="82"/>
    <w:bookmarkStart w:id="83"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3"/>
    <w:bookmarkStart w:id="85"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84">
        <w:r>
          <w:rPr>
            <w:rStyle w:val="Hyperlink"/>
          </w:rPr>
          <w:t xml:space="preserve">https://doi.org/10.1007/s10816-015-9272-9</w:t>
        </w:r>
      </w:hyperlink>
    </w:p>
    <w:bookmarkEnd w:id="85"/>
    <w:bookmarkStart w:id="86" w:name="ref-Marwick2018"/>
    <w:p>
      <w:pPr>
        <w:pStyle w:val="BodyText"/>
      </w:pPr>
      <w:r>
        <w:t xml:space="preserve">Marwick, B., Boettiger, C., Mullen, L., 2018. Packaging data analytical work reproducibly using r (and friends). The American Statistician 72, 80–88.</w:t>
      </w:r>
    </w:p>
    <w:bookmarkEnd w:id="86"/>
    <w:bookmarkStart w:id="87" w:name="ref-Marwick2019"/>
    <w:p>
      <w:pPr>
        <w:pStyle w:val="BodyText"/>
      </w:pPr>
      <w:r>
        <w:t xml:space="preserve">Marwick, B., Krishnamoorthy, K., n.d. Cvequality: Tests for the equality of coefficients of variation from multiple groups.</w:t>
      </w:r>
    </w:p>
    <w:bookmarkEnd w:id="87"/>
    <w:bookmarkStart w:id="88" w:name="ref-Meloro2015"/>
    <w:p>
      <w:pPr>
        <w:pStyle w:val="BodyText"/>
      </w:pPr>
      <w:r>
        <w:t xml:space="preserve">Meloro, C., Hudson, A., Rook, L., 2015. Feeding habits of extant and fossil canids as determined by their skull geometry. Journal of Zoology 295, 178–188.</w:t>
      </w:r>
    </w:p>
    <w:bookmarkEnd w:id="88"/>
    <w:bookmarkStart w:id="89" w:name="ref-Mullins2011"/>
    <w:p>
      <w:pPr>
        <w:pStyle w:val="BodyText"/>
      </w:pPr>
      <w:r>
        <w:t xml:space="preserve">Mullins, P.R., 2011. The archaeology of consumption. Annual Review of Anthropology 40, 133–144.</w:t>
      </w:r>
    </w:p>
    <w:bookmarkEnd w:id="89"/>
    <w:bookmarkStart w:id="90" w:name="ref-Pearson1896"/>
    <w:p>
      <w:pPr>
        <w:pStyle w:val="BodyText"/>
      </w:pPr>
      <w:r>
        <w:t xml:space="preserve">Pearson, K., 1896. VII. Mathematical contributions to the theory of evolution.—III. Regression, heredity, and panmixia. Philosophical Transactions of the Royal Society of London. Series A, containing papers of a mathematical or physical character 253–318.</w:t>
      </w:r>
    </w:p>
    <w:bookmarkEnd w:id="90"/>
    <w:bookmarkStart w:id="91" w:name="ref-Rlanguage2019"/>
    <w:p>
      <w:pPr>
        <w:pStyle w:val="BodyText"/>
      </w:pPr>
      <w:r>
        <w:t xml:space="preserve">R Core Team, 2019. R: A language and environment for statistical computing. R Foundation for Statistical Computing, Vienna, Austria.</w:t>
      </w:r>
    </w:p>
    <w:bookmarkEnd w:id="91"/>
    <w:bookmarkStart w:id="92"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2"/>
    <w:bookmarkStart w:id="93"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3"/>
    <w:bookmarkStart w:id="94" w:name="ref-Roux2003"/>
    <w:p>
      <w:pPr>
        <w:pStyle w:val="BodyText"/>
      </w:pPr>
      <w:r>
        <w:t xml:space="preserve">Roux, V., 2003. Ceramic standardization and intensity of production: Quantifying degrees of specialization. American Antiquity 68, 768–782.</w:t>
      </w:r>
    </w:p>
    <w:bookmarkEnd w:id="94"/>
    <w:bookmarkStart w:id="95"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5"/>
    <w:bookmarkStart w:id="96" w:name="ref-Scaramelli2005"/>
    <w:p>
      <w:pPr>
        <w:pStyle w:val="BodyText"/>
      </w:pPr>
      <w:r>
        <w:t xml:space="preserve">Scaramelli, F., Scaramelli, K.T. de, 2005. The roles of material culture in the colonization of the orinoco, venezuela. Journal of Social Archaeology 5, 135–168.</w:t>
      </w:r>
    </w:p>
    <w:bookmarkEnd w:id="96"/>
    <w:bookmarkStart w:id="97" w:name="ref-Selden2019"/>
    <w:p>
      <w:pPr>
        <w:pStyle w:val="BodyText"/>
      </w:pPr>
      <w:r>
        <w:t xml:space="preserve">Selden Jr, R.Z., 2019. Ceramic morphological organisation in the southern caddo area: The clarence h. Webb collections. Journal of Cultural Heritage 35, 41–55.</w:t>
      </w:r>
    </w:p>
    <w:bookmarkEnd w:id="97"/>
    <w:bookmarkStart w:id="98" w:name="ref-Silliman2001"/>
    <w:p>
      <w:pPr>
        <w:pStyle w:val="BodyText"/>
      </w:pPr>
      <w:r>
        <w:t xml:space="preserve">Silliman, S., 2001. Agency, practical politics and the archaeology of culture contact. Journal of social archaeology 1, 190–209.</w:t>
      </w:r>
    </w:p>
    <w:bookmarkEnd w:id="98"/>
    <w:bookmarkStart w:id="99" w:name="ref-Silliman2005"/>
    <w:p>
      <w:pPr>
        <w:pStyle w:val="BodyText"/>
      </w:pPr>
      <w:r>
        <w:t xml:space="preserve">Silliman, S.W., 2005. Culture contact or colonialism? Challenges in the archaeology of native North America. American Antiquity 55–74.</w:t>
      </w:r>
    </w:p>
    <w:bookmarkEnd w:id="99"/>
    <w:bookmarkStart w:id="100" w:name="ref-Slice2007"/>
    <w:p>
      <w:pPr>
        <w:pStyle w:val="BodyText"/>
      </w:pPr>
      <w:r>
        <w:t xml:space="preserve">Slice, D.E., 2007. Geometric morphometrics. Annu. Rev. Anthropol. 36, 261–281.</w:t>
      </w:r>
    </w:p>
    <w:bookmarkEnd w:id="100"/>
    <w:bookmarkStart w:id="101" w:name="ref-Stark1995economic"/>
    <w:p>
      <w:pPr>
        <w:pStyle w:val="BodyText"/>
      </w:pPr>
      <w:r>
        <w:t xml:space="preserve">Stark, B.L., 1995a. Economic intensification and ceramic specialization in the philippines: A view from kalinga. Research in Economic Anthropology 16, 179–226.</w:t>
      </w:r>
    </w:p>
    <w:bookmarkEnd w:id="101"/>
    <w:bookmarkStart w:id="102"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102"/>
    <w:bookmarkStart w:id="103" w:name="ref-Tite1999"/>
    <w:p>
      <w:pPr>
        <w:pStyle w:val="BodyText"/>
      </w:pPr>
      <w:r>
        <w:t xml:space="preserve">Tite, M.S., 1999. Pottery production, distribution, and consumption—the contribution of the physical sciences. Journal of archaeological method and theory 6, 181–233.</w:t>
      </w:r>
    </w:p>
    <w:bookmarkEnd w:id="103"/>
    <w:bookmarkStart w:id="104" w:name="ref-Topi2018"/>
    <w:p>
      <w:pPr>
        <w:pStyle w:val="BodyText"/>
      </w:pPr>
      <w:r>
        <w:t xml:space="preserve">Topi, J.R., VanPool, C.S., Waller, K.D., VanPool, T.L., 2018. The economy of specialized ceramic craft production in the casas grandes region. Latin American Antiquity 29, 122–142.</w:t>
      </w:r>
    </w:p>
    <w:bookmarkEnd w:id="104"/>
    <w:bookmarkStart w:id="105"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5"/>
    <w:bookmarkStart w:id="106" w:name="ref-Trabert2017"/>
    <w:p>
      <w:pPr>
        <w:pStyle w:val="BodyText"/>
      </w:pPr>
      <w:r>
        <w:t xml:space="preserve">Trabert, S., 2017. Considering the indirect effects of colonialism: Example from a great plains middle ground. Journal of Anthropological Archaeology 48, 17–27.</w:t>
      </w:r>
    </w:p>
    <w:bookmarkEnd w:id="106"/>
    <w:bookmarkStart w:id="107" w:name="ref-Voss2008"/>
    <w:p>
      <w:pPr>
        <w:pStyle w:val="BodyText"/>
      </w:pPr>
      <w:r>
        <w:t xml:space="preserve">Voss, B.L., 2008. Between the household and the world system: Social collectivity and community agency in overseas chinese archaeology. Historical Archaeology 37–52.</w:t>
      </w:r>
    </w:p>
    <w:bookmarkEnd w:id="107"/>
    <w:bookmarkStart w:id="108" w:name="ref-Voss2005"/>
    <w:p>
      <w:pPr>
        <w:pStyle w:val="BodyText"/>
      </w:pPr>
      <w:r>
        <w:t xml:space="preserve">Voss, B.L., 2005. From casta to californio: Social identity and the archaeology of culture contact. American Anthropologist 107, 461–474.</w:t>
      </w:r>
    </w:p>
    <w:bookmarkEnd w:id="108"/>
    <w:bookmarkStart w:id="109" w:name="ref-Wang2011"/>
    <w:p>
      <w:pPr>
        <w:pStyle w:val="BodyText"/>
      </w:pPr>
      <w:r>
        <w:t xml:space="preserve">Wang, L.-Y., 2011. Yi lan qi wu lan yi zhi chu tu zhuang shi pin zhi xiang guan yan jiu [a research of ornaments excavated at ki-wu-lan site, i-lan] (Master’s thesis).</w:t>
      </w:r>
    </w:p>
    <w:bookmarkEnd w:id="109"/>
    <w:bookmarkStart w:id="110"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0"/>
    <w:bookmarkStart w:id="111"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1"/>
    <w:bookmarkEnd w:id="112"/>
    <w:p>
      <w:pPr>
        <w:pStyle w:val="Heading5"/>
      </w:pPr>
      <w:bookmarkStart w:id="113" w:name="pagebreak-1"/>
      <w:r>
        <w:t xml:space="preserve">pagebreak</w:t>
      </w:r>
      <w:bookmarkEnd w:id="113"/>
    </w:p>
    <w:p>
      <w:pPr>
        <w:pStyle w:val="Heading3"/>
      </w:pPr>
      <w:bookmarkStart w:id="114" w:name="colophon"/>
      <w:r>
        <w:t xml:space="preserve">Colophon</w:t>
      </w:r>
      <w:bookmarkEnd w:id="114"/>
    </w:p>
    <w:p>
      <w:pPr>
        <w:pStyle w:val="FirstParagraph"/>
      </w:pPr>
      <w:r>
        <w:t xml:space="preserve">This report was generated on 2020-01-18 23:39:49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2020-01-18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class         7.3-15   2019-01-01 [1] CRAN (R 3.6.1)                     </w:t>
      </w:r>
      <w:r>
        <w:br w:type="textWrapping"/>
      </w:r>
      <w:r>
        <w:rPr>
          <w:rStyle w:val="VerbatimChar"/>
        </w:rPr>
        <w:t xml:space="preserve">#&gt;  classInt      0.3-3    2019-04-26 [1] CRAN (R 3.6.0)                     </w:t>
      </w:r>
      <w:r>
        <w:br w:type="textWrapping"/>
      </w:r>
      <w:r>
        <w:rPr>
          <w:rStyle w:val="VerbatimChar"/>
        </w:rPr>
        <w:t xml:space="preserve">#&gt;  cli           2.0.1    2020-01-08 [1] CRAN (R 3.6.0)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DBI           1.0.0    2018-05-02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e1071         1.7-2    2019-06-05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jpeg          0.1-8    2014-01-23 [1] CRAN (R 3.6.0)                     </w:t>
      </w:r>
      <w:r>
        <w:br w:type="textWrapping"/>
      </w:r>
      <w:r>
        <w:rPr>
          <w:rStyle w:val="VerbatimChar"/>
        </w:rPr>
        <w:t xml:space="preserve">#&gt;  jsonlite      1.6      2018-12-07 [1] CRAN (R 3.6.0)                     </w:t>
      </w:r>
      <w:r>
        <w:br w:type="textWrapping"/>
      </w:r>
      <w:r>
        <w:rPr>
          <w:rStyle w:val="VerbatimChar"/>
        </w:rPr>
        <w:t xml:space="preserve">#&gt;  KernSmooth    2.23-15  2015-06-29 [1] CRAN (R 3.6.1)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0.7-4    2019-04-25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units         0.6-3    2019-05-03 [1] CRAN (R 3.6.0)                     </w:t>
      </w:r>
      <w:r>
        <w:br w:type="textWrapping"/>
      </w:r>
      <w:r>
        <w:rPr>
          <w:rStyle w:val="VerbatimChar"/>
        </w:rPr>
        <w:t xml:space="preserve">#&gt;  usethis       1.5.1    2019-07-04 [1] CRAN (R 3.6.0)                     </w:t>
      </w:r>
      <w:r>
        <w:br w:type="textWrapping"/>
      </w:r>
      <w:r>
        <w:rPr>
          <w:rStyle w:val="VerbatimChar"/>
        </w:rPr>
        <w:t xml:space="preserve">#&gt;  vctrs         0.2.1    2019-12-17 [1] CRAN (R 3.6.0)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[0920a74] 2020-01-19: add distribution map for pottery</w:t>
      </w:r>
    </w:p>
    <w:p>
      <w:pPr>
        <w:pStyle w:val="FirstParagraph"/>
      </w:pPr>
      <w:r>
        <w:t xml:space="preserve">Word count: 6095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hyperlink" Id="rId30" Target="http:XXX" TargetMode="External" /><Relationship Type="http://schemas.openxmlformats.org/officeDocument/2006/relationships/hyperlink" Id="rId84"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30" Target="http:XXX" TargetMode="External" /><Relationship Type="http://schemas.openxmlformats.org/officeDocument/2006/relationships/hyperlink" Id="rId84"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2020-01-19T07:39:58Z</dcterms:created>
  <dcterms:modified xsi:type="dcterms:W3CDTF">2020-01-19T07:39:58Z</dcterms:modified>
</cp:coreProperties>
</file>