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of</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12</w:t>
      </w:r>
      <w:r>
        <w:t xml:space="preserve"> </w:t>
      </w:r>
      <w:r>
        <w:t xml:space="preserve">September,</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past</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(Pillai’s Trace =</w:t>
      </w:r>
      <w:r>
        <w:t xml:space="preserve"> </w:t>
      </w:r>
      <m:oMath>
        <m:r>
          <m:t>0.4657</m:t>
        </m:r>
      </m:oMath>
      <w:r>
        <w:t xml:space="preserve">, F =</w:t>
      </w:r>
      <w:r>
        <w:t xml:space="preserve"> </w:t>
      </w:r>
      <m:oMath>
        <m:r>
          <m:t>0.7757</m:t>
        </m:r>
      </m:oMath>
      <w:r>
        <w:t xml:space="preserve">, df =</w:t>
      </w:r>
      <w:r>
        <w:t xml:space="preserve"> </w:t>
      </w:r>
      <m:oMath>
        <m:r>
          <m:t>46</m:t>
        </m:r>
      </m:oMath>
      <w:r>
        <w:t xml:space="preserve">, p =</w:t>
      </w:r>
      <w:r>
        <w:t xml:space="preserve"> </w:t>
      </w:r>
      <m:oMath>
        <m:r>
          <m:t>0.716</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0.0447</w:t>
            </w:r>
          </w:p>
        </w:tc>
        <w:tc>
          <w:p>
            <w:pPr>
              <w:pStyle w:val="Compact"/>
              <w:jc w:val="right"/>
            </w:pPr>
            <w:r>
              <w:t xml:space="preserve">0.8325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8.0720</w:t>
            </w:r>
          </w:p>
        </w:tc>
        <w:tc>
          <w:p>
            <w:pPr>
              <w:pStyle w:val="Compact"/>
              <w:jc w:val="right"/>
            </w:pPr>
            <w:r>
              <w:t xml:space="preserve">0.0045</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7.2923</w:t>
            </w:r>
          </w:p>
        </w:tc>
        <w:tc>
          <w:p>
            <w:pPr>
              <w:pStyle w:val="Compact"/>
              <w:jc w:val="right"/>
            </w:pPr>
            <w:r>
              <w:t xml:space="preserve">0.0069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-0.0345</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-0.0254</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0.0109</w:t>
            </w:r>
          </w:p>
        </w:tc>
        <w:tc>
          <w:p>
            <w:pPr>
              <w:pStyle w:val="Compact"/>
              <w:jc w:val="right"/>
            </w:pPr>
            <w:r>
              <w:t xml:space="preserve">0.9169</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2.309</m:t>
        </m:r>
        <m:r>
          <m:t>×</m:t>
        </m:r>
        <m:sSup>
          <m:e>
            <m:r>
              <m:t>10</m:t>
            </m:r>
          </m:e>
          <m:sup>
            <m:r>
              <m:t>−</m:t>
            </m:r>
            <m:r>
              <m:t>20</m:t>
            </m:r>
          </m:sup>
        </m:sSup>
      </m:oMath>
      <w:r>
        <w:t xml:space="preserve">) or post-European periods (p=</w:t>
      </w:r>
      <w:r>
        <w:t xml:space="preserve"> </w:t>
      </w:r>
      <m:oMath>
        <m:r>
          <m:t>1.48</m:t>
        </m:r>
        <m:r>
          <m:t>×</m:t>
        </m:r>
        <m:sSup>
          <m:e>
            <m:r>
              <m:t>10</m:t>
            </m:r>
          </m:e>
          <m:sup>
            <m:r>
              <m:t>−</m:t>
            </m:r>
            <m:r>
              <m:t>22</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sizes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(Figure</w:t>
      </w:r>
      <w:r>
        <w:t xml:space="preserve"> </w:t>
      </w:r>
      <w:r>
        <w:t xml:space="preserve">8</w:t>
      </w:r>
      <w:r>
        <w:t xml:space="preserve">)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8</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 </w:t>
      </w:r>
      <w:r>
        <w:t xml:space="preserve">(Figure</w:t>
      </w:r>
      <w:r>
        <w:t xml:space="preserve"> </w:t>
      </w:r>
      <w:r>
        <w:t xml:space="preserve">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Wen-Shan Chen in the Department of Geosciences, National Taiwan University for his invaluable guidance of petrographic analysis at his lab. We thank the Quaternary Research Center funding for supporting the organic residue analysis in this project. We thank Julian Sachs in the Department of Oceanography, University of Washington for his supports and suggestions for conducting organic geochemistry analysis of potsherds. We thank Matthew Wolhowe for his help in developing protocols for lipid extraction and his assistance with the GC-MS, GC-FID, and GC-C-IRMS analyses. This research used statistical consulting resources provided by the Center for Statistics and the Social Sciences, University of Washington. We also thank Ben Fitzhugh, Peter Lape, Robert Z. Selden Jr. and the anonymous reviewers for their insightful comments that have greatly improved this manuscript.</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"Standardization of ceramic shape: A case study of Iron Age pottery from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2020-09-12 22:00:21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2020-09-12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5.4-1      2020-08-13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2.3.1      2020-07-21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7.3-52     2020-08-18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1.8-32     2020-08-19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1.3.4      2020-08-11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0.9-5      2020-07-14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1.1.1      2020-07-31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[f09b58b] 2020-09-08: merge conflict</w:t>
      </w:r>
    </w:p>
    <w:p>
      <w:pPr>
        <w:pStyle w:val="FirstParagraph"/>
      </w:pPr>
      <w:r>
        <w:t xml:space="preserve">Word count: 6275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of Iron Age pottery from northeastern Taiwan</dc:title>
  <dc:creator>Li-Ying Wang; Ben Marwick</dc:creator>
  <cp:keywords/>
  <dcterms:created xsi:type="dcterms:W3CDTF">2020-09-13T05:00:33Z</dcterms:created>
  <dcterms:modified xsi:type="dcterms:W3CDTF">2020-09-13T05:00:33Z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past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12 September,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