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08</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 which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w:t>
      </w:r>
      <w:r>
        <w:t xml:space="preserve"> </w:t>
      </w:r>
      <w:r>
        <w:t xml:space="preserve">(cf. Berrocal et al., 2020)</w:t>
      </w:r>
      <w:r>
        <w:t xml:space="preserve">.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applications can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or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studied metric data and GMM to identify a more uniform base-shape of Folsom points than Clovis points across the western US</w:t>
      </w:r>
      <w:r>
        <w:t xml:space="preserve"> </w:t>
      </w:r>
      <w:r>
        <w:t xml:space="preserve">(Buchanan et al., 2019)</w:t>
      </w:r>
      <w:r>
        <w:t xml:space="preserve">. Also using metric data and GMM,</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standardized vessel shapes from the Casas Grandes culture in northwest Mexico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among groups of shape variables based on the calculation of distances between groups in morphospace they occupy</w:t>
      </w:r>
      <w:r>
        <w:t xml:space="preserve"> </w:t>
      </w:r>
      <w:r>
        <w:t xml:space="preserve">(Wills, 2001)</w:t>
      </w:r>
      <w:r>
        <w:t xml:space="preserve">. In this manner,</w:t>
      </w:r>
      <w:r>
        <w:t xml:space="preserve"> </w:t>
      </w:r>
      <w:r>
        <w:t xml:space="preserve">Selden Jr (2018)</w:t>
      </w:r>
      <w:r>
        <w:t xml:space="preserve"> </w:t>
      </w:r>
      <w:r>
        <w:t xml:space="preserve">examined Caddo ceramics using semi-landmark approaches in northeast Texas and found a gradual increase in shape standardization over time that provides a basis for further discussion of craft specialization or group identity</w:t>
      </w:r>
      <w:r>
        <w:t xml:space="preserve"> </w:t>
      </w:r>
      <w:r>
        <w:t xml:space="preserve">(Selden Jr, 2019)</w:t>
      </w:r>
      <w:r>
        <w:t xml:space="preserve">. Similar applications to lithic assemblages suggests that the Gahagan bifaces from the central Texas exhibit less size standardization than those from the southern Caddo area, indicative of different uses</w:t>
      </w:r>
      <w:r>
        <w:t xml:space="preserve"> </w:t>
      </w:r>
      <w:r>
        <w:t xml:space="preserve">(Selden Jr et al., 2020)</w:t>
      </w:r>
      <w:r>
        <w:t xml:space="preserve">. Other applications, such as the study of cranial deformation, demonstrate that landmark approaches with multivariate analyses of shape variances are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approaches in archaeology, a key limitation is that landmarks may be difficult to reproducibly locate for structures that are mostly or entirely curves if not mathematically-defined. In those cases, outline approaches, such as Elliptic Fourier Analysis (EFA), is better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In other words,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that suggests the changes in shape from a more angular to rounded tool over time. Later,</w:t>
      </w:r>
      <w:r>
        <w:t xml:space="preserve"> </w:t>
      </w:r>
      <w:r>
        <w:t xml:space="preserve">Saragusti et al. (2005)</w:t>
      </w:r>
      <w:r>
        <w:t xml:space="preserve"> </w:t>
      </w:r>
      <w:r>
        <w:t xml:space="preserve">introduced more functions for the further calculation of specific shape attributes, including symmetry, roughness, and deformation, which demonstrates the potential of EFA for analysis of curves. To compare resharpening trajectories in European Middle Paleolithic stone tools,</w:t>
      </w:r>
      <w:r>
        <w:t xml:space="preserve"> </w:t>
      </w:r>
      <w:r>
        <w:t xml:space="preserve">Ioviţă (2009)</w:t>
      </w:r>
      <w:r>
        <w:t xml:space="preserve"> </w:t>
      </w:r>
      <w:r>
        <w:t xml:space="preserve">presented a protocol from outline digitization, EFA procedure, to multivariate linear regression for shape variables. Recent lithic studies desmotrate the wide range of application of EFA to answer questions about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shape and symmetry standardization of the British Acheulean</w:t>
      </w:r>
      <w:r>
        <w:t xml:space="preserve"> </w:t>
      </w:r>
      <w:r>
        <w:t xml:space="preserve">(Hoggard et al., 2019)</w:t>
      </w:r>
      <w:r>
        <w:t xml:space="preserve">, and cultural taxonomies for the European Late Palaeolithic</w:t>
      </w:r>
      <w:r>
        <w:t xml:space="preserve"> </w:t>
      </w:r>
      <w:r>
        <w:t xml:space="preserve">(Ivanovaitė et al., 2020)</w:t>
      </w:r>
      <w:r>
        <w:t xml:space="preserve">.</w:t>
      </w:r>
    </w:p>
    <w:p>
      <w:pPr>
        <w:pStyle w:val="BodyText"/>
      </w:pPr>
      <w:r>
        <w:t xml:space="preserve">Ceramic studies using EFA is rare, however, this approach is promising for answering questions related to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 </w:t>
      </w:r>
      <w:r>
        <w:t xml:space="preserve">point out the potential of EFA for detecting the level of ceramic standardization.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for using EFA is because there are no sufficient landmarks that could be identified straightforwardly due to the globular body of ceramics.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We identified these phases based on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The deposit exhibited signs of continuous human occupation in each of the three phases with no apparent breaks.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indicate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of range from 500 to 1300 microns. In general, the globular vessel fabric presents a mixture of fine, rounded argillite with a small amounts of rounded metasandstone and rounded to sub-angular monocrystalline quartz. This composition is consistent with the mineralogical composition of local raw materials found in the Yilan Plain</w:t>
      </w:r>
      <w:r>
        <w:t xml:space="preserve"> </w:t>
      </w:r>
      <w:r>
        <w:t xml:space="preserve">(Chen, 2016)</w:t>
      </w:r>
      <w:r>
        <w:t xml:space="preserve">. There are no substantial changes in the inclusions over time, indicating continuity in pottery fabric composition across the three periods.</w:t>
      </w:r>
      <w:r>
        <w:t xml:space="preserve"> </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The PC1, capturing vessel height and roundness, shows higher variation in the pre-European period and post-European period compared to the Chinese period. In other words, shape standardization was higher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show significant differences in the standardization of vessel shapes across periods, between Chinese contact with either pre-European or post-European (Table</w:t>
      </w:r>
      <w:r>
        <w:t xml:space="preserve"> </w:t>
      </w:r>
      <w:r>
        <w:t xml:space="preserve">2</w:t>
      </w:r>
      <w:r>
        <w:t xml:space="preserve">). This result statistically supports the observation of a higher standardized shape in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0.1282</w:t>
            </w:r>
          </w:p>
        </w:tc>
        <w:tc>
          <w:p>
            <w:pPr>
              <w:pStyle w:val="Compact"/>
              <w:jc w:val="right"/>
            </w:pPr>
            <w:r>
              <w:t xml:space="preserve">0.7203</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7.1658</w:t>
            </w:r>
          </w:p>
        </w:tc>
        <w:tc>
          <w:p>
            <w:pPr>
              <w:pStyle w:val="Compact"/>
              <w:jc w:val="right"/>
            </w:pPr>
            <w:r>
              <w:t xml:space="preserve">0.0074</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7.4911</w:t>
            </w:r>
          </w:p>
        </w:tc>
        <w:tc>
          <w:p>
            <w:pPr>
              <w:pStyle w:val="Compact"/>
              <w:jc w:val="right"/>
            </w:pPr>
            <w:r>
              <w:t xml:space="preserve">0.0062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-0.0104</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-0.0101</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0.0263</w:t>
            </w:r>
          </w:p>
        </w:tc>
        <w:tc>
          <w:p>
            <w:pPr>
              <w:pStyle w:val="Compact"/>
              <w:jc w:val="right"/>
            </w:pPr>
            <w:r>
              <w:t xml:space="preserve">0.8711</w:t>
            </w:r>
          </w:p>
        </w:tc>
        <w:tc>
          <w:p>
            <w:pPr>
              <w:pStyle w:val="Compact"/>
              <w:jc w:val="left"/>
            </w:pPr>
            <w:r>
              <w:t xml:space="preserve">Chinese Contact vs Post-European</w:t>
            </w:r>
          </w:p>
        </w:tc>
      </w:tr>
    </w:tbl>
    <w:p>
      <w:pPr>
        <w:pStyle w:val="BodyText"/>
      </w:pPr>
      <w:r>
        <w:t xml:space="preserve">We also conducted size analysis by examining the body diameter of vessels to examine any differences in vessel size and their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standardization of vessel form reflected by both shape and size, we calculated CV for PC1 (shape) in relation to CV for body diameter (size). The result (Figure</w:t>
      </w:r>
      <w:r>
        <w:t xml:space="preserve"> </w:t>
      </w:r>
      <w:r>
        <w:t xml:space="preserve">6</w:t>
      </w:r>
      <w:r>
        <w:t xml:space="preserve">: B) presents a higher form standardization in the Chinese period according to smaller CV values compared to CV values from the other two phases. However, there is no big differences in form standardization between and after the European presence. To understand the relationship between shape and size, we created linear regression models for PCs and the measurement of body diameter, with an examination of Pearson’s correlation coefficient and p-value (Figure</w:t>
      </w:r>
      <w:r>
        <w:t xml:space="preserve"> </w:t>
      </w:r>
      <w:r>
        <w:t xml:space="preserve">6</w:t>
      </w:r>
      <w:r>
        <w:t xml:space="preserve">: C). The results demonstrate that shape changes significantly with size in all phases indicated by moderate positive relationships (0.3 ≤ r ≤ 0.7) and small p-values (≤ 0.05), except for PC1 in the Chinese period and PC2 in the pre-European period. That is, the shorter vessels are larger in body diameter according to the positive correlation between PC1 and body diameter. However, vessels from the Chinese period do not show this pattern. On the contrary, the negative relationship between PC2 and body diameter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 with a high diversity of types</w:t>
      </w:r>
      <w:r>
        <w:t xml:space="preserve"> </w:t>
      </w:r>
      <w:r>
        <w:t xml:space="preserve">(Cheng, 2008; Wang, 2011)</w:t>
      </w:r>
      <w:r>
        <w:t xml:space="preserve">. This hinted at the emergence of social inequality within the Indigenous community. To understand the relationship between social inequality and foreign presences, we examined ceramic vessel shape standardization to measure craft specialization as a proxy for social change</w:t>
      </w:r>
      <w:r>
        <w:t xml:space="preserve"> </w:t>
      </w:r>
      <w:r>
        <w:t xml:space="preserve">(Costin, 2001; Junker, 1999)</w:t>
      </w:r>
      <w:r>
        <w:t xml:space="preserve">. The result of our MANOVA demonstrates a significant difference in shapes between the pre-European and Post-European periods, and the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 test of morphological disparity also demonstrates similar results between Chinese contact and either pre-European (p =</w:t>
      </w:r>
      <w:r>
        <w:t xml:space="preserve"> </w:t>
      </w:r>
      <w:r>
        <w:t xml:space="preserve">$`pre_chi`$</w:t>
      </w:r>
      <w:r>
        <w:t xml:space="preserve">) or post-European periods (p=</w:t>
      </w:r>
      <w:r>
        <w:t xml:space="preserve"> </w:t>
      </w:r>
      <w:r>
        <w:t xml:space="preserve">$`post_chi`$</w:t>
      </w:r>
      <w:r>
        <w:t xml:space="preserve">)</w:t>
      </w:r>
      <w:r>
        <w:t xml:space="preserve"> </w:t>
      </w:r>
      <w:r>
        <w:t xml:space="preserve">(Wang and Marwick, 2020)</w:t>
      </w:r>
      <w:r>
        <w:t xml:space="preserve">, suggesting that a more standardized pottery shape after contact with the Chinese. In addition, we found a more homogeneous shape accompanied by standardized size, represented by the body diameter of vessels, in the Chinese period. Humans tend to make mistakes in hand-crafting when the size of an object increases, leading to higher variations in larger artifacts</w:t>
      </w:r>
      <w:r>
        <w:t xml:space="preserve"> </w:t>
      </w:r>
      <w:r>
        <w:t xml:space="preserve">(Eerkens and Bettinger, 2001)</w:t>
      </w:r>
      <w:r>
        <w:t xml:space="preserve">. However, it is opposite for the ceramics in the Chinese period when we use body diameter as our proxy variable of size. This might hint an intentional behavior to achieve a homogeneous form of vessels, but we still need more metric variables to assess the variation in size.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standardization suggests an emergence of specialized production depends on the number of producers, which distinguishes mechanical standardization from intentional standardization defined by stylish and functional attributes</w:t>
      </w:r>
      <w:r>
        <w:t xml:space="preserve"> </w:t>
      </w:r>
      <w:r>
        <w:t xml:space="preserve">(Costin, 2001; Costin and Hagstrum, 1995)</w:t>
      </w:r>
      <w:r>
        <w:t xml:space="preserve">. In other words, mechanical standardization is associated with potter’s skills and experiences that increased morphological uniformity normally reflects fewer producers. Population could be an indicator to estimate the potential number of producers. According to the historical records</w:t>
      </w:r>
      <w:r>
        <w:t xml:space="preserve"> </w:t>
      </w:r>
      <w:r>
        <w:t xml:space="preserve">(Nakamura, 1938, p. 12)</w:t>
      </w:r>
      <w:r>
        <w:t xml:space="preserve">, the population in Kiwulan reached a higher number in the 17th century as the European presence and declined in the Chinese period due to movement of Indigenous people to the south</w:t>
      </w:r>
      <w:r>
        <w:t xml:space="preserve"> </w:t>
      </w:r>
      <w:r>
        <w:t xml:space="preserve">(Chen, 2007)</w:t>
      </w:r>
      <w:r>
        <w:t xml:space="preserve">. The changes in population size described in documents corresponds to the observation of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a more standardized shape in the Chinese period may be influenced by a small population if ceramic abundance can reflect the population size.</w:t>
      </w:r>
    </w:p>
    <w:p>
      <w:pPr>
        <w:pStyle w:val="BodyText"/>
      </w:pPr>
      <w:r>
        <w:t xml:space="preserve">However, intentional standardization could also contribute to shape standardization in our case. To ensure the standardization is caused by fewer producers or specialized organization, we investigate other factors that may contribute to shape standardization, such as the function and decoration of ceramics. To determine the function of pots in relation to shape changes,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Stylish attributes present a wide variation in geometric motifs from pot to pot across three phases. In general, the ceramics in the Chinese period have slightly fewer types of motifs according to the ratio of distinct motifs to the total number for each phase (Chinese = 0.71, post-European = 0.81, pre-European = 0.78)</w:t>
      </w:r>
      <w:r>
        <w:t xml:space="preserve"> </w:t>
      </w:r>
      <w:r>
        <w:t xml:space="preserve">(Wang and Marwick, 2020)</w:t>
      </w:r>
      <w:r>
        <w:t xml:space="preserve">. The evidence shows that we could not completely rule out the intentional standardization in our sample.</w:t>
      </w:r>
    </w:p>
    <w:p>
      <w:pPr>
        <w:pStyle w:val="BodyText"/>
      </w:pPr>
      <w:r>
        <w:t xml:space="preserve">The spatial pattern of ceramics could provide important information about the intensity and location of manufacturing or consumption. The spatial analysis (Figure</w:t>
      </w:r>
      <w:r>
        <w:t xml:space="preserve"> </w:t>
      </w:r>
      <w:r>
        <w:t xml:space="preserve">7</w:t>
      </w:r>
      <w:r>
        <w:t xml:space="preserve">) reveals that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the pottery manufacture inclines to be household-produced since no workshops have been found.</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that the absence of major changes in vessel shape at Kiwulan may have been an act of resistance to foreign influence. We recognize the decline in population may lead to a standardized shape, however, the evidence of ceramic spatial distribution shows a dispersed or random pattern across the whole area throughout three phases. This indicates manufacturing activities may be limited to household scale and reflect a common practice in the community. The standardization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 It is also important to recognize that social identity might be more complicated in a colonial context, and may 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 intentional and increased emphasis on the local ceramic tradition, their cultural custom, as a response to intensified foreign contact</w:t>
      </w:r>
      <w:r>
        <w:t xml:space="preserve"> </w:t>
      </w:r>
      <w:r>
        <w:t xml:space="preserve">(cf. Acabado, 2017)</w:t>
      </w:r>
      <w:r>
        <w:t xml:space="preserve">. However, we still need more lines of evidence to confirm this speculation of an act of resistance.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of identifying and statistically assessing differences in shape standardization. The direct relationship between foreign influences and standardization of ceramic shape was tested on ceramics from Kiwulan, a large Iron Age Indigenous settlement in northeastern Taiwan. Lower variation in ceramic shape was identified after European presence began, and even lower variation during the period of Chinese presence. Our findings help to expand upon those factors that may lead to the standardization of ceramic production in a pericolonial interaction context. More homogeneous shapes during the Chinese period, without any changes in clay paste composition, production technique, and spatial distribution, suggest that shape standardization may relate more to an intentional behavior instead of the emergence of specialized groups. The results further suggest that expressions of social identity or cultural boundaries in Indigenous societies through highly visible vessel qualities, such as shape, maybe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 Furthermore, this study broadens the GMM field to include the discussion of ceramics, other than the common topics of lithic topology, bone morphology, and patterns of cutmarks or taphonomy. We suggest that EFA-based GMM is an effective method for detecting morphological differences in ceramics assemblage</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2"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ofTaiwan, Taipei.</w:t>
      </w:r>
    </w:p>
    <w:bookmarkEnd w:id="60"/>
    <w:bookmarkStart w:id="61" w:name="ref-Chen2016"/>
    <w:p>
      <w:pPr>
        <w:pStyle w:val="Bibliography"/>
      </w:pPr>
      <w:r>
        <w:t xml:space="preserve">Chen, W.-S., 2016. Tai 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1–56.</w:t>
      </w:r>
    </w:p>
    <w:bookmarkEnd w:id="67"/>
    <w:bookmarkStart w:id="68" w:name="ref-Costin1995"/>
    <w:p>
      <w:pPr>
        <w:pStyle w:val="Bibliography"/>
      </w:pPr>
      <w:r>
        <w:t xml:space="preserve">Costin, C.L., Hagstrum, M.B., 1995. Standardization, labor investment, skill, and the organization of ceramic production in late prehispanic highland Peru. American Antiquity 619–639.</w:t>
      </w:r>
    </w:p>
    <w:bookmarkEnd w:id="68"/>
    <w:bookmarkStart w:id="69"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9"/>
    <w:bookmarkStart w:id="70" w:name="ref-Dietler2015"/>
    <w:p>
      <w:pPr>
        <w:pStyle w:val="Bibliography"/>
      </w:pPr>
      <w:r>
        <w:t xml:space="preserve">Dietler, M., 2015. Archaeologies of colonialism: Consumption, entanglement, and violence in ancient mediterranean france. Univ of California Press.</w:t>
      </w:r>
    </w:p>
    <w:bookmarkEnd w:id="70"/>
    <w:bookmarkStart w:id="7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1"/>
    <w:bookmarkStart w:id="72" w:name="ref-Dietler1997"/>
    <w:p>
      <w:pPr>
        <w:pStyle w:val="Bibliography"/>
      </w:pPr>
      <w:r>
        <w:t xml:space="preserve">Dietler, M., 1997. The iron age in mediterranean france: Colonial encounters, entanglements, and transformations. Journal of World Prehistory 11, 269–358.</w:t>
      </w:r>
    </w:p>
    <w:bookmarkEnd w:id="72"/>
    <w:bookmarkStart w:id="73" w:name="ref-Doyon2019"/>
    <w:p>
      <w:pPr>
        <w:pStyle w:val="Bibliography"/>
      </w:pPr>
      <w:r>
        <w:t xml:space="preserve">Doyon, L., 2019. On the shape of things: A geometric morphometrics approach to investigate aurignacian group membership. Journal of Archaeological Science 101, 99–114.</w:t>
      </w:r>
    </w:p>
    <w:bookmarkEnd w:id="73"/>
    <w:bookmarkStart w:id="74" w:name="ref-Eerkens2000"/>
    <w:p>
      <w:pPr>
        <w:pStyle w:val="Bibliography"/>
      </w:pPr>
      <w:r>
        <w:t xml:space="preserve">Eerkens, J.W., 2000. Practice makes within 5% of perfect: Visual perception, motor skills, and memory in artifact variation. Current Anthropology 41, 663–668.</w:t>
      </w:r>
    </w:p>
    <w:bookmarkEnd w:id="74"/>
    <w:bookmarkStart w:id="75" w:name="ref-Eerkens2001"/>
    <w:p>
      <w:pPr>
        <w:pStyle w:val="Bibliography"/>
      </w:pPr>
      <w:r>
        <w:t xml:space="preserve">Eerkens, J.W., Bettinger, R.L., 2001. Techniques for assessing standardization in artifact assemblages: Can we scale material variability? American Antiquity 66, 493–504.</w:t>
      </w:r>
    </w:p>
    <w:bookmarkEnd w:id="75"/>
    <w:bookmarkStart w:id="76" w:name="ref-Eren2015"/>
    <w:p>
      <w:pPr>
        <w:pStyle w:val="Bibliography"/>
      </w:pPr>
      <w:r>
        <w:t xml:space="preserve">Eren, M.I., Buchanan, B., O’Brien, M.J., 2015. Social learning and technological evolution during the clovis colonization of the new world. Journal of Human Evolution 80, 159–170.</w:t>
      </w:r>
    </w:p>
    <w:bookmarkEnd w:id="76"/>
    <w:bookmarkStart w:id="77" w:name="ref-Evershed2008"/>
    <w:p>
      <w:pPr>
        <w:pStyle w:val="Bibliography"/>
      </w:pPr>
      <w:r>
        <w:t xml:space="preserve">Evershed, R.P., 2008. Organic residue analysis in archaeology: The archaeological biomarker revolution. Archaeometry 50, 895–924.</w:t>
      </w:r>
    </w:p>
    <w:bookmarkEnd w:id="77"/>
    <w:bookmarkStart w:id="7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8"/>
    <w:bookmarkStart w:id="79"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9"/>
    <w:bookmarkStart w:id="8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80"/>
    <w:bookmarkStart w:id="81" w:name="ref-Feinman2000political"/>
    <w:p>
      <w:pPr>
        <w:pStyle w:val="Bibliography"/>
      </w:pPr>
      <w:r>
        <w:t xml:space="preserve">Feinman, G.M., Lightfoot, K.G., Upham, S., 2000. Political hierarchies and organizational strategies in the puebloan southwest. American Antiquity 65, 449–470.</w:t>
      </w:r>
    </w:p>
    <w:bookmarkEnd w:id="81"/>
    <w:bookmarkStart w:id="82" w:name="ref-Feltz1996"/>
    <w:p>
      <w:pPr>
        <w:pStyle w:val="Bibliography"/>
      </w:pPr>
      <w:r>
        <w:t xml:space="preserve">Feltz, C.J., Miller, G.E., 1996. An asymptotic test for the equality of coefficients of variation from k populations. Statistics in medicine 15, 647–658.</w:t>
      </w:r>
    </w:p>
    <w:bookmarkEnd w:id="82"/>
    <w:bookmarkStart w:id="83" w:name="ref-Fox2015"/>
    <w:p>
      <w:pPr>
        <w:pStyle w:val="Bibliography"/>
      </w:pPr>
      <w:r>
        <w:t xml:space="preserve">Fox, A.N., 2015. A study of late woodland projectile point typology in new york using elliptical fourier outline analysis. Journal of Archaeological Science: Reports 4, 501–509.</w:t>
      </w:r>
    </w:p>
    <w:bookmarkEnd w:id="83"/>
    <w:bookmarkStart w:id="84" w:name="ref-Gero1984"/>
    <w:p>
      <w:pPr>
        <w:pStyle w:val="Bibliography"/>
      </w:pPr>
      <w:r>
        <w:t xml:space="preserve">Gero, J., Mazzullo, J., 1984. Analysis of artifact shape using fourier series in closed form. Journal of Field Archaeology 11, 315–322.</w:t>
      </w:r>
    </w:p>
    <w:bookmarkEnd w:id="84"/>
    <w:bookmarkStart w:id="85" w:name="ref-Given2004"/>
    <w:p>
      <w:pPr>
        <w:pStyle w:val="Bibliography"/>
      </w:pPr>
      <w:r>
        <w:t xml:space="preserve">Given, M., 2004. The archaeology of the colonized. Routledge, London; New York.</w:t>
      </w:r>
    </w:p>
    <w:bookmarkEnd w:id="85"/>
    <w:bookmarkStart w:id="8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6"/>
    <w:bookmarkStart w:id="8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7"/>
    <w:bookmarkStart w:id="8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8"/>
    <w:bookmarkStart w:id="89" w:name="ref-Hsieh2009"/>
    <w:p>
      <w:pPr>
        <w:pStyle w:val="Bibliography"/>
      </w:pPr>
      <w:r>
        <w:t xml:space="preserve">Hsieh, E., 2009. Yi 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hl1982"/>
    <w:p>
      <w:pPr>
        <w:pStyle w:val="Bibliography"/>
      </w:pPr>
      <w:r>
        <w:t xml:space="preserve">Kuhl, F.P., Giardina, C.R., 1982. Elliptic fourier features of a closed contour. Computer graphics and image processing 18, 236–258.</w:t>
      </w:r>
    </w:p>
    <w:bookmarkEnd w:id="96"/>
    <w:bookmarkStart w:id="97"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7"/>
    <w:bookmarkStart w:id="98"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8"/>
    <w:bookmarkStart w:id="99" w:name="ref-Lawing2010"/>
    <w:p>
      <w:pPr>
        <w:pStyle w:val="Bibliography"/>
      </w:pPr>
      <w:r>
        <w:t xml:space="preserve">Lawing, A.M., Polly, P.D., 2010. Geometric morphometrics: Recent applications to the study of evolution and development. Journal of Zoology 280, 1–7.</w:t>
      </w:r>
    </w:p>
    <w:bookmarkEnd w:id="99"/>
    <w:bookmarkStart w:id="100" w:name="ref-Lipo2016"/>
    <w:p>
      <w:pPr>
        <w:pStyle w:val="Bibliography"/>
      </w:pPr>
      <w:r>
        <w:t xml:space="preserve">Lipo, C.P., Hunt, T.L., Horneman, R., Bonhomme, V., 2016. Weapons of war? Rapa nui mata’a morphometric analyses. Antiquity 90, 172–187.</w:t>
      </w:r>
    </w:p>
    <w:bookmarkEnd w:id="100"/>
    <w:bookmarkStart w:id="101"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1"/>
    <w:bookmarkStart w:id="102" w:name="ref-Lycett2008"/>
    <w:p>
      <w:pPr>
        <w:pStyle w:val="Bibliography"/>
      </w:pPr>
      <w:r>
        <w:t xml:space="preserve">Lycett, S.J., Gowlett, J.A., 2008. On questions surrounding the acheulean “tradition”. World Archaeology 40, 295–315.</w:t>
      </w:r>
    </w:p>
    <w:bookmarkEnd w:id="102"/>
    <w:bookmarkStart w:id="10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3">
        <w:r>
          <w:rPr>
            <w:rStyle w:val="Hyperlink"/>
          </w:rPr>
          <w:t xml:space="preserve">https://doi.org/10.1007/s10816-015-9272-9</w:t>
        </w:r>
      </w:hyperlink>
    </w:p>
    <w:bookmarkEnd w:id="104"/>
    <w:bookmarkStart w:id="105" w:name="ref-Marwick2018"/>
    <w:p>
      <w:pPr>
        <w:pStyle w:val="Bibliography"/>
      </w:pPr>
      <w:r>
        <w:t xml:space="preserve">Marwick, B., Boettiger, C., Mullen, L., 2018. Packaging data analytical work reproducibly using r (and friends). The American Statistician 72, 80–88.</w:t>
      </w:r>
    </w:p>
    <w:bookmarkEnd w:id="105"/>
    <w:bookmarkStart w:id="106" w:name="ref-Marwick2019"/>
    <w:p>
      <w:pPr>
        <w:pStyle w:val="Bibliography"/>
      </w:pPr>
      <w:r>
        <w:t xml:space="preserve">Marwick, B., Krishnamoorthy, K., n.d. Cvequality: Tests for the equality of coefficients of variation from multiple groups.</w:t>
      </w:r>
    </w:p>
    <w:bookmarkEnd w:id="106"/>
    <w:bookmarkStart w:id="107" w:name="ref-Meloro2015"/>
    <w:p>
      <w:pPr>
        <w:pStyle w:val="Bibliography"/>
      </w:pPr>
      <w:r>
        <w:t xml:space="preserve">Meloro, C., Hudson, A., Rook, L., 2015. Feeding habits of extant and fossil canids as determined by their skull geometry. Journal of Zoology 295, 178–188.</w:t>
      </w:r>
    </w:p>
    <w:bookmarkEnd w:id="107"/>
    <w:bookmarkStart w:id="108" w:name="ref-Mullins2011"/>
    <w:p>
      <w:pPr>
        <w:pStyle w:val="Bibliography"/>
      </w:pPr>
      <w:r>
        <w:t xml:space="preserve">Mullins, P.R., 2011. The archaeology of consumption. Annual Review of Anthropology 40, 133–144.</w:t>
      </w:r>
    </w:p>
    <w:bookmarkEnd w:id="108"/>
    <w:bookmarkStart w:id="109" w:name="ref-Nakamura1938"/>
    <w:p>
      <w:pPr>
        <w:pStyle w:val="Bibliography"/>
      </w:pPr>
      <w:r>
        <w:t xml:space="preserve">Nakamura, 1938. Ranzin zidai no genbasya hoxukou biyao [The Dutch cencus record for Indigenous peoples in Taiwan]. Southern Anthropological Studies 4, 12.</w:t>
      </w:r>
    </w:p>
    <w:bookmarkEnd w:id="109"/>
    <w:bookmarkStart w:id="110"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0"/>
    <w:bookmarkStart w:id="111"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1"/>
    <w:bookmarkStart w:id="112"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2"/>
    <w:bookmarkStart w:id="113"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3"/>
    <w:bookmarkStart w:id="114" w:name="ref-Perez2007"/>
    <w:p>
      <w:pPr>
        <w:pStyle w:val="Bibliography"/>
      </w:pPr>
      <w:r>
        <w:t xml:space="preserve">Perez, S.I., 2007. Artificial cranial deformation in south america: A geometric morphometrics approximation. Journal of Archaeological Science 34, 1649–1658.</w:t>
      </w:r>
    </w:p>
    <w:bookmarkEnd w:id="114"/>
    <w:bookmarkStart w:id="115"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5"/>
    <w:bookmarkStart w:id="116" w:name="ref-Rlanguage2019"/>
    <w:p>
      <w:pPr>
        <w:pStyle w:val="Bibliography"/>
      </w:pPr>
      <w:r>
        <w:t xml:space="preserve">R Core Team, 2019. R: A language and environment for statistical computing. R Foundation for Statistical Computing, Vienna, Austria.</w:t>
      </w:r>
    </w:p>
    <w:bookmarkEnd w:id="116"/>
    <w:bookmarkStart w:id="117"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7"/>
    <w:bookmarkStart w:id="118"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8"/>
    <w:bookmarkStart w:id="119" w:name="ref-Roux2003"/>
    <w:p>
      <w:pPr>
        <w:pStyle w:val="Bibliography"/>
      </w:pPr>
      <w:r>
        <w:t xml:space="preserve">Roux, V., 2003. Ceramic standardization and intensity of production: Quantifying degrees of specialization. American Antiquity 68, 768–782.</w:t>
      </w:r>
    </w:p>
    <w:bookmarkEnd w:id="119"/>
    <w:bookmarkStart w:id="120"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0"/>
    <w:bookmarkStart w:id="121" w:name="ref-Scaramelli2005"/>
    <w:p>
      <w:pPr>
        <w:pStyle w:val="Bibliography"/>
      </w:pPr>
      <w:r>
        <w:t xml:space="preserve">Scaramelli, F., Scaramelli, K.T. de, 2005. The roles of material culture in the colonization of the orinoco, venezuela. Journal of Social Archaeology 5, 135–168.</w:t>
      </w:r>
    </w:p>
    <w:bookmarkEnd w:id="121"/>
    <w:bookmarkStart w:id="122"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2"/>
    <w:bookmarkStart w:id="123" w:name="ref-Selden2019"/>
    <w:p>
      <w:pPr>
        <w:pStyle w:val="Bibliography"/>
      </w:pPr>
      <w:r>
        <w:t xml:space="preserve">Selden Jr, R.Z., 2019. Ceramic morphological organisation in the southern caddo area: The clarence h. Webb collections. Journal of Cultural Heritage 35, 41–55.</w:t>
      </w:r>
    </w:p>
    <w:bookmarkEnd w:id="123"/>
    <w:bookmarkStart w:id="124"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4"/>
    <w:bookmarkStart w:id="125"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5"/>
    <w:bookmarkStart w:id="126" w:name="ref-Silliman2001"/>
    <w:p>
      <w:pPr>
        <w:pStyle w:val="Bibliography"/>
      </w:pPr>
      <w:r>
        <w:t xml:space="preserve">Silliman, S., 2001. Agency, practical politics and the archaeology of culture contact. Journal of social archaeology 1, 190–209.</w:t>
      </w:r>
    </w:p>
    <w:bookmarkEnd w:id="126"/>
    <w:bookmarkStart w:id="127" w:name="ref-Silliman2005"/>
    <w:p>
      <w:pPr>
        <w:pStyle w:val="Bibliography"/>
      </w:pPr>
      <w:r>
        <w:t xml:space="preserve">Silliman, S.W., 2005. Culture contact or colonialism? Challenges in the archaeology of native North America. American Antiquity 55–74.</w:t>
      </w:r>
    </w:p>
    <w:bookmarkEnd w:id="127"/>
    <w:bookmarkStart w:id="128" w:name="ref-Slice2007"/>
    <w:p>
      <w:pPr>
        <w:pStyle w:val="Bibliography"/>
      </w:pPr>
      <w:r>
        <w:t xml:space="preserve">Slice, D.E., 2007. Geometric morphometrics. Annu. Rev. Anthropol. 36, 261–281.</w:t>
      </w:r>
    </w:p>
    <w:bookmarkEnd w:id="128"/>
    <w:bookmarkStart w:id="129"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9"/>
    <w:bookmarkStart w:id="130"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0"/>
    <w:bookmarkStart w:id="131" w:name="ref-Tite1999"/>
    <w:p>
      <w:pPr>
        <w:pStyle w:val="Bibliography"/>
      </w:pPr>
      <w:r>
        <w:t xml:space="preserve">Tite, M.S., 1999. Pottery production, distribution, and consumption—the contribution of the physical sciences. Journal of archaeological method and theory 6, 181–233.</w:t>
      </w:r>
    </w:p>
    <w:bookmarkEnd w:id="131"/>
    <w:bookmarkStart w:id="132" w:name="ref-Topi2017"/>
    <w:p>
      <w:pPr>
        <w:pStyle w:val="Bibliography"/>
      </w:pPr>
      <w:r>
        <w:t xml:space="preserve">Topi, J.R., VanPool, C.S., Waller, K.D., VanPool, T.L., 2017. The economy of specialized ceramic craft production in the casas grandes region. Latin American Antiquity 29, 122–142.</w:t>
      </w:r>
    </w:p>
    <w:bookmarkEnd w:id="132"/>
    <w:bookmarkStart w:id="133"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3"/>
    <w:bookmarkStart w:id="134" w:name="ref-Trabert2017"/>
    <w:p>
      <w:pPr>
        <w:pStyle w:val="Bibliography"/>
      </w:pPr>
      <w:r>
        <w:t xml:space="preserve">Trabert, S., 2017. Considering the indirect effects of colonialism: Example from a great plains middle ground. Journal of Anthropological Archaeology 48, 17–27.</w:t>
      </w:r>
    </w:p>
    <w:bookmarkEnd w:id="134"/>
    <w:bookmarkStart w:id="135" w:name="ref-Voss2008"/>
    <w:p>
      <w:pPr>
        <w:pStyle w:val="Bibliography"/>
      </w:pPr>
      <w:r>
        <w:t xml:space="preserve">Voss, B.L., 2008. Between the household and the world system: Social collectivity and community agency in overseas chinese archaeology. Historical Archaeology 37–52.</w:t>
      </w:r>
    </w:p>
    <w:bookmarkEnd w:id="135"/>
    <w:bookmarkStart w:id="136" w:name="ref-Voss2005"/>
    <w:p>
      <w:pPr>
        <w:pStyle w:val="Bibliography"/>
      </w:pPr>
      <w:r>
        <w:t xml:space="preserve">Voss, B.L., 2005. From casta to californio: Social identity and the archaeology of culture contact. American Anthropologist 107, 461–474.</w:t>
      </w:r>
    </w:p>
    <w:bookmarkEnd w:id="136"/>
    <w:bookmarkStart w:id="137" w:name="ref-Wang2011"/>
    <w:p>
      <w:pPr>
        <w:pStyle w:val="Bibliography"/>
      </w:pPr>
      <w:r>
        <w:t xml:space="preserve">Wang, L.-Y., 2011. Yi lan qi wu lan yi zhi chu tu zhuang shi pin zhi xiang guan yan jiu [a research of ornaments excavated at ki-wu-lan site, i-lan] (Master’s thesis).</w:t>
      </w:r>
    </w:p>
    <w:bookmarkEnd w:id="137"/>
    <w:bookmarkStart w:id="138"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38"/>
    <w:bookmarkStart w:id="13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9"/>
    <w:bookmarkStart w:id="140" w:name="ref-Wills2001"/>
    <w:p>
      <w:pPr>
        <w:pStyle w:val="Bibliography"/>
      </w:pPr>
      <w:r>
        <w:t xml:space="preserve">Wills, M.A., 2001. Morphological disparity: A primer, in: Adrain, E., Jonathan M. (Ed.), Fossils, Phylogeny, and Form. Springer, pp. 55–144.</w:t>
      </w:r>
    </w:p>
    <w:bookmarkEnd w:id="140"/>
    <w:bookmarkStart w:id="141"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1"/>
    <w:bookmarkEnd w:id="142"/>
    <w:p>
      <w:pPr>
        <w:pStyle w:val="Heading5"/>
      </w:pPr>
      <w:bookmarkStart w:id="143" w:name="pagebreak-1"/>
      <w:r>
        <w:t xml:space="preserve">pagebreak</w:t>
      </w:r>
      <w:bookmarkEnd w:id="143"/>
    </w:p>
    <w:p>
      <w:pPr>
        <w:pStyle w:val="Heading3"/>
      </w:pPr>
      <w:bookmarkStart w:id="144" w:name="colophon"/>
      <w:r>
        <w:t xml:space="preserve">Colophon</w:t>
      </w:r>
      <w:bookmarkEnd w:id="144"/>
    </w:p>
    <w:p>
      <w:pPr>
        <w:pStyle w:val="FirstParagraph"/>
      </w:pPr>
      <w:r>
        <w:t xml:space="preserve">This report was generated on 2020-08-08 23:03:31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2020-08-08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        2020-06-03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3.0-8      2020-05-21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1.12.8     2019-12-09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2.3.0      2020-04-10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1.0.0      2020-05-29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1.4.2      2020-06-30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7.3-51.6   2020-04-26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1.8-31     2019-11-09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1.0.8      2020-05-07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1.3.3      2020-05-08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3.3-7      2020-06-27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0.3.5      2019-11-08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0.9-4      2020-06-13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1.1.0      2020-05-20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0.15       2020-06-21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[178a3f4] 2020-08-09: edit discussion and conclusion</w:t>
      </w:r>
    </w:p>
    <w:p>
      <w:pPr>
        <w:pStyle w:val="FirstParagraph"/>
      </w:pPr>
      <w:r>
        <w:t xml:space="preserve">Word count: 5962</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2020-08-09T06:03:43Z</dcterms:created>
  <dcterms:modified xsi:type="dcterms:W3CDTF">2020-08-09T06:03:43Z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08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