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1.png" ContentType="image/png"/>
  <Override PartName="/word/media/rId35.png" ContentType="image/png"/>
  <Override PartName="/word/media/rId33.png" ContentType="image/png"/>
  <Override PartName="/word/media/rId34.png" ContentType="image/png"/>
  <Override PartName="/word/media/rId32.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and discussed,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Medio period (AD 1200-1450), were made by specialists based on high standardized shape. Among those high standardized jars, some were made by attached specialists, while others were made by independent specialists according to their spatial distribution patterns. Similarity,</w:t>
      </w:r>
      <w:r>
        <w:t xml:space="preserve"> </w:t>
      </w:r>
      <w:r>
        <w:t xml:space="preserve">Selden Jr (2019)</w:t>
      </w:r>
      <w:r>
        <w:t xml:space="preserve"> </w:t>
      </w:r>
      <w:r>
        <w:t xml:space="preserve">examines 28 Caddo bottle excavated at several sites (AD 500-1700) in northwest Louisiana from the Clarence H. Webb collections. The results indicate a significant integration between the different parts of the bottles including rim, neck, body, and base that vary in a coordinated manner. Also, two discrete base and body shapes represented north and south difference were identified. For the EFA method,</w:t>
      </w:r>
      <w:r>
        <w:t xml:space="preserve"> </w:t>
      </w:r>
      <w:r>
        <w:t xml:space="preserve">Wilczek et al. (2014)</w:t>
      </w:r>
      <w:r>
        <w:t xml:space="preserve"> </w:t>
      </w:r>
      <w:r>
        <w:t xml:space="preserve">evaluate the concordance between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ceramic production.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standarization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the largest excavation section at Kiwulan, northeastern Taiwan (Figure</w:t>
      </w:r>
      <w:r>
        <w:t xml:space="preserve"> </w:t>
      </w:r>
      <w:r>
        <w:t xml:space="preserve">1</w:t>
      </w:r>
      <w:r>
        <w:t xml:space="preserve">; Figure</w:t>
      </w:r>
      <w:r>
        <w:t xml:space="preserve"> </w:t>
      </w:r>
      <w:r>
        <w:t xml:space="preserve">2</w:t>
      </w:r>
      <w:r>
        <w:t xml:space="preserve">). Kiwulan is situated on a hill near a riverside at the northern margin of Yilan, which is characterized by a triangular alluvial plain facing eastwards the Pacific with high mountains on three other sides . Yilan is an ideal context to study peripheral colonial influence because it was relatively isolated by natural barrier that reduced frequency of direct contact with the Europeans presences, the Spanish and the Dutch settled in northern Taiwan. The chronology of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Europeans in the 17th century and great waves of Chinese immigrants in the 19th century. Imported ceramics from mainland China, stonewares, and ornaments elements such as beads were trade goods commonly found in the upper component that indicates the frequent long-distance trade activities in the 17th century during the European presence in northern Taiwan. In addition to artifacts, features such as burials, middens, and post-holes with in-situ posts widespread across 1-2 m thick deposit explain that Kiwulan was a continuously occupied and large settlement site</w:t>
      </w:r>
      <w:r>
        <w:t xml:space="preserve"> </w:t>
      </w:r>
      <w:r>
        <w:t xml:space="preserve">(Chen, 2007)</w:t>
      </w:r>
      <w:r>
        <w:t xml:space="preserve">. To compare different foreign influences, the upper component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based on the evidence of charred residues and carbon deposits commonly observed on the interior and soot on the exterior. Moreover, a lack of evidence of other utilitarian earthenware ceramics suggests this globular pot was mainly used for daily cooking. They are fired to orange to brownish color with a fully oxidized core or a reduced core with oxidized fringes. Finger impressions and seams usually on the interior indicate they were pinched using slabs of clay and shaped by hand. In addition to Kiwulan site, this kind of pot was widely found at other archaeological sites during the same period in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Heading1"/>
      </w:pPr>
      <w:bookmarkStart w:id="25" w:name="methods"/>
      <w:r>
        <w:t xml:space="preserve">Methods</w:t>
      </w:r>
      <w:bookmarkEnd w:id="25"/>
    </w:p>
    <w:p>
      <w:pPr>
        <w:pStyle w:val="FirstParagraph"/>
      </w:pPr>
      <w:r>
        <w:t xml:space="preserve">A total of 73 vessels from pre-contact contexts (n = 32), post-European contexts (n = 27), and Chinese contact contexts (n = 14) were selected for Ellipic Fourier analysis due to their completeness covering most parts from rim to bottom. To fully explore the pottery standardization, we also take the metric measurements into account as a basis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Heading2"/>
      </w:pPr>
      <w:bookmarkStart w:id="26" w:name="digitising-and-analysing-by-efa"/>
      <w:r>
        <w:t xml:space="preserve">Digitising and analysing by EFA</w:t>
      </w:r>
      <w:bookmarkEnd w:id="26"/>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7" w:name="statistical-testing"/>
      <w:r>
        <w:t xml:space="preserve">Statistical testing</w:t>
      </w:r>
      <w:bookmarkEnd w:id="27"/>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 We also include the Krishnamoorthy and Lee (2014) test as a more recent development with lower rates of type I error, better performance with uneven sample numbers, and more power across a range of conditions.</w:t>
      </w:r>
    </w:p>
    <w:p>
      <w:pPr>
        <w:pStyle w:val="Heading1"/>
      </w:pPr>
      <w:bookmarkStart w:id="28" w:name="reproducibility-and-open-source-materials"/>
      <w:r>
        <w:t xml:space="preserve">Reproducibility and open source materials</w:t>
      </w:r>
      <w:bookmarkEnd w:id="28"/>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9">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pre-European</w:t>
            </w:r>
          </w:p>
        </w:tc>
        <w:tc>
          <w:tcPr>
            <w:tcBorders>
              <w:bottom w:val="single"/>
            </w:tcBorders>
            <w:vAlign w:val="bottom"/>
          </w:tcPr>
          <w:p>
            <w:pPr>
              <w:pStyle w:val="Compact"/>
              <w:jc w:val="right"/>
            </w:pPr>
            <w:r>
              <w:t xml:space="preserve">after 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21.816563</w:t>
            </w:r>
          </w:p>
        </w:tc>
        <w:tc>
          <w:p>
            <w:pPr>
              <w:pStyle w:val="Compact"/>
              <w:jc w:val="right"/>
            </w:pPr>
            <w:r>
              <w:t xml:space="preserve">3.3113</w:t>
            </w:r>
          </w:p>
        </w:tc>
        <w:tc>
          <w:p>
            <w:pPr>
              <w:pStyle w:val="Compact"/>
              <w:jc w:val="right"/>
            </w:pPr>
            <w:r>
              <w:t xml:space="preserve">0.1910</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19.860990</w:t>
            </w:r>
          </w:p>
        </w:tc>
        <w:tc>
          <w:p>
            <w:pPr>
              <w:pStyle w:val="Compact"/>
              <w:jc w:val="right"/>
            </w:pPr>
            <w:r>
              <w:t xml:space="preserve">3.6368</w:t>
            </w:r>
          </w:p>
        </w:tc>
        <w:tc>
          <w:p>
            <w:pPr>
              <w:pStyle w:val="Compact"/>
              <w:jc w:val="right"/>
            </w:pPr>
            <w:r>
              <w:t xml:space="preserve">0.1623</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24.188732</w:t>
            </w:r>
          </w:p>
        </w:tc>
        <w:tc>
          <w:p>
            <w:pPr>
              <w:pStyle w:val="Compact"/>
              <w:jc w:val="right"/>
            </w:pPr>
            <w:r>
              <w:t xml:space="preserve">2.2762</w:t>
            </w:r>
          </w:p>
        </w:tc>
        <w:tc>
          <w:p>
            <w:pPr>
              <w:pStyle w:val="Compact"/>
              <w:jc w:val="right"/>
            </w:pPr>
            <w:r>
              <w:t xml:space="preserve">0.3204</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30.060009</w:t>
            </w:r>
          </w:p>
        </w:tc>
        <w:tc>
          <w:p>
            <w:pPr>
              <w:pStyle w:val="Compact"/>
              <w:jc w:val="right"/>
            </w:pPr>
            <w:r>
              <w:t xml:space="preserve">0.3057</w:t>
            </w:r>
          </w:p>
        </w:tc>
        <w:tc>
          <w:p>
            <w:pPr>
              <w:pStyle w:val="Compact"/>
              <w:jc w:val="right"/>
            </w:pPr>
            <w:r>
              <w:t xml:space="preserve">0.8583</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6.929983</w:t>
            </w:r>
          </w:p>
        </w:tc>
        <w:tc>
          <w:p>
            <w:pPr>
              <w:pStyle w:val="Compact"/>
              <w:jc w:val="right"/>
            </w:pPr>
            <w:r>
              <w:t xml:space="preserve">19.2422</w:t>
            </w:r>
          </w:p>
        </w:tc>
        <w:tc>
          <w:p>
            <w:pPr>
              <w:pStyle w:val="Compact"/>
              <w:jc w:val="right"/>
            </w:pPr>
            <w:r>
              <w:t xml:space="preserve">0.0001</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7.065821</w:t>
            </w:r>
          </w:p>
        </w:tc>
        <w:tc>
          <w:p>
            <w:pPr>
              <w:pStyle w:val="Compact"/>
              <w:jc w:val="right"/>
            </w:pPr>
            <w:r>
              <w:t xml:space="preserve">19.0681</w:t>
            </w:r>
          </w:p>
        </w:tc>
        <w:tc>
          <w:p>
            <w:pPr>
              <w:pStyle w:val="Compact"/>
              <w:jc w:val="right"/>
            </w:pPr>
            <w:r>
              <w:t xml:space="preserve">0.0001</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6.561998</w:t>
            </w:r>
          </w:p>
        </w:tc>
        <w:tc>
          <w:p>
            <w:pPr>
              <w:pStyle w:val="Compact"/>
              <w:jc w:val="right"/>
            </w:pPr>
            <w:r>
              <w:t xml:space="preserve">4.9965</w:t>
            </w:r>
          </w:p>
        </w:tc>
        <w:tc>
          <w:p>
            <w:pPr>
              <w:pStyle w:val="Compact"/>
              <w:jc w:val="right"/>
            </w:pPr>
            <w:r>
              <w:t xml:space="preserve">0.0822</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7.029331</w:t>
            </w:r>
          </w:p>
        </w:tc>
        <w:tc>
          <w:p>
            <w:pPr>
              <w:pStyle w:val="Compact"/>
              <w:jc w:val="right"/>
            </w:pPr>
            <w:r>
              <w:t xml:space="preserve">0.7344</w:t>
            </w:r>
          </w:p>
        </w:tc>
        <w:tc>
          <w:p>
            <w:pPr>
              <w:pStyle w:val="Compact"/>
              <w:jc w:val="right"/>
            </w:pPr>
            <w:r>
              <w:t xml:space="preserve">0.6927</w:t>
            </w:r>
          </w:p>
        </w:tc>
      </w:tr>
    </w:tbl>
    <w:p>
      <w:pPr>
        <w:pStyle w:val="BodyText"/>
      </w:pPr>
      <w:r>
        <w:t xml:space="preserve">Table</w:t>
      </w:r>
      <w:r>
        <w:t xml:space="preserve"> </w:t>
      </w:r>
      <w:r>
        <w:t xml:space="preserve">1</w:t>
      </w:r>
      <w:r>
        <w:t xml:space="preserve"> </w:t>
      </w:r>
      <w:r>
        <w:t xml:space="preserve">shows the results of Modified signed-likelihood ratio test (MSLRT) for equality of CVs for for six measurements and two ratio values. There is a significant difference (p-value less than 0.01) between CV values for two metric measurements across phases, the rim diameter and the neck diameter.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 (10.6%).</w:t>
      </w:r>
    </w:p>
    <w:p>
      <w:pPr>
        <w:pStyle w:val="BodyText"/>
      </w:pPr>
      <w:r>
        <w:t xml:space="preserve">The elliptic Fourier coefficients of 73 pottery from three phases were calculated. Reliable pottery outline was captured by 13 harmonics that gather 99 % of the total harmonic power. The average shape of vessels from each phase was visualized by computing the mean of the standardized Fourier coefficients within each phase group (Figure</w:t>
      </w:r>
      <w:r>
        <w:t xml:space="preserve"> </w:t>
      </w:r>
      <w:r>
        <w:t xml:space="preserve">3</w:t>
      </w:r>
      <w:r>
        <w:t xml:space="preserve">). Figure</w:t>
      </w:r>
      <w:r>
        <w:t xml:space="preserve"> </w:t>
      </w:r>
      <w:r>
        <w:t xml:space="preserve">4</w:t>
      </w:r>
      <w:r>
        <w:t xml:space="preserve"> </w:t>
      </w:r>
      <w:r>
        <w:t xml:space="preserve">shows the shape changes described using thin-plate spline warping for paired periods, pre and post European periods, and post-European and Chinese period in a time sequence.</w:t>
      </w:r>
    </w:p>
    <w:p>
      <w:pPr>
        <w:pStyle w:val="CaptionedFigure"/>
      </w:pPr>
      <w:r>
        <w:drawing>
          <wp:inline>
            <wp:extent cx="5943600" cy="4754880"/>
            <wp:effectExtent b="0" l="0" r="0" t="0"/>
            <wp:docPr descr="Figure 3: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Mean pottery shapes of three phases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5</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6</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5: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6: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distribution by each occupation phase according to the first two PCs</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right"/>
            </w:pPr>
            <w:r>
              <w:t xml:space="preserve">1</w:t>
            </w:r>
          </w:p>
        </w:tc>
        <w:tc>
          <w:p>
            <w:pPr>
              <w:pStyle w:val="Compact"/>
              <w:jc w:val="right"/>
            </w:pPr>
            <w:r>
              <w:t xml:space="preserve">0.3806</w:t>
            </w:r>
          </w:p>
        </w:tc>
        <w:tc>
          <w:p>
            <w:pPr>
              <w:pStyle w:val="Compact"/>
              <w:jc w:val="right"/>
            </w:pPr>
            <w:r>
              <w:t xml:space="preserve">1.6202</w:t>
            </w:r>
          </w:p>
        </w:tc>
        <w:tc>
          <w:p>
            <w:pPr>
              <w:pStyle w:val="Compact"/>
              <w:jc w:val="right"/>
            </w:pPr>
            <w:r>
              <w:t xml:space="preserve">11</w:t>
            </w:r>
          </w:p>
        </w:tc>
        <w:tc>
          <w:p>
            <w:pPr>
              <w:pStyle w:val="Compact"/>
              <w:jc w:val="right"/>
            </w:pPr>
            <w:r>
              <w:t xml:space="preserve">29</w:t>
            </w:r>
          </w:p>
        </w:tc>
        <w:tc>
          <w:p>
            <w:pPr>
              <w:pStyle w:val="Compact"/>
              <w:jc w:val="right"/>
            </w:pPr>
            <w:r>
              <w:t xml:space="preserve">0.1452</w:t>
            </w:r>
          </w:p>
        </w:tc>
      </w:tr>
      <w:tr>
        <w:tc>
          <w:p>
            <w:pPr>
              <w:pStyle w:val="Compact"/>
              <w:jc w:val="right"/>
            </w:pPr>
            <w:r>
              <w:t xml:space="preserve">1</w:t>
            </w:r>
          </w:p>
        </w:tc>
        <w:tc>
          <w:p>
            <w:pPr>
              <w:pStyle w:val="Compact"/>
              <w:jc w:val="right"/>
            </w:pPr>
            <w:r>
              <w:t xml:space="preserve">0.6942</w:t>
            </w:r>
          </w:p>
        </w:tc>
        <w:tc>
          <w:p>
            <w:pPr>
              <w:pStyle w:val="Compact"/>
              <w:jc w:val="right"/>
            </w:pPr>
            <w:r>
              <w:t xml:space="preserve">7.0177</w:t>
            </w:r>
          </w:p>
        </w:tc>
        <w:tc>
          <w:p>
            <w:pPr>
              <w:pStyle w:val="Compact"/>
              <w:jc w:val="right"/>
            </w:pPr>
            <w:r>
              <w:t xml:space="preserve">11</w:t>
            </w:r>
          </w:p>
        </w:tc>
        <w:tc>
          <w:p>
            <w:pPr>
              <w:pStyle w:val="Compact"/>
              <w:jc w:val="right"/>
            </w:pPr>
            <w:r>
              <w:t xml:space="preserve">34</w:t>
            </w:r>
          </w:p>
        </w:tc>
        <w:tc>
          <w:p>
            <w:pPr>
              <w:pStyle w:val="Compact"/>
              <w:jc w:val="right"/>
            </w:pPr>
            <w:r>
              <w:t xml:space="preserve">0.0000</w:t>
            </w:r>
          </w:p>
        </w:tc>
      </w:tr>
      <w:tr>
        <w:tc>
          <w:p>
            <w:pPr>
              <w:pStyle w:val="Compact"/>
              <w:jc w:val="right"/>
            </w:pPr>
            <w:r>
              <w:t xml:space="preserve">1</w:t>
            </w:r>
          </w:p>
        </w:tc>
        <w:tc>
          <w:p>
            <w:pPr>
              <w:pStyle w:val="Compact"/>
              <w:jc w:val="right"/>
            </w:pPr>
            <w:r>
              <w:t xml:space="preserve">0.3491</w:t>
            </w:r>
          </w:p>
        </w:tc>
        <w:tc>
          <w:p>
            <w:pPr>
              <w:pStyle w:val="Compact"/>
              <w:jc w:val="right"/>
            </w:pPr>
            <w:r>
              <w:t xml:space="preserve">2.2917</w:t>
            </w:r>
          </w:p>
        </w:tc>
        <w:tc>
          <w:p>
            <w:pPr>
              <w:pStyle w:val="Compact"/>
              <w:jc w:val="right"/>
            </w:pPr>
            <w:r>
              <w:t xml:space="preserve">11</w:t>
            </w:r>
          </w:p>
        </w:tc>
        <w:tc>
          <w:p>
            <w:pPr>
              <w:pStyle w:val="Compact"/>
              <w:jc w:val="right"/>
            </w:pPr>
            <w:r>
              <w:t xml:space="preserve">47</w:t>
            </w:r>
          </w:p>
        </w:tc>
        <w:tc>
          <w:p>
            <w:pPr>
              <w:pStyle w:val="Compact"/>
              <w:jc w:val="right"/>
            </w:pPr>
            <w:r>
              <w:t xml:space="preserve">0.0243</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m:t>
        </m:r>
      </m:oMath>
      <w:r>
        <w:t xml:space="preserve">) and Pre-European and Chinese contact shapes (p =</w:t>
      </w:r>
      <w:r>
        <w:t xml:space="preserve"> </w:t>
      </w:r>
      <m:oMath>
        <m:r>
          <m:t>0</m:t>
        </m:r>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7: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2.3213</w:t>
            </w:r>
          </w:p>
        </w:tc>
        <w:tc>
          <w:p>
            <w:pPr>
              <w:pStyle w:val="Compact"/>
              <w:jc w:val="right"/>
            </w:pPr>
            <w:r>
              <w:t xml:space="preserve">0.1276</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13.9989</w:t>
            </w:r>
          </w:p>
        </w:tc>
        <w:tc>
          <w:p>
            <w:pPr>
              <w:pStyle w:val="Compact"/>
              <w:jc w:val="right"/>
            </w:pPr>
            <w:r>
              <w:t xml:space="preserve">0.0002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8.0358</w:t>
            </w:r>
          </w:p>
        </w:tc>
        <w:tc>
          <w:p>
            <w:pPr>
              <w:pStyle w:val="Compact"/>
              <w:jc w:val="right"/>
            </w:pPr>
            <w:r>
              <w:t xml:space="preserve">0.0046</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4.3306</w:t>
            </w:r>
          </w:p>
        </w:tc>
        <w:tc>
          <w:p>
            <w:pPr>
              <w:pStyle w:val="Compact"/>
              <w:jc w:val="right"/>
            </w:pPr>
            <w:r>
              <w:t xml:space="preserve">0.0374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8.6637</w:t>
            </w:r>
          </w:p>
        </w:tc>
        <w:tc>
          <w:p>
            <w:pPr>
              <w:pStyle w:val="Compact"/>
              <w:jc w:val="right"/>
            </w:pPr>
            <w:r>
              <w:t xml:space="preserve">0.0032</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7.5429</w:t>
            </w:r>
          </w:p>
        </w:tc>
        <w:tc>
          <w:p>
            <w:pPr>
              <w:pStyle w:val="Compact"/>
              <w:jc w:val="right"/>
            </w:pPr>
            <w:r>
              <w:t xml:space="preserve">0.0060</w:t>
            </w:r>
          </w:p>
        </w:tc>
        <w:tc>
          <w:p>
            <w:pPr>
              <w:pStyle w:val="Compact"/>
              <w:jc w:val="left"/>
            </w:pPr>
            <w:r>
              <w:t xml:space="preserve">Chinese Contact vs Post-European</w:t>
            </w:r>
          </w:p>
        </w:tc>
      </w:tr>
    </w:tbl>
    <w:p>
      <w:pPr>
        <w:pStyle w:val="CaptionedFigure"/>
      </w:pPr>
      <w:r>
        <w:drawing>
          <wp:inline>
            <wp:extent cx="5943600" cy="4754880"/>
            <wp:effectExtent b="0" l="0" r="0" t="0"/>
            <wp:docPr descr="Figure 8: P-values of the CV equality test of PC1 and PC2 between phases, red color indicates p-value is less than 0.05" title="" id="1" name="Picture"/>
            <a:graphic>
              <a:graphicData uri="http://schemas.openxmlformats.org/drawingml/2006/picture">
                <pic:pic>
                  <pic:nvPicPr>
                    <pic:cNvPr descr="../figures/CV-test-PCs-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7</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less than 0.01) in the standardization of vessel shape across some periods, especially between Chinese contact with either pre-European or post-European(Figure</w:t>
      </w:r>
      <w:r>
        <w:t xml:space="preserve"> </w:t>
      </w:r>
      <w:r>
        <w:t xml:space="preserve">8</w:t>
      </w:r>
      <w:r>
        <w:t xml:space="preserve">, Table</w:t>
      </w:r>
      <w:r>
        <w:t xml:space="preserve"> </w:t>
      </w:r>
      <w:r>
        <w:t xml:space="preserve">3</w:t>
      </w:r>
      <w:r>
        <w:t xml:space="preserve">). Significant difference is also detected between pre-European and post-European (P-value less than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Heading1"/>
      </w:pPr>
      <w:bookmarkStart w:id="37" w:name="discussion"/>
      <w:r>
        <w:t xml:space="preserve">Discussion</w:t>
      </w:r>
      <w:bookmarkEnd w:id="37"/>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less than 0.05), and between Chinese contact and either pre-European or post-European (P-value less than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the Chinese immigrants by emphasizing the practice of traditional pottery production. In a culture contact situation, social identity could be expressed through materials practices to show cultural homogeneous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Southwest China into Han Empire involved a century of conflicts, resistance, and acceptance among social groups with different identity, especially in the historical context of Han immigrants</w:t>
      </w:r>
      <w:r>
        <w:t xml:space="preserve"> </w:t>
      </w:r>
      <w:r>
        <w:t xml:space="preserve">(Wu et al., 2019)</w:t>
      </w:r>
      <w:r>
        <w:t xml:space="preserve">. At Kiwulan, the standardization of potter shape is significant in the 19th century when a a large number of Chinese immigrants migrated to Yilan. Shape can be viewed as a symbol as an expression the indigenous identity or social boundary because shape is the most obvious and visible trait compared with other features of pottery</w:t>
      </w:r>
      <w:r>
        <w:t xml:space="preserve"> </w:t>
      </w:r>
      <w:r>
        <w:t xml:space="preserve">(cf. Roux, 2015)</w:t>
      </w:r>
      <w:r>
        <w:t xml:space="preserve">. Although there is an increase in number of imported ceramics over time and reached high quantity and diversity in the 19th century, the production of the local pottery continued and became more standardized. This might imply not only the utilitarian function, but an deliberate action to emphasize the pottery tradition as their cultural custom.</w:t>
      </w:r>
    </w:p>
    <w:p>
      <w:pPr>
        <w:pStyle w:val="Heading1"/>
      </w:pPr>
      <w:bookmarkStart w:id="38" w:name="conclusion"/>
      <w:r>
        <w:t xml:space="preserve">Conclusion</w:t>
      </w:r>
      <w:bookmarkEnd w:id="38"/>
    </w:p>
    <w:p>
      <w:pPr>
        <w:pStyle w:val="FirstParagraph"/>
      </w:pPr>
      <w:r>
        <w:t xml:space="preserve">This case study demonstrates the application of Elliptic Fourier analysis on ceramic shape to explore the emergence of ceramic specialization and the underlying mechanism indicative of foreign culture influences. Compared with the traditional linear measurement approach, geometric morphometrics methods especially EFA-based outline approach is more effective to detect shape variations for artifact shape without obvious landmarks. Here, EFA approach combined with a significance test for the equality of CVs for shape variables provides a robust way to identify and statistically assess the difference in shape standardization. Lower variation in ceramic shape was identified after the European presence and even much lower variation during the Chinese presence. The direct relationship between foreign influences and highly standardized ceramic shape was tested here on Kiwulan pottery. This finding helps to understand the cause and factor that would lead to the standardization of pottery production in a cross-cultural interaction context. This gave an insight into the discussion of ceramic specialization which is usually associated with the changes in social organization. The more homogeneous shape during the contact period without any changes in clay paste or producing technique suggests that shape standardization is an outcome resulted from an intentional act. The results here suggest an expression of social identity or showing cultural boundary in indigenous societies through visible variable when encountering foreign intrusion. The analysis allows comparisons between sites with a similar historical trajectory in a pericolonial context. Our case study includes an openly available pipeline suitable for other assemblages, ensuring reproducibility and expanding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08"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ess2015"/>
    <w:p>
      <w:pPr>
        <w:pStyle w:val="BodyText"/>
      </w:pPr>
      <w:r>
        <w:t xml:space="preserve">Boness, D., Clarke, J., Goren, Y., 2015. Ceramic neolithic pottery in cyprus—origin, technology and possible implications for social structure and identity. Levant 47, 233–254.</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16"/>
    <w:p>
      <w:pPr>
        <w:pStyle w:val="BodyText"/>
      </w:pPr>
      <w:r>
        <w:t xml:space="preserve">Chen, W.-S., 2016. Tai wan di zhi gai lun [an introduction to the geology of taiwan]. Geological Society Located in Taipei.</w:t>
      </w:r>
    </w:p>
    <w:bookmarkEnd w:id="57"/>
    <w:bookmarkStart w:id="58" w:name="ref-Chen2007"/>
    <w:p>
      <w:pPr>
        <w:pStyle w:val="BodyText"/>
      </w:pPr>
      <w:r>
        <w:t xml:space="preserve">Chen, Y.-p., 2007. Qi wu lan yi zhi qiang jiu fa jue bao gao [report on the archaeological excavations at ki-wu-lan site]. Lanyang museum, Yilan, Taiwan.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1"/>
    <w:p>
      <w:pPr>
        <w:pStyle w:val="BodyText"/>
      </w:pPr>
      <w:r>
        <w:t xml:space="preserve">Eerkens, J.W., Bettinger, R.L., 2001. Techniques for assessing standardization in artifact assemblages: Can we scale material variability? American Antiquity 66, 493–504.</w:t>
      </w:r>
    </w:p>
    <w:bookmarkEnd w:id="65"/>
    <w:bookmarkStart w:id="66" w:name="ref-Evershed2008"/>
    <w:p>
      <w:pPr>
        <w:pStyle w:val="BodyText"/>
      </w:pPr>
      <w:r>
        <w:t xml:space="preserve">Evershed, R.P., 2008. Organic residue analysis in archaeology: The archaeological biomarker revolution. Archaeometry 50, 895–924.</w:t>
      </w:r>
    </w:p>
    <w:bookmarkEnd w:id="66"/>
    <w:bookmarkStart w:id="67"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7"/>
    <w:bookmarkStart w:id="68" w:name="ref-Fox2015"/>
    <w:p>
      <w:pPr>
        <w:pStyle w:val="BodyText"/>
      </w:pPr>
      <w:r>
        <w:t xml:space="preserve">Fox, A.N., 2015. A study of late woodland projectile point typology in new york using elliptical fourier outline analysis. Journal of Archaeological Science: Reports 4, 501–509.</w:t>
      </w:r>
    </w:p>
    <w:bookmarkEnd w:id="68"/>
    <w:bookmarkStart w:id="69" w:name="ref-Given2004"/>
    <w:p>
      <w:pPr>
        <w:pStyle w:val="BodyText"/>
      </w:pPr>
      <w:r>
        <w:t xml:space="preserve">Given, M., 2004. The archaeology of the colonized. Routledge, London; New York.</w:t>
      </w:r>
    </w:p>
    <w:bookmarkEnd w:id="69"/>
    <w:bookmarkStart w:id="70" w:name="ref-Gunz2013"/>
    <w:p>
      <w:pPr>
        <w:pStyle w:val="BodyText"/>
      </w:pPr>
      <w:r>
        <w:t xml:space="preserve">Gunz, P., Mitteroecker, P., 2013. Semilandmarks: A method for quantifying curves and surfaces. Hystrix, the Italian Journal of Mammalogy 24, 103–109.</w:t>
      </w:r>
    </w:p>
    <w:bookmarkEnd w:id="70"/>
    <w:bookmarkStart w:id="71"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1"/>
    <w:bookmarkStart w:id="72" w:name="ref-Hirshman2010"/>
    <w:p>
      <w:pPr>
        <w:pStyle w:val="BodyText"/>
      </w:pPr>
      <w:r>
        <w:t xml:space="preserve">Hirshman, A.J., Lovis, W.A., Pollard, H.P., 2010. Specialization of ceramic production: A sherd assemblage based analytic perspective. Journal of Anthropological Archaeology 29, 265–277.</w:t>
      </w:r>
    </w:p>
    <w:bookmarkEnd w:id="72"/>
    <w:bookmarkStart w:id="73"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3"/>
    <w:bookmarkStart w:id="74" w:name="ref-Hsieh2009"/>
    <w:p>
      <w:pPr>
        <w:pStyle w:val="BodyText"/>
      </w:pPr>
      <w:r>
        <w:t xml:space="preserve">Hsieh, E., 2009. Yi lan qi wu lan yi zhi chu tu wai lai tao ci qi zhi xiang guan yan jiu [the study of imported ceramics excavated at the ki-wu-lan site, i-lan] (Master’s thesis).</w:t>
      </w:r>
    </w:p>
    <w:bookmarkEnd w:id="74"/>
    <w:bookmarkStart w:id="75" w:name="ref-Iovictua2010"/>
    <w:p>
      <w:pPr>
        <w:pStyle w:val="BodyText"/>
      </w:pPr>
      <w:r>
        <w:t xml:space="preserve">Ioviţă, R., 2010. Comparing stone tool resharpening trajectories with the aid of elliptical fourier analysis, in: New Perspectives on Old Stones. Springer, pp. 235–253.</w:t>
      </w:r>
    </w:p>
    <w:bookmarkEnd w:id="75"/>
    <w:bookmarkStart w:id="76" w:name="ref-Junker1999"/>
    <w:p>
      <w:pPr>
        <w:pStyle w:val="BodyText"/>
      </w:pPr>
      <w:r>
        <w:t xml:space="preserve">Junker, L.L., 1999. Raiding, trading, and feasting: The political economy of philippine chiefdoms. University of Hawaii Press.</w:t>
      </w:r>
    </w:p>
    <w:bookmarkEnd w:id="76"/>
    <w:bookmarkStart w:id="77" w:name="ref-Junker1993"/>
    <w:p>
      <w:pPr>
        <w:pStyle w:val="BodyText"/>
      </w:pPr>
      <w:r>
        <w:t xml:space="preserve">Junker, L.L., 1993. Craft goods specialization and prestige goods exchange in philippine chiefdoms of the fifteenth and sixteenth centuries. Asian Perspectives 1–35.</w:t>
      </w:r>
    </w:p>
    <w:bookmarkEnd w:id="77"/>
    <w:bookmarkStart w:id="78" w:name="ref-Kuhl1982"/>
    <w:p>
      <w:pPr>
        <w:pStyle w:val="BodyText"/>
      </w:pPr>
      <w:r>
        <w:t xml:space="preserve">Kuhl, F.P., Giardina, C.R., 1982. Elliptic fourier features of a closed contour. Computer graphics and image processing 18, 236–258.</w:t>
      </w:r>
    </w:p>
    <w:bookmarkEnd w:id="78"/>
    <w:bookmarkStart w:id="79" w:name="ref-Lawing2010"/>
    <w:p>
      <w:pPr>
        <w:pStyle w:val="BodyText"/>
      </w:pPr>
      <w:r>
        <w:t xml:space="preserve">Lawing, A.M., Polly, P.D., 2010. Geometric morphometrics: Recent applications to the study of evolution and development. Journal of Zoology 280, 1–7.</w:t>
      </w:r>
    </w:p>
    <w:bookmarkEnd w:id="79"/>
    <w:bookmarkStart w:id="80"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0"/>
    <w:bookmarkStart w:id="8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1">
        <w:r>
          <w:rPr>
            <w:rStyle w:val="Hyperlink"/>
          </w:rPr>
          <w:t xml:space="preserve">https://doi.org/10.1007/s10816-015-9272-9</w:t>
        </w:r>
      </w:hyperlink>
    </w:p>
    <w:bookmarkEnd w:id="82"/>
    <w:bookmarkStart w:id="83" w:name="ref-Marwick2018"/>
    <w:p>
      <w:pPr>
        <w:pStyle w:val="BodyText"/>
      </w:pPr>
      <w:r>
        <w:t xml:space="preserve">Marwick, B., Boettiger, C., Mullen, L., 2018. Packaging data analytical work reproducibly using r (and friends). The American Statistician 72, 80–88.</w:t>
      </w:r>
    </w:p>
    <w:bookmarkEnd w:id="83"/>
    <w:bookmarkStart w:id="84" w:name="ref-Marwick2019"/>
    <w:p>
      <w:pPr>
        <w:pStyle w:val="BodyText"/>
      </w:pPr>
      <w:r>
        <w:t xml:space="preserve">Marwick, B., Krishnamoorthy, K., n.d. Cvequality: Tests for the equality of coefficients of variation from multiple groups.</w:t>
      </w:r>
    </w:p>
    <w:bookmarkEnd w:id="84"/>
    <w:bookmarkStart w:id="85" w:name="ref-Meloro2015"/>
    <w:p>
      <w:pPr>
        <w:pStyle w:val="BodyText"/>
      </w:pPr>
      <w:r>
        <w:t xml:space="preserve">Meloro, C., Hudson, A., Rook, L., 2015. Feeding habits of extant and fossil canids as determined by their skull geometry. Journal of Zoology 295, 178–188.</w:t>
      </w:r>
    </w:p>
    <w:bookmarkEnd w:id="85"/>
    <w:bookmarkStart w:id="86" w:name="ref-Mullins2011"/>
    <w:p>
      <w:pPr>
        <w:pStyle w:val="BodyText"/>
      </w:pPr>
      <w:r>
        <w:t xml:space="preserve">Mullins, P.R., 2011. The archaeology of consumption. Annual Review of Anthropology 40, 133–144.</w:t>
      </w:r>
    </w:p>
    <w:bookmarkEnd w:id="86"/>
    <w:bookmarkStart w:id="87" w:name="ref-Rlanguage2019"/>
    <w:p>
      <w:pPr>
        <w:pStyle w:val="BodyText"/>
      </w:pPr>
      <w:r>
        <w:t xml:space="preserve">R Core Team, 2019. R: A language and environment for statistical computing. R Foundation for Statistical Computing, Vienna, Austria.</w:t>
      </w:r>
    </w:p>
    <w:bookmarkEnd w:id="87"/>
    <w:bookmarkStart w:id="8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8"/>
    <w:bookmarkStart w:id="8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9"/>
    <w:bookmarkStart w:id="90" w:name="ref-Roux2003"/>
    <w:p>
      <w:pPr>
        <w:pStyle w:val="BodyText"/>
      </w:pPr>
      <w:r>
        <w:t xml:space="preserve">Roux, V., 2003. Ceramic standardization and intensity of production: Quantifying degrees of specialization. American Antiquity 68, 768–782.</w:t>
      </w:r>
    </w:p>
    <w:bookmarkEnd w:id="90"/>
    <w:bookmarkStart w:id="9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1"/>
    <w:bookmarkStart w:id="92" w:name="ref-Scaramelli2005"/>
    <w:p>
      <w:pPr>
        <w:pStyle w:val="BodyText"/>
      </w:pPr>
      <w:r>
        <w:t xml:space="preserve">Scaramelli, F., Scaramelli, K.T. de, 2005. The roles of material culture in the colonization of the orinoco, venezuela. Journal of Social Archaeology 5, 135–168.</w:t>
      </w:r>
    </w:p>
    <w:bookmarkEnd w:id="92"/>
    <w:bookmarkStart w:id="93" w:name="ref-Selden2019"/>
    <w:p>
      <w:pPr>
        <w:pStyle w:val="BodyText"/>
      </w:pPr>
      <w:r>
        <w:t xml:space="preserve">Selden Jr, R.Z., 2019. Ceramic morphological organisation in the southern caddo area: The clarence h. Webb collections. Journal of Cultural Heritage 35, 41–55.</w:t>
      </w:r>
    </w:p>
    <w:bookmarkEnd w:id="93"/>
    <w:bookmarkStart w:id="94" w:name="ref-Silliman2001"/>
    <w:p>
      <w:pPr>
        <w:pStyle w:val="BodyText"/>
      </w:pPr>
      <w:r>
        <w:t xml:space="preserve">Silliman, S., 2001. Agency, practical politics and the archaeology of culture contact. Journal of social archaeology 1, 190–209.</w:t>
      </w:r>
    </w:p>
    <w:bookmarkEnd w:id="94"/>
    <w:bookmarkStart w:id="95" w:name="ref-Silliman2005"/>
    <w:p>
      <w:pPr>
        <w:pStyle w:val="BodyText"/>
      </w:pPr>
      <w:r>
        <w:t xml:space="preserve">Silliman, S.W., 2005. Culture contact or colonialism? Challenges in the archaeology of native North America. American Antiquity 55–74.</w:t>
      </w:r>
    </w:p>
    <w:bookmarkEnd w:id="95"/>
    <w:bookmarkStart w:id="96" w:name="ref-Slice2007"/>
    <w:p>
      <w:pPr>
        <w:pStyle w:val="BodyText"/>
      </w:pPr>
      <w:r>
        <w:t xml:space="preserve">Slice, D.E., 2007. Geometric morphometrics. Annu. Rev. Anthropol. 36, 261–281.</w:t>
      </w:r>
    </w:p>
    <w:bookmarkEnd w:id="96"/>
    <w:bookmarkStart w:id="97" w:name="ref-Stark1995economic"/>
    <w:p>
      <w:pPr>
        <w:pStyle w:val="BodyText"/>
      </w:pPr>
      <w:r>
        <w:t xml:space="preserve">Stark, B.L., 1995a. Economic intensification and ceramic specialization in the philippines: A view from kalinga. Research in Economic Anthropology 16, 179–226.</w:t>
      </w:r>
    </w:p>
    <w:bookmarkEnd w:id="97"/>
    <w:bookmarkStart w:id="98"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8"/>
    <w:bookmarkStart w:id="99" w:name="ref-Tite1999"/>
    <w:p>
      <w:pPr>
        <w:pStyle w:val="BodyText"/>
      </w:pPr>
      <w:r>
        <w:t xml:space="preserve">Tite, M.S., 1999. Pottery production, distribution, and consumption—the contribution of the physical sciences. Journal of archaeological method and theory 6, 181–233.</w:t>
      </w:r>
    </w:p>
    <w:bookmarkEnd w:id="99"/>
    <w:bookmarkStart w:id="100" w:name="ref-Topi2018"/>
    <w:p>
      <w:pPr>
        <w:pStyle w:val="BodyText"/>
      </w:pPr>
      <w:r>
        <w:t xml:space="preserve">Topi, J.R., VanPool, C.S., Waller, K.D., VanPool, T.L., 2018. The economy of specialized ceramic craft production in the casas grandes region. Latin American Antiquity 29, 122–142.</w:t>
      </w:r>
    </w:p>
    <w:bookmarkEnd w:id="100"/>
    <w:bookmarkStart w:id="101"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1"/>
    <w:bookmarkStart w:id="102" w:name="ref-Trabert2017"/>
    <w:p>
      <w:pPr>
        <w:pStyle w:val="BodyText"/>
      </w:pPr>
      <w:r>
        <w:t xml:space="preserve">Trabert, S., 2017. Considering the indirect effects of colonialism: Example from a great plains middle ground. Journal of Anthropological Archaeology 48, 17–27.</w:t>
      </w:r>
    </w:p>
    <w:bookmarkEnd w:id="102"/>
    <w:bookmarkStart w:id="103" w:name="ref-Voss2008"/>
    <w:p>
      <w:pPr>
        <w:pStyle w:val="BodyText"/>
      </w:pPr>
      <w:r>
        <w:t xml:space="preserve">Voss, B.L., 2008. Between the household and the world system: Social collectivity and community agency in overseas chinese archaeology. Historical Archaeology 37–52.</w:t>
      </w:r>
    </w:p>
    <w:bookmarkEnd w:id="103"/>
    <w:bookmarkStart w:id="104" w:name="ref-Voss2005"/>
    <w:p>
      <w:pPr>
        <w:pStyle w:val="BodyText"/>
      </w:pPr>
      <w:r>
        <w:t xml:space="preserve">Voss, B.L., 2005. From casta to californio: Social identity and the archaeology of culture contact. American Anthropologist 107, 461–474.</w:t>
      </w:r>
    </w:p>
    <w:bookmarkEnd w:id="104"/>
    <w:bookmarkStart w:id="105" w:name="ref-Wang2011"/>
    <w:p>
      <w:pPr>
        <w:pStyle w:val="BodyText"/>
      </w:pPr>
      <w:r>
        <w:t xml:space="preserve">Wang, L.-Y., 2011. Yi lan qi wu lan yi zhi chu tu zhuang shi pin zhi xiang guan yan jiu [a research of ornaments excavated at ki-wu-lan site, i-lan] (Master’s thesis).</w:t>
      </w:r>
    </w:p>
    <w:bookmarkEnd w:id="105"/>
    <w:bookmarkStart w:id="10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06"/>
    <w:bookmarkStart w:id="107"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7"/>
    <w:bookmarkEnd w:id="108"/>
    <w:p>
      <w:pPr>
        <w:pStyle w:val="Heading5"/>
      </w:pPr>
      <w:bookmarkStart w:id="109" w:name="pagebreak-1"/>
      <w:r>
        <w:t xml:space="preserve">pagebreak</w:t>
      </w:r>
      <w:bookmarkEnd w:id="109"/>
    </w:p>
    <w:p>
      <w:pPr>
        <w:pStyle w:val="Heading3"/>
      </w:pPr>
      <w:bookmarkStart w:id="110" w:name="colophon"/>
      <w:r>
        <w:t xml:space="preserve">Colophon</w:t>
      </w:r>
      <w:bookmarkEnd w:id="110"/>
    </w:p>
    <w:p>
      <w:pPr>
        <w:pStyle w:val="FirstParagraph"/>
      </w:pPr>
      <w:r>
        <w:t xml:space="preserve">This report was generated on 2020-01-18 00:15:49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2.0.1    2020-01-08 [1] CRAN (R 3.6.0)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[e61bebc] 2020-01-18: edit and move the section of metric measurements, still use MSLRT because the result from asymptotic_test() is problematic</w:t>
      </w:r>
    </w:p>
    <w:p>
      <w:pPr>
        <w:pStyle w:val="FirstParagraph"/>
      </w:pPr>
      <w:r>
        <w:t xml:space="preserve">Word count: 6079</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29" Target="http:XXX" TargetMode="External" /><Relationship Type="http://schemas.openxmlformats.org/officeDocument/2006/relationships/hyperlink" Id="rId81"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9" Target="http:XXX" TargetMode="External" /><Relationship Type="http://schemas.openxmlformats.org/officeDocument/2006/relationships/hyperlink" Id="rId81"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2020-01-18T08:15:57Z</dcterms:created>
  <dcterms:modified xsi:type="dcterms:W3CDTF">2020-01-18T08:15:57Z</dcterms:modified>
</cp:coreProperties>
</file>