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2.png" ContentType="image/png"/>
  <Override PartName="/word/media/rId33.png" ContentType="image/png"/>
  <Override PartName="/word/media/rId24.jpg" ContentType="image/jpeg"/>
  <Override PartName="/word/media/rId23.jpg" ContentType="image/jpeg"/>
  <Override PartName="/word/media/rId38.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15</w:t>
      </w:r>
      <w:r>
        <w:t xml:space="preserve"> </w:t>
      </w:r>
      <w:r>
        <w:t xml:space="preserve">February,</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sometimes associated with social changes since it reflects changes in production systems that could inform on the social, economic, or political conditions of a society. We define specialization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effects of the emergence of specialization in past societies on their social structures and social processes is an important question in archaeological investigations of small scale societies in the Late Holocene. Considered through a political lens, craft specialization may be a strategy used by elites to control production systems to maintain their power and authority</w:t>
      </w:r>
      <w:r>
        <w:t xml:space="preserve"> </w:t>
      </w:r>
      <w:r>
        <w:t xml:space="preserve">(Costin, 2001)</w:t>
      </w:r>
      <w:r>
        <w:t xml:space="preserve">. This relationship between craft specialization and social differentiation has been broadly discussed, and many cases show that increasingly specialized production can be a useful indicator of increasing socio-political complexity</w:t>
      </w:r>
      <w:r>
        <w:t xml:space="preserve"> </w:t>
      </w:r>
      <w:r>
        <w:t xml:space="preserve">(Hirshman et al., 2010; Junker, 1999)</w:t>
      </w:r>
      <w:r>
        <w:t xml:space="preserve">. That said, a more economic focus considers production, exchange, and consumption as a whole to explain specialization as part of a strategy to accommodate uneven distributions of resources</w:t>
      </w:r>
      <w:r>
        <w:t xml:space="preserve"> </w:t>
      </w:r>
      <w:r>
        <w:t xml:space="preserve">(Arnold and Munns, 1994; Costin, 2001)</w:t>
      </w:r>
      <w:r>
        <w:t xml:space="preserve">. Craft specialization may appear as a reaction to changes in subsistence practices</w:t>
      </w:r>
      <w:r>
        <w:t xml:space="preserve"> </w:t>
      </w:r>
      <w:r>
        <w:t xml:space="preserve">(Stark, 1995a)</w:t>
      </w:r>
      <w:r>
        <w:t xml:space="preserve">, or as a result of long-distance trade and inter-regional exchange</w:t>
      </w:r>
      <w:r>
        <w:t xml:space="preserve"> </w:t>
      </w:r>
      <w:r>
        <w:t xml:space="preserve">(Alizadeh et al., 2018)</w:t>
      </w:r>
      <w:r>
        <w:t xml:space="preserve">. Present-day investigation of ceramic specialization in the Jodhpur region of India suggests that the adoption of standardized products across cultural boundaries is a reaction to a collapse of previous economic system, indicating a correlation with major socio-economic changes</w:t>
      </w:r>
      <w:r>
        <w:t xml:space="preserve"> </w:t>
      </w:r>
      <w:r>
        <w:t xml:space="preserve">(Roux, 2015)</w:t>
      </w:r>
      <w:r>
        <w:t xml:space="preserve">. However, it is important to note that explanations for the emergence of specialized production in past societies might not be so straightforward or singular.</w:t>
      </w:r>
      <w:r>
        <w:t xml:space="preserve"> </w:t>
      </w:r>
      <w:r>
        <w:t xml:space="preserve">Acabado et al. (2018)</w:t>
      </w:r>
      <w:r>
        <w:t xml:space="preserve">’s case study in lowland northern Philippines shows that specialization is not necessarily accompanied with social differentiation based on a low degree of ceramic specialization in Ifugao ranked societies during the time of Spanish occupation. The development of specialization could be dependent on unique historical factors, where the conditions and contexts under which specialists organized must be taken into account when making inferences about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has been observed in many parts of the world, for example, when foreign trade goods are introduced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European colonial rule was limited and their conquests were short-lived and unsuccessful, but their colonial activities had economic and political impacts on Indigenous peoples living on the periphery of colonial control</w:t>
      </w:r>
      <w:r>
        <w:t xml:space="preserve"> </w:t>
      </w:r>
      <w:r>
        <w:t xml:space="preserve">(Acabado, 2017; Trabert, 2017)</w:t>
      </w:r>
      <w:r>
        <w:t xml:space="preserv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 Indigenous societies might not simply passively accept colonial rule, but instead actively negotiate with the colonist, and accommodate or resist foreign intrusion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present a case study from northeastern Taiwan as an example of these indirect impacts of foreign occupations on local Indigenous societies. Our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Previous reports of archaeological evidence in northeastern Taiwan describes increases in the use of prestige goods, such as trade ornaments, and uneven artifact distribution patterns in domestic areas and burial contexts at the time when the Indigenous communities encountered the Spanish and the Dutch in the 17th century. Here we show that in addition to the differential distribution of trade ornaments post-European contact, the locally-made ceramics become highly consistent in their form and shape, compared to other pottery throughout Taiwan. This shift to higher consistency hints at the possibility of craft specialization in pottery manufacture.</w:t>
      </w:r>
    </w:p>
    <w:p>
      <w:pPr>
        <w:pStyle w:val="BodyText"/>
      </w:pPr>
      <w:r>
        <w:t xml:space="preserve">To identify craft specialization in the archaeological record, variation in the standardization of a specialized product is often used as an indicator. This is based on the assumption that specialized mass production will lead to uniformity of the product due to routinization, higher skills, and fewer producers involved in production</w:t>
      </w:r>
      <w:r>
        <w:t xml:space="preserve"> </w:t>
      </w:r>
      <w:r>
        <w:t xml:space="preserve">(Costin, 2001, 1991; Stark, 1995b)</w:t>
      </w:r>
      <w:r>
        <w:t xml:space="preserve">. For investigating ceramic standardization, several measurements have been discussed and used, such as metric, compositional, and technological approaches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By comparing variations for sets of data using coefficient of variation coupled with statistical testing, the degree of standardization can be identified according to values</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statistically assessed by comparing coefficients of variation of linear dimensions of pots, and differences between artisans can be detected at both intra-individual level and inter-individual level in a region. However, because pottery vessels typically have curved shapes, linear measurements have limited sensitivity to many kinds of shape variations. Thus, to capture subtle shape variations that might be relevant to standardization, a method that is sensitive to non-linear aspects of shape variation is necessary. Here we analyze pottery shape using geometric morphometric methods, a new approach for measuring the degree of standardization because it takes a statistical summary of the overall shape as variable for comparison</w:t>
      </w:r>
      <w:r>
        <w:t xml:space="preserve"> </w:t>
      </w:r>
      <w:r>
        <w:t xml:space="preserve">(Slice, 2007)</w:t>
      </w:r>
      <w:r>
        <w:t xml:space="preserve">. Using geometric morphometry,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resulting from cross-cultural interaction contexts.</w:t>
      </w:r>
    </w:p>
    <w:p>
      <w:pPr>
        <w:pStyle w:val="BodyText"/>
      </w:pPr>
      <w:r>
        <w:t xml:space="preserve">Our hypothesis is that if foreign influences had impacts on the emergence of social inequality in local Indigenous society due to monopolies of trade arising among a small number of Indigenous people, then we expect to see changes in social organization from a more corporate to a more network organization</w:t>
      </w:r>
      <w:r>
        <w:t xml:space="preserve"> </w:t>
      </w:r>
      <w:r>
        <w:t xml:space="preserve">(Feinman, 2000)</w:t>
      </w:r>
      <w:r>
        <w:t xml:space="preserve">. We expect this corporate-network shift to manifest as increased specialization pottery manufacture, indicated archaeologically by increased standardization of pottery production at Kiwulan. The emergence of craft specialization, here pottery specialization, is often related to changes in social organization towards a society with increasing status inequality. In this case, if the competition among Indigenous individual for foreign resources and trade partnership with European or Chinese colonizers gradually lead to increasing social inequality, then we expect the local ceramics will show more homogeneous shapes after contact due to the emergence of craft specialization caused by greater economic and social control by a small group of individuals at Kiwulan. Our results are important for understanding the indirect influences of European colonists on local Indigenous societies, which remains unclear in East Asia where colonial power had limited success compared to other places in Southeast Asia. Our findings improve our understanding of the relationship between the use of imported prestige goods, the degree of ceramic specialization, and the influence of foreign colonizers in a pericolonial context</w:t>
      </w:r>
      <w:r>
        <w:t xml:space="preserve"> </w:t>
      </w:r>
      <w:r>
        <w:t xml:space="preserve">(cf. Acabado, 2017)</w:t>
      </w:r>
      <w:r>
        <w:t xml:space="preserve">.</w:t>
      </w:r>
    </w:p>
    <w:p>
      <w:pPr>
        <w:pStyle w:val="Heading2"/>
      </w:pPr>
      <w:bookmarkStart w:id="21" w:name="geometric-morphometry"/>
      <w:r>
        <w:t xml:space="preserve">Geometric Morphometry</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 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xy coordinates for two dimensions, or xyz coordinates for three dimensions. In a typical analysis, starting with raw landmarks, a sample of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statistical analyses</w:t>
      </w:r>
      <w:r>
        <w:t xml:space="preserve"> </w:t>
      </w:r>
      <w:r>
        <w:t xml:space="preserve">(Slice, 2007)</w:t>
      </w:r>
      <w:r>
        <w:t xml:space="preserve">. Landmark-based morphometrics are widely applied to archaeological objects with obvious morphological features that can provide unambiguous reference points for landmark placement, such as projectile point tips or biological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landmarks may not be able to capture the shape differences of a morphological structure where the curving outlines between landmarks contain crucial variation. Furthermore, landmark points may be unavailable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cumulated sum of squared harmonic coefficients, provides a robust rule for determining the desired number of harmonics</w:t>
      </w:r>
      <w:r>
        <w:t xml:space="preserve"> </w:t>
      </w:r>
      <w:r>
        <w:t xml:space="preserve">(Bonhomme et al., 2014)</w:t>
      </w:r>
      <w:r>
        <w:t xml:space="preserve">.</w:t>
      </w:r>
    </w:p>
    <w:p>
      <w:pPr>
        <w:pStyle w:val="BodyText"/>
      </w:pPr>
      <w:r>
        <w:t xml:space="preserve">EFA is suitable for shapes lacking representative landmarks or where curves contain the most meaningful variation. Applications in archaeology include human remains and zooarchaeology to understand biological variation, and more recently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ceramic specialization. Using semi-landmarks method,</w:t>
      </w:r>
      <w:r>
        <w:t xml:space="preserve"> </w:t>
      </w:r>
      <w:r>
        <w:t xml:space="preserve">Topi et al. (2018)</w:t>
      </w:r>
      <w:r>
        <w:t xml:space="preserve"> </w:t>
      </w:r>
      <w:r>
        <w:t xml:space="preserve">examine 89 photographs of globular jars from the Casas Grandes of northwest Mexico. Their results suggest that some ceramic types from the Medio period (AD 1200-1450), were made by specialists based on highly standardized shapes. Among those highly standardized jars, some were made by specialists attached to elites indicating the presence of social inequality, while others were made by independent specialists according to their spatial distribution patterns. Similarity,</w:t>
      </w:r>
      <w:r>
        <w:t xml:space="preserve"> </w:t>
      </w:r>
      <w:r>
        <w:t xml:space="preserve">Selden Jr (2019)</w:t>
      </w:r>
      <w:r>
        <w:t xml:space="preserve"> </w:t>
      </w:r>
      <w:r>
        <w:t xml:space="preserve">examined 28 Caddo bottles excavated at several sites (AD 500-1700) in northwest Louisiana using semi-landmarks method. The results indicate a significant integration between the different parts of the bottles including rim, neck, body, and base that vary in a coordinated manner. Also, two discrete base and body shapes represented northern and southern differences were identified. For the EFA method,</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Wilczek et al. (2014)</w:t>
      </w:r>
      <w:r>
        <w:t xml:space="preserve">’s EFA results help us understand the level of production standardization over time across the region. Those examples show that outline approaches can distinguish variation in ceramic shapes at high resolutions to understand ceramic production.</w:t>
      </w:r>
    </w:p>
    <w:p>
      <w:pPr>
        <w:pStyle w:val="BodyText"/>
      </w:pPr>
      <w:r>
        <w:t xml:space="preserve">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 Using pottery shape as a proxy to study craft specialization, we address these questions: Did foreign influence have impacts on Indigenous pottery production that can be detected in the shape of the vessels? Did pottery shape become more homogeneous and standardized after foreign contacts with European colonizers or Chinese immigrants?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Kiwulan is situated on a hill near a riverside at the northern margin of Yilan County, which is characterized by a triangular alluvial plain facing eastwards the Pacific with high mountains on three other sides. Yilan is an ideal context to study peripheral colonial influence because Indigenous communities there were isolated by natural barriers that limited the frequency of direct contact with the Spanish and the Dutch settlers in northern Taiwan.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1950, covering the late Iron Age and the historical period, which we define as the European occupation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bmarwick/Desktop/kwl.pottery/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bmarwick/Desktop/kwl.pottery/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(Chen, 2007; Hsieh, 2009; Wang, 2011)</w:t>
      </w:r>
      <w:r>
        <w:t xml:space="preserve">. The deposit shows signs of continuous human occupation during each of the three phases across the sampling area.</w:t>
      </w:r>
    </w:p>
    <w:p>
      <w:pPr>
        <w:pStyle w:val="BodyText"/>
      </w:pPr>
      <w:r>
        <w:t xml:space="preserve">The most abundant artifacts in the upper component are locally made ceramics, which are distributed throughout the sequence and across the site. More than 550,000 sherds were excavated, and around 1,200 vessels could be reconstructed.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Moreover, a lack of evidence of other utilitarian earthenware ceramics suggests these globular pots were mainly used for daily cooking.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Heading1"/>
      </w:pPr>
      <w:bookmarkStart w:id="25" w:name="methods"/>
      <w:r>
        <w:t xml:space="preserve">Methods</w:t>
      </w:r>
      <w:bookmarkEnd w:id="25"/>
    </w:p>
    <w:p>
      <w:pPr>
        <w:pStyle w:val="FirstParagraph"/>
      </w:pPr>
      <w:r>
        <w:t xml:space="preserve">A total of 73 largely intact vessels from pre-contact contexts (n = 32), post-European contexts (n = 27), and Chinese contact contexts (n = 14) were selected for elliptic Fourier analysis. Most of them cover every vessel component from rim to bottom. The shape of vessel is the major object analyzed in this paper, however, to fully explore the pottery standardization, we also take the metric measurements into account for comparison. The total of 362 reconstructed pots (pre-European = 153, European = 173, Chinese = 36) were measured. The metric attributes include thickness of rim, neck, and body, and diameter of rim, neck, and body. For each pot, two measurements for thickness and diameter were taken to compute an average value. To obtain information about the pottery shape, we compare the ratio of Rim/Body thickness, and the ratio of Rim/Body diameter. In addition, we use Monte Carlo test for randomness in spatial locations of pots to explore whether their distribution is meaningful, such as clustered or dispersed pattern. As craft specialization increases, pottery distribution might shift from a dispersed pattern to concentrated clusters that reflects the location of production</w:t>
      </w:r>
      <w:r>
        <w:t xml:space="preserve"> </w:t>
      </w:r>
      <w:r>
        <w:t xml:space="preserve">(Costin, 2001)</w:t>
      </w:r>
      <w:r>
        <w:t xml:space="preserve">.</w:t>
      </w:r>
    </w:p>
    <w:p>
      <w:pPr>
        <w:pStyle w:val="Heading2"/>
      </w:pPr>
      <w:bookmarkStart w:id="26" w:name="digitising-and-analysing-by-efa"/>
      <w:r>
        <w:t xml:space="preserve">Digitising and analysing by EFA</w:t>
      </w:r>
      <w:bookmarkEnd w:id="26"/>
    </w:p>
    <w:p>
      <w:pPr>
        <w:pStyle w:val="FirstParagraph"/>
      </w:pPr>
      <w:r>
        <w:t xml:space="preserve">We used scans of pottery drawings acquired from the Bureau of Cultural Affairs in Yilan. All drawings present a two-dimensional view of vessel cross-sections with indications of metric measurements. The scanned drawings were imported into Inkscape (</w:t>
      </w:r>
      <w:hyperlink r:id="rId27">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w:t>
      </w:r>
      <w:r>
        <w:t xml:space="preserve"> </w:t>
      </w:r>
      <w:r>
        <w:t xml:space="preserve">(R Core Team, 2019)</w:t>
      </w:r>
      <w:r>
        <w:t xml:space="preserve"> </w:t>
      </w:r>
      <w:r>
        <w:t xml:space="preserve">and the functions included in the Momocs, a R package intended to quantify and analyze shapes, especially for outline analysis</w:t>
      </w:r>
      <w:r>
        <w:t xml:space="preserve"> </w:t>
      </w:r>
      <w:r>
        <w:t xml:space="preserve">(Bonhomme et al., 2014)</w:t>
      </w:r>
      <w:r>
        <w:t xml:space="preserve">. The digilized outlines were converted into a list of successive xy pixel coordinates for elliptic Fourier analysis (EFA), to investigate morphological differences among pottery shapes from our three occupation phases. The harmonic coefficients generated by EFA were analyzed by principal component analysis (PCA) for dimensionality reduction to illustrate the diversity of the shape data and identify major patterns of variation.</w:t>
      </w:r>
    </w:p>
    <w:p>
      <w:pPr>
        <w:pStyle w:val="Heading2"/>
      </w:pPr>
      <w:bookmarkStart w:id="28" w:name="statistical-analysis"/>
      <w:r>
        <w:t xml:space="preserve">Statistical analysis</w:t>
      </w:r>
      <w:bookmarkEnd w:id="28"/>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(CV) values allows us to directly compare variation in samples measured with different units or means. This is useful to compare the degree of standardization for archaeological assembles since CV scales standard deviation to the mean that enables comparison of variation across different sample sizes</w:t>
      </w:r>
      <w:r>
        <w:t xml:space="preserve"> </w:t>
      </w:r>
      <w:r>
        <w:t xml:space="preserve">(Eerkens and Bettinger, 2001, p. 498)</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 </w:t>
      </w:r>
      <w:r>
        <w:t xml:space="preserve">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Heading1"/>
      </w:pPr>
      <w:bookmarkStart w:id="29" w:name="X1d9039aecbbcb44c2dfa3a9268a6c9535658f66"/>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0">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To investigate the effect of the historically-documented decline of Indigenous population in the Chinese period</w:t>
      </w:r>
      <w:r>
        <w:t xml:space="preserve"> </w:t>
      </w:r>
      <w:r>
        <w:t xml:space="preserve">(Chen, 2007; Hsieh, 2009)</w:t>
      </w:r>
      <w:r>
        <w:t xml:space="preserve"> </w:t>
      </w:r>
      <w:r>
        <w:t xml:space="preserve">on pottery production we examined the spatial distribution of pots in our sample in each period. Our concern is that the smaller population size during the Chinese period could confound our investigations into craft specialization because of reduced numbers of potters and pottery production shrinking a few locations in the settlement during this time. Although the overall number of vessels is smaller during the Chinese contact period, Figure</w:t>
      </w:r>
      <w:r>
        <w:t xml:space="preserve"> </w:t>
      </w:r>
      <w:r>
        <w:t xml:space="preserve">3</w:t>
      </w:r>
      <w:r>
        <w:t xml:space="preserve"> </w:t>
      </w:r>
      <w:r>
        <w:t xml:space="preserve">shows that pottery is distributed randomly across the sampling area without any distinctive clusters.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3: The spatial distribution of the pottery selected for shape analysis. The quantity is indicated by the color scale." title="" id="1" name="Picture"/>
            <a:graphic>
              <a:graphicData uri="http://schemas.openxmlformats.org/drawingml/2006/picture">
                <pic:pic>
                  <pic:nvPicPr>
                    <pic:cNvPr descr="../figures/pottery-spatial-pattern-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The spatial distribution of the pottery selected for shape analysis. The quantity is indicated by the color scale.</w:t>
      </w:r>
    </w:p>
    <w:p>
      <w:pPr>
        <w:pStyle w:val="BodyText"/>
      </w:pPr>
      <w:r>
        <w:t xml:space="preserve">The elliptic Fourier coefficients of 73 pottery from three phases were calculated. Reliable pottery outlines were captured by 13 harmonics that gather 99% of the total harmonic power. Figure</w:t>
      </w:r>
      <w:r>
        <w:t xml:space="preserve"> </w:t>
      </w:r>
      <w:r>
        <w:t xml:space="preserve">4</w:t>
      </w:r>
      <w:r>
        <w:t xml:space="preserve"> </w:t>
      </w:r>
      <w:r>
        <w:t xml:space="preserve">shows the shape changes described using thin-plate spline warping for paired periods, pre- and post-European periods, and post-European and Chinese periods. The average shape of vessels from each phase was visualized and it shows more obvious differences between post-European and Chinese periods.</w:t>
      </w:r>
    </w:p>
    <w:p>
      <w:pPr>
        <w:pStyle w:val="CaptionedFigure"/>
      </w:pPr>
      <w:r>
        <w:drawing>
          <wp:inline>
            <wp:extent cx="5943600" cy="4754880"/>
            <wp:effectExtent b="0" l="0" r="0" t="0"/>
            <wp:docPr descr="Figure 4: Compare the average shapes across phases using thin plate splines (TPS) with outline deformations required to pass from an extreme of the morphospace to the othe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Compare the average shapes across phases using thin plate splines (TPS) with outline deformations required to pass from an extreme of the morphospace to the other.</w:t>
      </w:r>
    </w:p>
    <w:p>
      <w:pPr>
        <w:pStyle w:val="BodyText"/>
      </w:pPr>
      <w:r>
        <w:t xml:space="preserve">The elliptic Fourier coefficients were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 According to Figure</w:t>
      </w:r>
      <w:r>
        <w:t xml:space="preserve"> </w:t>
      </w:r>
      <w:r>
        <w:t xml:space="preserve">5</w:t>
      </w:r>
      <w:r>
        <w:t xml:space="preserve">, PC1 captures the height of the vessels, from tall to short, and the roundness of the body from round to oval-shaped. PC2 relates to the neck and mouth constriction, from narrow to wide. PC3 explains a smaller portion of the variance (11.23%), which relates to the degree of the flare of the neck, from curved to straight shape. The first two components account for most of the variance in relation to three phases.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4754880"/>
            <wp:effectExtent b="0" l="0" r="0" t="0"/>
            <wp:docPr descr="Figure 5: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5</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6</w:t>
      </w:r>
      <w:r>
        <w:t xml:space="preserve">). The first PC, vessel height,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 To see whether the differences in the distribution of PCs between any two phases are substantive or due to chance, we used a modified signed-likelihood ratio test to assess the equality of CVs.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w:t>
      </w:r>
      <w:r>
        <w:t xml:space="preserve">, Table</w:t>
      </w:r>
      <w:r>
        <w:t xml:space="preserve"> </w:t>
      </w:r>
      <w:r>
        <w:t xml:space="preserve">2</w:t>
      </w:r>
      <w:r>
        <w:t xml:space="preserve">). A significant difference is also detected between the pre-European and post-European periods.</w:t>
      </w:r>
    </w:p>
    <w:p>
      <w:pPr>
        <w:pStyle w:val="CaptionedFigure"/>
      </w:pPr>
      <w:r>
        <w:drawing>
          <wp:inline>
            <wp:extent cx="5943600" cy="4754880"/>
            <wp:effectExtent b="0" l="0" r="0" t="0"/>
            <wp:docPr descr="Figure 6: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0.0516</w:t>
            </w:r>
          </w:p>
        </w:tc>
        <w:tc>
          <w:p>
            <w:pPr>
              <w:pStyle w:val="Compact"/>
              <w:jc w:val="right"/>
            </w:pPr>
            <w:r>
              <w:t xml:space="preserve">0.8204</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8.1005</w:t>
            </w:r>
          </w:p>
        </w:tc>
        <w:tc>
          <w:p>
            <w:pPr>
              <w:pStyle w:val="Compact"/>
              <w:jc w:val="right"/>
            </w:pPr>
            <w:r>
              <w:t xml:space="preserve">0.0044</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7.0392</w:t>
            </w:r>
          </w:p>
        </w:tc>
        <w:tc>
          <w:p>
            <w:pPr>
              <w:pStyle w:val="Compact"/>
              <w:jc w:val="right"/>
            </w:pPr>
            <w:r>
              <w:t xml:space="preserve">0.0080</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0.1133</w:t>
            </w:r>
          </w:p>
        </w:tc>
        <w:tc>
          <w:p>
            <w:pPr>
              <w:pStyle w:val="Compact"/>
              <w:jc w:val="right"/>
            </w:pPr>
            <w:r>
              <w:t xml:space="preserve">0.7364</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0.2284</w:t>
            </w:r>
          </w:p>
        </w:tc>
        <w:tc>
          <w:p>
            <w:pPr>
              <w:pStyle w:val="Compact"/>
              <w:jc w:val="right"/>
            </w:pPr>
            <w:r>
              <w:t xml:space="preserve">0.6327</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0.0037</w:t>
            </w:r>
          </w:p>
        </w:tc>
        <w:tc>
          <w:p>
            <w:pPr>
              <w:pStyle w:val="Compact"/>
              <w:jc w:val="right"/>
            </w:pPr>
            <w:r>
              <w:t xml:space="preserve">0.9513</w:t>
            </w:r>
          </w:p>
        </w:tc>
        <w:tc>
          <w:p>
            <w:pPr>
              <w:pStyle w:val="Compact"/>
              <w:jc w:val="left"/>
            </w:pPr>
            <w:r>
              <w:t xml:space="preserve">Chinese Contact vs Post-European</w:t>
            </w:r>
          </w:p>
        </w:tc>
      </w:tr>
    </w:tbl>
    <w:p>
      <w:pPr>
        <w:pStyle w:val="Heading1"/>
      </w:pPr>
      <w:bookmarkStart w:id="36" w:name="discussion"/>
      <w:r>
        <w:t xml:space="preserve">Discussion</w:t>
      </w:r>
      <w:bookmarkEnd w:id="36"/>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(Cheng, 2008; Wang, 2011)</w:t>
      </w:r>
      <w:r>
        <w:t xml:space="preserve">, hinting at the emergence of social inequality in the Indigenous community. Here we have examined ceramic vessel shape standardization to measure craft specialization as a proxy for social differentiation, such as elite control</w:t>
      </w:r>
      <w:r>
        <w:t xml:space="preserve"> </w:t>
      </w:r>
      <w:r>
        <w:t xml:space="preserve">(Costin, 2001; Junker, 1999)</w:t>
      </w:r>
      <w:r>
        <w:t xml:space="preserve">. Our results indicate that differences in pottery shape can be detected using EFA.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This suggests pottery shape became more homogeneous and standardized after foreign contacts with European colonizers and even more so after contact with Chinese immigrants.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We compare the result of shape variable with the result of metric data for six measurements and two ratio values using CV test (Table</w:t>
      </w:r>
      <w:r>
        <w:t xml:space="preserve"> </w:t>
      </w:r>
      <w:r>
        <w:t xml:space="preserve">3</w:t>
      </w:r>
      <w:r>
        <w:t xml:space="preserve">). Metric measurements show there is a significant difference (p-value less than 0.01) between CV values for two metric measurements across phases, the rim diameter and the neck diameter before and after the European presence. After the arrival of the Chinese, there is only one metric attribute, the rim diameter, showing significant difference compared with post-European period (p-value less than 0.05). Although these results show the differences between different contact phases that corresponds to part of the results of shape variable, elliptic Fourier analysis captures more subtle differences in a substantial way reflected by overall shapes of pottery, not only limited to diameter variables. In addition, the result of spatial analysis (Figure</w:t>
      </w:r>
      <w:r>
        <w:t xml:space="preserve"> </w:t>
      </w:r>
      <w:r>
        <w:t xml:space="preserve">7</w:t>
      </w:r>
      <w:r>
        <w:t xml:space="preserve">) for pottery shape samples presents multiple clusters with high density of pottery during the European presence. However, the hypothesis testing on spatial randomness indicates a non-randomly dispersed distribution before European contact and more extreme dispersed after European presence. In contrast, the distribution of pottery is more similar to the random distributions during the Chinese period. This contradicts our expectation that clustered pattern will be observed with an increase in pottery standardization since the emergence of specialized groups. Or, this may indicate that there are other factors lead to pottery shape standardization instead of a small number of artisans.</w:t>
      </w:r>
    </w:p>
    <w:p>
      <w:pPr>
        <w:pStyle w:val="TableCaption"/>
      </w:pPr>
      <w:r>
        <w:t xml:space="preserve">Table 3: Coefficient of Variation for metric attributes by three phases using Asymptotic test</w:t>
      </w:r>
      <w:r>
        <w:t xml:space="preserve"> </w:t>
      </w:r>
      <w:r>
        <w:t xml:space="preserve">(Feltz and Miller, 1996)</w:t>
      </w:r>
      <w:r>
        <w:t xml:space="preserve">. The first set of P-value represents the comparison between before European and European periods, while the second represents the comparison between European and Chinese periods</w:t>
      </w:r>
    </w:p>
    <w:tbl>
      <w:tblPr>
        <w:tblStyle w:val="Table"/>
        <w:tblW w:type="pct" w:w="0.0"/>
        <w:tblLook w:firstRow="1"/>
        <w:tblCaption w:val="Table 3: Coefficient of Variation for metric attributes by three phases using Asymptotic test (Feltz and Miller, 1996). The first set of P-value represents the comparison between before European and European periods, while the second represents the comparison between European and Chinese period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before European</w:t>
            </w:r>
          </w:p>
        </w:tc>
        <w:tc>
          <w:tcPr>
            <w:tcBorders>
              <w:bottom w:val="single"/>
            </w:tcBorders>
            <w:vAlign w:val="bottom"/>
          </w:tcPr>
          <w:p>
            <w:pPr>
              <w:pStyle w:val="Compact"/>
              <w:jc w:val="right"/>
            </w:pPr>
            <w:r>
              <w:t xml:space="preserve">European</w:t>
            </w:r>
          </w:p>
        </w:tc>
        <w:tc>
          <w:tcPr>
            <w:tcBorders>
              <w:bottom w:val="single"/>
            </w:tcBorders>
            <w:vAlign w:val="bottom"/>
          </w:tcPr>
          <w:p>
            <w:pPr>
              <w:pStyle w:val="Compact"/>
              <w:jc w:val="right"/>
            </w:pPr>
            <w:r>
              <w:t xml:space="preserve">Chinese</w:t>
            </w:r>
          </w:p>
        </w:tc>
        <w:tc>
          <w:tcPr>
            <w:tcBorders>
              <w:bottom w:val="single"/>
            </w:tcBorders>
            <w:vAlign w:val="bottom"/>
          </w:tcPr>
          <w:p>
            <w:pPr>
              <w:pStyle w:val="Compact"/>
              <w:jc w:val="right"/>
            </w:pPr>
            <w:r>
              <w:t xml:space="preserve">D_AD-1</w:t>
            </w:r>
          </w:p>
        </w:tc>
        <w:tc>
          <w:tcPr>
            <w:tcBorders>
              <w:bottom w:val="single"/>
            </w:tcBorders>
            <w:vAlign w:val="bottom"/>
          </w:tcPr>
          <w:p>
            <w:pPr>
              <w:pStyle w:val="Compact"/>
              <w:jc w:val="right"/>
            </w:pPr>
            <w:r>
              <w:t xml:space="preserve">P value-1</w:t>
            </w:r>
          </w:p>
        </w:tc>
        <w:tc>
          <w:tcPr>
            <w:tcBorders>
              <w:bottom w:val="single"/>
            </w:tcBorders>
            <w:vAlign w:val="bottom"/>
          </w:tcPr>
          <w:p>
            <w:pPr>
              <w:pStyle w:val="Compact"/>
              <w:jc w:val="right"/>
            </w:pPr>
            <w:r>
              <w:t xml:space="preserve">D_AD-2</w:t>
            </w:r>
          </w:p>
        </w:tc>
        <w:tc>
          <w:tcPr>
            <w:tcBorders>
              <w:bottom w:val="single"/>
            </w:tcBorders>
            <w:vAlign w:val="bottom"/>
          </w:tcPr>
          <w:p>
            <w:pPr>
              <w:pStyle w:val="Compact"/>
              <w:jc w:val="right"/>
            </w:pPr>
            <w:r>
              <w:t xml:space="preserve">P value-2</w:t>
            </w:r>
          </w:p>
        </w:tc>
      </w:tr>
      <w:tr>
        <w:tc>
          <w:p>
            <w:pPr>
              <w:pStyle w:val="Compact"/>
              <w:jc w:val="left"/>
            </w:pPr>
            <w:r>
              <w:t xml:space="preserve">Rim thickness (mm)</w:t>
            </w:r>
          </w:p>
        </w:tc>
        <w:tc>
          <w:p>
            <w:pPr>
              <w:pStyle w:val="Compact"/>
              <w:jc w:val="right"/>
            </w:pPr>
            <w:r>
              <w:t xml:space="preserve">23.0893</w:t>
            </w:r>
          </w:p>
        </w:tc>
        <w:tc>
          <w:p>
            <w:pPr>
              <w:pStyle w:val="Compact"/>
              <w:jc w:val="right"/>
            </w:pPr>
            <w:r>
              <w:t xml:space="preserve">26.3245</w:t>
            </w:r>
          </w:p>
        </w:tc>
        <w:tc>
          <w:p>
            <w:pPr>
              <w:pStyle w:val="Compact"/>
              <w:jc w:val="right"/>
            </w:pPr>
            <w:r>
              <w:t xml:space="preserve">21.8166</w:t>
            </w:r>
          </w:p>
        </w:tc>
        <w:tc>
          <w:p>
            <w:pPr>
              <w:pStyle w:val="Compact"/>
              <w:jc w:val="right"/>
            </w:pPr>
            <w:r>
              <w:t xml:space="preserve">2.3423</w:t>
            </w:r>
          </w:p>
        </w:tc>
        <w:tc>
          <w:p>
            <w:pPr>
              <w:pStyle w:val="Compact"/>
              <w:jc w:val="right"/>
            </w:pPr>
            <w:r>
              <w:t xml:space="preserve">0.1259</w:t>
            </w:r>
          </w:p>
        </w:tc>
        <w:tc>
          <w:p>
            <w:pPr>
              <w:pStyle w:val="Compact"/>
              <w:jc w:val="right"/>
            </w:pPr>
            <w:r>
              <w:t xml:space="preserve">1.5072</w:t>
            </w:r>
          </w:p>
        </w:tc>
        <w:tc>
          <w:p>
            <w:pPr>
              <w:pStyle w:val="Compact"/>
              <w:jc w:val="right"/>
            </w:pPr>
            <w:r>
              <w:t xml:space="preserve">0.2196</w:t>
            </w:r>
          </w:p>
        </w:tc>
      </w:tr>
      <w:tr>
        <w:tc>
          <w:p>
            <w:pPr>
              <w:pStyle w:val="Compact"/>
              <w:jc w:val="left"/>
            </w:pPr>
            <w:r>
              <w:t xml:space="preserve">Neck thickness (mm)</w:t>
            </w:r>
          </w:p>
        </w:tc>
        <w:tc>
          <w:p>
            <w:pPr>
              <w:pStyle w:val="Compact"/>
              <w:jc w:val="right"/>
            </w:pPr>
            <w:r>
              <w:t xml:space="preserve">17.3862</w:t>
            </w:r>
          </w:p>
        </w:tc>
        <w:tc>
          <w:p>
            <w:pPr>
              <w:pStyle w:val="Compact"/>
              <w:jc w:val="right"/>
            </w:pPr>
            <w:r>
              <w:t xml:space="preserve">20.3716</w:t>
            </w:r>
          </w:p>
        </w:tc>
        <w:tc>
          <w:p>
            <w:pPr>
              <w:pStyle w:val="Compact"/>
              <w:jc w:val="right"/>
            </w:pPr>
            <w:r>
              <w:t xml:space="preserve">19.8610</w:t>
            </w:r>
          </w:p>
        </w:tc>
        <w:tc>
          <w:p>
            <w:pPr>
              <w:pStyle w:val="Compact"/>
              <w:jc w:val="right"/>
            </w:pPr>
            <w:r>
              <w:t xml:space="preserve">3.6038</w:t>
            </w:r>
          </w:p>
        </w:tc>
        <w:tc>
          <w:p>
            <w:pPr>
              <w:pStyle w:val="Compact"/>
              <w:jc w:val="right"/>
            </w:pPr>
            <w:r>
              <w:t xml:space="preserve">0.0576</w:t>
            </w:r>
          </w:p>
        </w:tc>
        <w:tc>
          <w:p>
            <w:pPr>
              <w:pStyle w:val="Compact"/>
              <w:jc w:val="right"/>
            </w:pPr>
            <w:r>
              <w:t xml:space="preserve">0.0329</w:t>
            </w:r>
          </w:p>
        </w:tc>
        <w:tc>
          <w:p>
            <w:pPr>
              <w:pStyle w:val="Compact"/>
              <w:jc w:val="right"/>
            </w:pPr>
            <w:r>
              <w:t xml:space="preserve">0.8561</w:t>
            </w:r>
          </w:p>
        </w:tc>
      </w:tr>
      <w:tr>
        <w:tc>
          <w:p>
            <w:pPr>
              <w:pStyle w:val="Compact"/>
              <w:jc w:val="left"/>
            </w:pPr>
            <w:r>
              <w:t xml:space="preserve">Body thickness (mm)</w:t>
            </w:r>
          </w:p>
        </w:tc>
        <w:tc>
          <w:p>
            <w:pPr>
              <w:pStyle w:val="Compact"/>
              <w:jc w:val="right"/>
            </w:pPr>
            <w:r>
              <w:t xml:space="preserve">25.9332</w:t>
            </w:r>
          </w:p>
        </w:tc>
        <w:tc>
          <w:p>
            <w:pPr>
              <w:pStyle w:val="Compact"/>
              <w:jc w:val="right"/>
            </w:pPr>
            <w:r>
              <w:t xml:space="preserve">28.6251</w:t>
            </w:r>
          </w:p>
        </w:tc>
        <w:tc>
          <w:p>
            <w:pPr>
              <w:pStyle w:val="Compact"/>
              <w:jc w:val="right"/>
            </w:pPr>
            <w:r>
              <w:t xml:space="preserve">24.1887</w:t>
            </w:r>
          </w:p>
        </w:tc>
        <w:tc>
          <w:p>
            <w:pPr>
              <w:pStyle w:val="Compact"/>
              <w:jc w:val="right"/>
            </w:pPr>
            <w:r>
              <w:t xml:space="preserve">1.3382</w:t>
            </w:r>
          </w:p>
        </w:tc>
        <w:tc>
          <w:p>
            <w:pPr>
              <w:pStyle w:val="Compact"/>
              <w:jc w:val="right"/>
            </w:pPr>
            <w:r>
              <w:t xml:space="preserve">0.2473</w:t>
            </w:r>
          </w:p>
        </w:tc>
        <w:tc>
          <w:p>
            <w:pPr>
              <w:pStyle w:val="Compact"/>
              <w:jc w:val="right"/>
            </w:pPr>
            <w:r>
              <w:t xml:space="preserve">1.2724</w:t>
            </w:r>
          </w:p>
        </w:tc>
        <w:tc>
          <w:p>
            <w:pPr>
              <w:pStyle w:val="Compact"/>
              <w:jc w:val="right"/>
            </w:pPr>
            <w:r>
              <w:t xml:space="preserve">0.2593</w:t>
            </w:r>
          </w:p>
        </w:tc>
      </w:tr>
      <w:tr>
        <w:tc>
          <w:p>
            <w:pPr>
              <w:pStyle w:val="Compact"/>
              <w:jc w:val="left"/>
            </w:pPr>
            <w:r>
              <w:t xml:space="preserve">Ratio of Rim/Body thickness</w:t>
            </w:r>
          </w:p>
        </w:tc>
        <w:tc>
          <w:p>
            <w:pPr>
              <w:pStyle w:val="Compact"/>
              <w:jc w:val="right"/>
            </w:pPr>
            <w:r>
              <w:t xml:space="preserve">31.9633</w:t>
            </w:r>
          </w:p>
        </w:tc>
        <w:tc>
          <w:p>
            <w:pPr>
              <w:pStyle w:val="Compact"/>
              <w:jc w:val="right"/>
            </w:pPr>
            <w:r>
              <w:t xml:space="preserve">30.7785</w:t>
            </w:r>
          </w:p>
        </w:tc>
        <w:tc>
          <w:p>
            <w:pPr>
              <w:pStyle w:val="Compact"/>
              <w:jc w:val="right"/>
            </w:pPr>
            <w:r>
              <w:t xml:space="preserve">30.0600</w:t>
            </w:r>
          </w:p>
        </w:tc>
        <w:tc>
          <w:p>
            <w:pPr>
              <w:pStyle w:val="Compact"/>
              <w:jc w:val="right"/>
            </w:pPr>
            <w:r>
              <w:t xml:space="preserve">0.1812</w:t>
            </w:r>
          </w:p>
        </w:tc>
        <w:tc>
          <w:p>
            <w:pPr>
              <w:pStyle w:val="Compact"/>
              <w:jc w:val="right"/>
            </w:pPr>
            <w:r>
              <w:t xml:space="preserve">0.6703</w:t>
            </w:r>
          </w:p>
        </w:tc>
        <w:tc>
          <w:p>
            <w:pPr>
              <w:pStyle w:val="Compact"/>
              <w:jc w:val="right"/>
            </w:pPr>
            <w:r>
              <w:t xml:space="preserve">0.0252</w:t>
            </w:r>
          </w:p>
        </w:tc>
        <w:tc>
          <w:p>
            <w:pPr>
              <w:pStyle w:val="Compact"/>
              <w:jc w:val="right"/>
            </w:pPr>
            <w:r>
              <w:t xml:space="preserve">0.8738</w:t>
            </w:r>
          </w:p>
        </w:tc>
      </w:tr>
      <w:tr>
        <w:tc>
          <w:p>
            <w:pPr>
              <w:pStyle w:val="Compact"/>
              <w:jc w:val="left"/>
            </w:pPr>
            <w:r>
              <w:t xml:space="preserve">Rim diameter (mm)</w:t>
            </w:r>
          </w:p>
        </w:tc>
        <w:tc>
          <w:p>
            <w:pPr>
              <w:pStyle w:val="Compact"/>
              <w:jc w:val="right"/>
            </w:pPr>
            <w:r>
              <w:t xml:space="preserve">6.8355</w:t>
            </w:r>
          </w:p>
        </w:tc>
        <w:tc>
          <w:p>
            <w:pPr>
              <w:pStyle w:val="Compact"/>
              <w:jc w:val="right"/>
            </w:pPr>
            <w:r>
              <w:t xml:space="preserve">9.6082</w:t>
            </w:r>
          </w:p>
        </w:tc>
        <w:tc>
          <w:p>
            <w:pPr>
              <w:pStyle w:val="Compact"/>
              <w:jc w:val="right"/>
            </w:pPr>
            <w:r>
              <w:t xml:space="preserve">6.9300</w:t>
            </w:r>
          </w:p>
        </w:tc>
        <w:tc>
          <w:p>
            <w:pPr>
              <w:pStyle w:val="Compact"/>
              <w:jc w:val="right"/>
            </w:pPr>
            <w:r>
              <w:t xml:space="preserve">17.0602</w:t>
            </w:r>
          </w:p>
        </w:tc>
        <w:tc>
          <w:p>
            <w:pPr>
              <w:pStyle w:val="Compact"/>
              <w:jc w:val="right"/>
            </w:pPr>
            <w:r>
              <w:t xml:space="preserve">0.0000</w:t>
            </w:r>
          </w:p>
        </w:tc>
        <w:tc>
          <w:p>
            <w:pPr>
              <w:pStyle w:val="Compact"/>
              <w:jc w:val="right"/>
            </w:pPr>
            <w:r>
              <w:t xml:space="preserve">4.6128</w:t>
            </w:r>
          </w:p>
        </w:tc>
        <w:tc>
          <w:p>
            <w:pPr>
              <w:pStyle w:val="Compact"/>
              <w:jc w:val="right"/>
            </w:pPr>
            <w:r>
              <w:t xml:space="preserve">0.0317</w:t>
            </w:r>
          </w:p>
        </w:tc>
      </w:tr>
      <w:tr>
        <w:tc>
          <w:p>
            <w:pPr>
              <w:pStyle w:val="Compact"/>
              <w:jc w:val="left"/>
            </w:pPr>
            <w:r>
              <w:t xml:space="preserve">Neck diameter (mm)</w:t>
            </w:r>
          </w:p>
        </w:tc>
        <w:tc>
          <w:p>
            <w:pPr>
              <w:pStyle w:val="Compact"/>
              <w:jc w:val="right"/>
            </w:pPr>
            <w:r>
              <w:t xml:space="preserve">10.6207</w:t>
            </w:r>
          </w:p>
        </w:tc>
        <w:tc>
          <w:p>
            <w:pPr>
              <w:pStyle w:val="Compact"/>
              <w:jc w:val="right"/>
            </w:pPr>
            <w:r>
              <w:t xml:space="preserve">7.7212</w:t>
            </w:r>
          </w:p>
        </w:tc>
        <w:tc>
          <w:p>
            <w:pPr>
              <w:pStyle w:val="Compact"/>
              <w:jc w:val="right"/>
            </w:pPr>
            <w:r>
              <w:t xml:space="preserve">7.0658</w:t>
            </w:r>
          </w:p>
        </w:tc>
        <w:tc>
          <w:p>
            <w:pPr>
              <w:pStyle w:val="Compact"/>
              <w:jc w:val="right"/>
            </w:pPr>
            <w:r>
              <w:t xml:space="preserve">15.3071</w:t>
            </w:r>
          </w:p>
        </w:tc>
        <w:tc>
          <w:p>
            <w:pPr>
              <w:pStyle w:val="Compact"/>
              <w:jc w:val="right"/>
            </w:pPr>
            <w:r>
              <w:t xml:space="preserve">0.0001</w:t>
            </w:r>
          </w:p>
        </w:tc>
        <w:tc>
          <w:p>
            <w:pPr>
              <w:pStyle w:val="Compact"/>
              <w:jc w:val="right"/>
            </w:pPr>
            <w:r>
              <w:t xml:space="preserve">0.4012</w:t>
            </w:r>
          </w:p>
        </w:tc>
        <w:tc>
          <w:p>
            <w:pPr>
              <w:pStyle w:val="Compact"/>
              <w:jc w:val="right"/>
            </w:pPr>
            <w:r>
              <w:t xml:space="preserve">0.5265</w:t>
            </w:r>
          </w:p>
        </w:tc>
      </w:tr>
      <w:tr>
        <w:tc>
          <w:p>
            <w:pPr>
              <w:pStyle w:val="Compact"/>
              <w:jc w:val="left"/>
            </w:pPr>
            <w:r>
              <w:t xml:space="preserve">Body diameter (mm)</w:t>
            </w:r>
          </w:p>
        </w:tc>
        <w:tc>
          <w:p>
            <w:pPr>
              <w:pStyle w:val="Compact"/>
              <w:jc w:val="right"/>
            </w:pPr>
            <w:r>
              <w:t xml:space="preserve">9.2486</w:t>
            </w:r>
          </w:p>
        </w:tc>
        <w:tc>
          <w:p>
            <w:pPr>
              <w:pStyle w:val="Compact"/>
              <w:jc w:val="right"/>
            </w:pPr>
            <w:r>
              <w:t xml:space="preserve">8.8551</w:t>
            </w:r>
          </w:p>
        </w:tc>
        <w:tc>
          <w:p>
            <w:pPr>
              <w:pStyle w:val="Compact"/>
              <w:jc w:val="right"/>
            </w:pPr>
            <w:r>
              <w:t xml:space="preserve">6.5620</w:t>
            </w:r>
          </w:p>
        </w:tc>
        <w:tc>
          <w:p>
            <w:pPr>
              <w:pStyle w:val="Compact"/>
              <w:jc w:val="right"/>
            </w:pPr>
            <w:r>
              <w:t xml:space="preserve">0.2684</w:t>
            </w:r>
          </w:p>
        </w:tc>
        <w:tc>
          <w:p>
            <w:pPr>
              <w:pStyle w:val="Compact"/>
              <w:jc w:val="right"/>
            </w:pPr>
            <w:r>
              <w:t xml:space="preserve">0.6044</w:t>
            </w:r>
          </w:p>
        </w:tc>
        <w:tc>
          <w:p>
            <w:pPr>
              <w:pStyle w:val="Compact"/>
              <w:jc w:val="right"/>
            </w:pPr>
            <w:r>
              <w:t xml:space="preserve">3.3958</w:t>
            </w:r>
          </w:p>
        </w:tc>
        <w:tc>
          <w:p>
            <w:pPr>
              <w:pStyle w:val="Compact"/>
              <w:jc w:val="right"/>
            </w:pPr>
            <w:r>
              <w:t xml:space="preserve">0.0654</w:t>
            </w:r>
          </w:p>
        </w:tc>
      </w:tr>
      <w:tr>
        <w:tc>
          <w:p>
            <w:pPr>
              <w:pStyle w:val="Compact"/>
              <w:jc w:val="left"/>
            </w:pPr>
            <w:r>
              <w:t xml:space="preserve">Ratio of Rim/Body diameter</w:t>
            </w:r>
          </w:p>
        </w:tc>
        <w:tc>
          <w:p>
            <w:pPr>
              <w:pStyle w:val="Compact"/>
              <w:jc w:val="right"/>
            </w:pPr>
            <w:r>
              <w:t xml:space="preserve">6.6892</w:t>
            </w:r>
          </w:p>
        </w:tc>
        <w:tc>
          <w:p>
            <w:pPr>
              <w:pStyle w:val="Compact"/>
              <w:jc w:val="right"/>
            </w:pPr>
            <w:r>
              <w:t xml:space="preserve">7.2115</w:t>
            </w:r>
          </w:p>
        </w:tc>
        <w:tc>
          <w:p>
            <w:pPr>
              <w:pStyle w:val="Compact"/>
              <w:jc w:val="right"/>
            </w:pPr>
            <w:r>
              <w:t xml:space="preserve">7.0293</w:t>
            </w:r>
          </w:p>
        </w:tc>
        <w:tc>
          <w:p>
            <w:pPr>
              <w:pStyle w:val="Compact"/>
              <w:jc w:val="right"/>
            </w:pPr>
            <w:r>
              <w:t xml:space="preserve">0.7686</w:t>
            </w:r>
          </w:p>
        </w:tc>
        <w:tc>
          <w:p>
            <w:pPr>
              <w:pStyle w:val="Compact"/>
              <w:jc w:val="right"/>
            </w:pPr>
            <w:r>
              <w:t xml:space="preserve">0.3806</w:t>
            </w:r>
          </w:p>
        </w:tc>
        <w:tc>
          <w:p>
            <w:pPr>
              <w:pStyle w:val="Compact"/>
              <w:jc w:val="right"/>
            </w:pPr>
            <w:r>
              <w:t xml:space="preserve">0.0280</w:t>
            </w:r>
          </w:p>
        </w:tc>
        <w:tc>
          <w:p>
            <w:pPr>
              <w:pStyle w:val="Compact"/>
              <w:jc w:val="right"/>
            </w:pPr>
            <w:r>
              <w:t xml:space="preserve">0.8671</w:t>
            </w:r>
          </w:p>
        </w:tc>
      </w:tr>
    </w:tbl>
    <w:p>
      <w:pPr>
        <w:pStyle w:val="CaptionedFigure"/>
      </w:pPr>
      <w:r>
        <w:drawing>
          <wp:inline>
            <wp:extent cx="5943600" cy="1759961"/>
            <wp:effectExtent b="0" l="0" r="0" t="0"/>
            <wp:docPr descr="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 title="" id="1" name="Picture"/>
            <a:graphic>
              <a:graphicData uri="http://schemas.openxmlformats.org/drawingml/2006/picture">
                <pic:pic>
                  <pic:nvPicPr>
                    <pic:cNvPr descr="/Users/bmarwick/Desktop/kwl.pottery/analysis/figures/plot-kde-maps.jpg" id="0" name="Picture"/>
                    <pic:cNvPicPr>
                      <a:picLocks noChangeArrowheads="1" noChangeAspect="1"/>
                    </pic:cNvPicPr>
                  </pic:nvPicPr>
                  <pic:blipFill>
                    <a:blip r:embed="rId37"/>
                    <a:stretch>
                      <a:fillRect/>
                    </a:stretch>
                  </pic:blipFill>
                  <pic:spPr bwMode="auto">
                    <a:xfrm>
                      <a:off x="0" y="0"/>
                      <a:ext cx="5943600" cy="1759961"/>
                    </a:xfrm>
                    <a:prstGeom prst="rect">
                      <a:avLst/>
                    </a:prstGeom>
                    <a:noFill/>
                    <a:ln w="9525">
                      <a:noFill/>
                      <a:headEnd/>
                      <a:tailEnd/>
                    </a:ln>
                  </pic:spPr>
                </pic:pic>
              </a:graphicData>
            </a:graphic>
          </wp:inline>
        </w:drawing>
      </w:r>
    </w:p>
    <w:p>
      <w:pPr>
        <w:pStyle w:val="ImageCaption"/>
      </w:pPr>
      <w:r>
        <w:t xml:space="preserve">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w:t>
      </w:r>
    </w:p>
    <w:p>
      <w:pPr>
        <w:pStyle w:val="CaptionedFigure"/>
      </w:pPr>
      <w:r>
        <w:drawing>
          <wp:inline>
            <wp:extent cx="5943600" cy="9911596"/>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Users/bmarwick/Desktop/kwl.pottery/analysis/figures/plot-kde-ann-histograms.jpg" id="0" name="Picture"/>
                    <pic:cNvPicPr>
                      <a:picLocks noChangeArrowheads="1" noChangeAspect="1"/>
                    </pic:cNvPicPr>
                  </pic:nvPicPr>
                  <pic:blipFill>
                    <a:blip r:embed="rId38"/>
                    <a:stretch>
                      <a:fillRect/>
                    </a:stretch>
                  </pic:blipFill>
                  <pic:spPr bwMode="auto">
                    <a:xfrm>
                      <a:off x="0" y="0"/>
                      <a:ext cx="5943600" cy="9911596"/>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to network organization</w:t>
      </w:r>
      <w:r>
        <w:t xml:space="preserve"> </w:t>
      </w:r>
      <w:r>
        <w:t xml:space="preserve">(Feinman, 2000)</w:t>
      </w:r>
      <w:r>
        <w:t xml:space="preserve">. However, strong claims for an emergence of social complexity resulting from foreign contact at Kiwulan will need support from multiple and diverse sources of evidence. This should include the other two main datasets at Kiwulan, the ornaments assemblages, and the burial goods. We find vessel shapes were more standardized in the Chinese period than the European period, contrary to previous work that has downplayed the effect of Chinese settlement in Yilan</w:t>
      </w:r>
      <w:r>
        <w:t xml:space="preserve"> </w:t>
      </w:r>
      <w:r>
        <w:t xml:space="preserve">(Wang, 2011)</w:t>
      </w:r>
      <w:r>
        <w:t xml:space="preserve">. Compared to other regions in Taiwan, European colonial influence was weak in Yilan due to the isolated of the surrounding mountains and the economic focus of the Spanish and Dutch who preferred northern Taiwan as their trading base. Indigenous communities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in the 19th century appears to have been more intense and direct. Historical records indicate that Chinese immigrants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Chen (2007)</w:t>
      </w:r>
      <w:r>
        <w:t xml:space="preserve"> </w:t>
      </w:r>
      <w:r>
        <w:t xml:space="preserve">interprets as the adoption of a symbol of ethnic Chinese.</w:t>
      </w:r>
    </w:p>
    <w:p>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9" w:name="conclusion"/>
      <w:r>
        <w:t xml:space="preserve">Conclusion</w:t>
      </w:r>
      <w:bookmarkEnd w:id="39"/>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and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cross-cultural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intrusion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18"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cabado2018"/>
    <w:p>
      <w:pPr>
        <w:pStyle w:val="Bibliography"/>
      </w:pPr>
      <w:r>
        <w:t xml:space="preserve">Acabado, S., Barretto-Tesoro, G., Amano, N., 2018. Status differentiation, agricultural intensification, and pottery production in precapitalist kiyyangan, ifugao, philippines. Archaeological Research in Asia 15, 55–69.</w:t>
      </w:r>
    </w:p>
    <w:bookmarkEnd w:id="44"/>
    <w:bookmarkStart w:id="45" w:name="ref-Adams2004"/>
    <w:p>
      <w:pPr>
        <w:pStyle w:val="Bibliography"/>
      </w:pPr>
      <w:r>
        <w:t xml:space="preserve">Adams, D.C., Rohlf, F.J., Slice, D.E., 2004. Geometric morphometrics: Ten years of progress following the “revolution”. Italian Journal of Zoology 71, 5–16.</w:t>
      </w:r>
    </w:p>
    <w:bookmarkEnd w:id="45"/>
    <w:bookmarkStart w:id="46" w:name="ref-Alizadeh2018"/>
    <w:p>
      <w:pPr>
        <w:pStyle w:val="Bibliography"/>
      </w:pPr>
      <w:r>
        <w:t xml:space="preserve">Alizadeh, K., Samei, S., Mohammadkhani, K., Heidari, R., Tykot, R.H., 2018. Craft production at köhne shahar, a kura-araxes settlement in iranian azerbaijan. Journal of Anthropological Archaeology 51, 127–143.</w:t>
      </w:r>
    </w:p>
    <w:bookmarkEnd w:id="46"/>
    <w:bookmarkStart w:id="47" w:name="ref-Andrade2007"/>
    <w:p>
      <w:pPr>
        <w:pStyle w:val="Bibliography"/>
      </w:pPr>
      <w:r>
        <w:t xml:space="preserve">Andrade, T., 2007. How Taiwan became chinese : Dutch, spanish, and han colonization in the seventeenth century. Columbia University Press, New York.</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Arnold1994"/>
    <w:p>
      <w:pPr>
        <w:pStyle w:val="Bibliography"/>
      </w:pPr>
      <w:r>
        <w:t xml:space="preserve">Arnold, J.E., Munns, A., 1994. Independent or attached specialization: The organization of shell bead production in california. Journal of Field Archaeology 21, 473–489.</w:t>
      </w:r>
    </w:p>
    <w:bookmarkEnd w:id="49"/>
    <w:bookmarkStart w:id="50"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oness2015"/>
    <w:p>
      <w:pPr>
        <w:pStyle w:val="Bibliography"/>
      </w:pPr>
      <w:r>
        <w:t xml:space="preserve">Boness, D., Clarke, J., Goren, Y., 2015. Ceramic neolithic pottery in cyprus—origin, technology and possible implications for social structure and identity. Levant 47, 233–254.</w:t>
      </w:r>
    </w:p>
    <w:bookmarkEnd w:id="52"/>
    <w:bookmarkStart w:id="53" w:name="ref-Bonhomme2014"/>
    <w:p>
      <w:pPr>
        <w:pStyle w:val="Bibliography"/>
      </w:pPr>
      <w:r>
        <w:t xml:space="preserve">Bonhomme, V., Picq, S., Gaucherel, C., Claude, J., others, 2014. Momocs: Outline analysis using r. Journal of Statistical Software 56, 1–24.</w:t>
      </w:r>
    </w:p>
    <w:bookmarkEnd w:id="53"/>
    <w:bookmarkStart w:id="54" w:name="ref-Bookstein1997"/>
    <w:p>
      <w:pPr>
        <w:pStyle w:val="Bibliography"/>
      </w:pPr>
      <w:r>
        <w:t xml:space="preserve">Bookstein, F.L., 1997. Landmark methods for forms without landmarks: Morphometrics of group differences in outline shape. Medical image analysis 1, 225–243.</w:t>
      </w:r>
    </w:p>
    <w:bookmarkEnd w:id="54"/>
    <w:bookmarkStart w:id="55" w:name="ref-Bookstein1991"/>
    <w:p>
      <w:pPr>
        <w:pStyle w:val="Bibliography"/>
      </w:pPr>
      <w:r>
        <w:t xml:space="preserve">Bookstein, F.L., 1991. Morphometric tools for landmark data: Geometry and biology. Cambridge University Press.</w:t>
      </w:r>
    </w:p>
    <w:bookmarkEnd w:id="55"/>
    <w:bookmarkStart w:id="56" w:name="ref-Buchanan2019"/>
    <w:p>
      <w:pPr>
        <w:pStyle w:val="Bibliography"/>
      </w:pPr>
      <w:r>
        <w:t xml:space="preserve">Buchanan, B., Collard, M., O’Brien, M.J., 2019. Geometric morphometric analyses support incorporating the goshen point type into plainview. American Antiquity 1–11.</w:t>
      </w:r>
    </w:p>
    <w:bookmarkEnd w:id="56"/>
    <w:bookmarkStart w:id="57" w:name="ref-Cardillo2010"/>
    <w:p>
      <w:pPr>
        <w:pStyle w:val="Bibliography"/>
      </w:pPr>
      <w:r>
        <w:t xml:space="preserve">Cardillo, M., 2010. Some applications of geometric morphometrics to archaeology, in: Elewa, A.M.T. (Ed.), Morphometrics for Nonmorphometricians. Springer, pp. 325–341.</w:t>
      </w:r>
    </w:p>
    <w:bookmarkEnd w:id="57"/>
    <w:bookmarkStart w:id="58" w:name="ref-Chen1963"/>
    <w:p>
      <w:pPr>
        <w:pStyle w:val="Bibliography"/>
      </w:pPr>
      <w:r>
        <w:t xml:space="preserve">Chen, S., 1963. Kavalan ting zhi [kavalen culture history], taiwan wen xian cong kan di 106 zhong [taiwan literature series: 106]. Economic Research Office, Bank ofTaiwan, Taipei.</w:t>
      </w:r>
    </w:p>
    <w:bookmarkEnd w:id="58"/>
    <w:bookmarkStart w:id="59" w:name="ref-Chen2016"/>
    <w:p>
      <w:pPr>
        <w:pStyle w:val="Bibliography"/>
      </w:pPr>
      <w:r>
        <w:t xml:space="preserve">Chen, W.-S., 2016. Tai wan di zhi gai lun [an introduction to the geology of taiwan]. Geological Society Located in Taipei.</w:t>
      </w:r>
    </w:p>
    <w:bookmarkEnd w:id="59"/>
    <w:bookmarkStart w:id="60" w:name="ref-Chen2007"/>
    <w:p>
      <w:pPr>
        <w:pStyle w:val="Bibliography"/>
      </w:pPr>
      <w:r>
        <w:t xml:space="preserve">Chen, Y.-p., 2007. Qi wu lan yi zhi qiang jiu fa jue bao gao [report on the archaeological excavations at ki-wu-lan site]. Lanyang museum, Yilan, Taiwan.</w:t>
      </w:r>
    </w:p>
    <w:bookmarkEnd w:id="60"/>
    <w:bookmarkStart w:id="61" w:name="ref-Cheng2008"/>
    <w:p>
      <w:pPr>
        <w:pStyle w:val="Bibliography"/>
      </w:pPr>
      <w:r>
        <w:t xml:space="preserve">Cheng, C.-f., 2008. Qi wu lan yi zhi yu she nei yi zhi chu tu bo li zhu de xiang guan yan jiu [studies of glass beads excavated from kivulan and shenei site, Taiwan] (Master’s thesis).</w:t>
      </w:r>
    </w:p>
    <w:bookmarkEnd w:id="61"/>
    <w:bookmarkStart w:id="62" w:name="ref-Claude2008"/>
    <w:p>
      <w:pPr>
        <w:pStyle w:val="Bibliography"/>
      </w:pPr>
      <w:r>
        <w:t xml:space="preserve">Claude, J., 2008. Morphometrics with r. Springer Science &amp; Business Media.</w:t>
      </w:r>
    </w:p>
    <w:bookmarkEnd w:id="62"/>
    <w:bookmarkStart w:id="63" w:name="ref-Costin2001"/>
    <w:p>
      <w:pPr>
        <w:pStyle w:val="Bibliography"/>
      </w:pPr>
      <w:r>
        <w:t xml:space="preserve">Costin, C.L., 2001. Craft production systems, in: Archaeology at the Millennium. Springer, pp. 273–327.</w:t>
      </w:r>
    </w:p>
    <w:bookmarkEnd w:id="63"/>
    <w:bookmarkStart w:id="64" w:name="ref-Costin1991"/>
    <w:p>
      <w:pPr>
        <w:pStyle w:val="Bibliography"/>
      </w:pPr>
      <w:r>
        <w:t xml:space="preserve">Costin, C.L., 1991. Craft specialization: Issues in defining, documenting, and explaining the organization of production. Archaeological method and theory 1–56.</w:t>
      </w:r>
    </w:p>
    <w:bookmarkEnd w:id="64"/>
    <w:bookmarkStart w:id="65" w:name="ref-Dietler2015"/>
    <w:p>
      <w:pPr>
        <w:pStyle w:val="Bibliography"/>
      </w:pPr>
      <w:r>
        <w:t xml:space="preserve">Dietler, M., 2015. Archaeologies of colonialism: Consumption, entanglement, and violence in ancient mediterranean france. Univ of California Press.</w:t>
      </w:r>
    </w:p>
    <w:bookmarkEnd w:id="65"/>
    <w:bookmarkStart w:id="66"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6"/>
    <w:bookmarkStart w:id="67" w:name="ref-Dietler1997"/>
    <w:p>
      <w:pPr>
        <w:pStyle w:val="Bibliography"/>
      </w:pPr>
      <w:r>
        <w:t xml:space="preserve">Dietler, M., 1997. The iron age in mediterranean france: Colonial encounters, entanglements, and transformations. Journal of World Prehistory 11, 269–358.</w:t>
      </w:r>
    </w:p>
    <w:bookmarkEnd w:id="67"/>
    <w:bookmarkStart w:id="68" w:name="ref-Eerkens2000"/>
    <w:p>
      <w:pPr>
        <w:pStyle w:val="Bibliography"/>
      </w:pPr>
      <w:r>
        <w:t xml:space="preserve">Eerkens, J.W., 2000. Practice makes within 5% of perfect: Visual perception, motor skills, and memory in artifact variation. Current Anthropology 41, 663–668.</w:t>
      </w:r>
    </w:p>
    <w:bookmarkEnd w:id="68"/>
    <w:bookmarkStart w:id="69" w:name="ref-Eerkens2001"/>
    <w:p>
      <w:pPr>
        <w:pStyle w:val="Bibliography"/>
      </w:pPr>
      <w:r>
        <w:t xml:space="preserve">Eerkens, J.W., Bettinger, R.L., 2001. Techniques for assessing standardization in artifact assemblages: Can we scale material variability? American Antiquity 66, 493–504.</w:t>
      </w:r>
    </w:p>
    <w:bookmarkEnd w:id="69"/>
    <w:bookmarkStart w:id="70" w:name="ref-Evershed2008"/>
    <w:p>
      <w:pPr>
        <w:pStyle w:val="Bibliography"/>
      </w:pPr>
      <w:r>
        <w:t xml:space="preserve">Evershed, R.P., 2008. Organic residue analysis in archaeology: The archaeological biomarker revolution. Archaeometry 50, 895–924.</w:t>
      </w:r>
    </w:p>
    <w:bookmarkEnd w:id="70"/>
    <w:bookmarkStart w:id="71"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71"/>
    <w:bookmarkStart w:id="72" w:name="ref-Feltz1996"/>
    <w:p>
      <w:pPr>
        <w:pStyle w:val="Bibliography"/>
      </w:pPr>
      <w:r>
        <w:t xml:space="preserve">Feltz, C.J., Miller, G.E., 1996. An asymptotic test for the equality of coefficients of variation from k populations. Statistics in medicine 15, 647–658.</w:t>
      </w:r>
    </w:p>
    <w:bookmarkEnd w:id="72"/>
    <w:bookmarkStart w:id="73" w:name="ref-Fox2015"/>
    <w:p>
      <w:pPr>
        <w:pStyle w:val="Bibliography"/>
      </w:pPr>
      <w:r>
        <w:t xml:space="preserve">Fox, A.N., 2015. A study of late woodland projectile point typology in new york using elliptical fourier outline analysis. Journal of Archaeological Science: Reports 4, 501–509.</w:t>
      </w:r>
    </w:p>
    <w:bookmarkEnd w:id="73"/>
    <w:bookmarkStart w:id="74" w:name="ref-Given2004"/>
    <w:p>
      <w:pPr>
        <w:pStyle w:val="Bibliography"/>
      </w:pPr>
      <w:r>
        <w:t xml:space="preserve">Given, M., 2004. The archaeology of the colonized. Routledge, London; New York.</w:t>
      </w:r>
    </w:p>
    <w:bookmarkEnd w:id="74"/>
    <w:bookmarkStart w:id="75" w:name="ref-Gunz2013"/>
    <w:p>
      <w:pPr>
        <w:pStyle w:val="Bibliography"/>
      </w:pPr>
      <w:r>
        <w:t xml:space="preserve">Gunz, P., Mitteroecker, P., 2013. Semilandmarks: A method for quantifying curves and surfaces. Hystrix, the Italian Journal of Mammalogy 24, 103–109.</w:t>
      </w:r>
    </w:p>
    <w:bookmarkEnd w:id="75"/>
    <w:bookmarkStart w:id="76"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6"/>
    <w:bookmarkStart w:id="77" w:name="ref-Hirshman2010"/>
    <w:p>
      <w:pPr>
        <w:pStyle w:val="Bibliography"/>
      </w:pPr>
      <w:r>
        <w:t xml:space="preserve">Hirshman, A.J., Lovis, W.A., Pollard, H.P., 2010. Specialization of ceramic production: A sherd assemblage based analytic perspective. Journal of Anthropological Archaeology 29, 265–277.</w:t>
      </w:r>
    </w:p>
    <w:bookmarkEnd w:id="77"/>
    <w:bookmarkStart w:id="78"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78"/>
    <w:bookmarkStart w:id="79"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79"/>
    <w:bookmarkStart w:id="80" w:name="ref-Hsieh2009"/>
    <w:p>
      <w:pPr>
        <w:pStyle w:val="Bibliography"/>
      </w:pPr>
      <w:r>
        <w:t xml:space="preserve">Hsieh, E., 2009. Yi lan qi wu lan yi zhi chu tu wai lai tao ci qi zhi xiang guan yan jiu [the study of imported ceramics excavated at the ki-wu-lan site, i-lan] (Master’s thesis).</w:t>
      </w:r>
    </w:p>
    <w:bookmarkEnd w:id="80"/>
    <w:bookmarkStart w:id="81" w:name="ref-Iovictua2010"/>
    <w:p>
      <w:pPr>
        <w:pStyle w:val="Bibliography"/>
      </w:pPr>
      <w:r>
        <w:t xml:space="preserve">Ioviţă, R., 2010. Comparing stone tool resharpening trajectories with the aid of elliptical fourier analysis, in: New Perspectives on Old Stones. Springer, pp. 235–253.</w:t>
      </w:r>
    </w:p>
    <w:bookmarkEnd w:id="81"/>
    <w:bookmarkStart w:id="82" w:name="ref-Junker1999"/>
    <w:p>
      <w:pPr>
        <w:pStyle w:val="Bibliography"/>
      </w:pPr>
      <w:r>
        <w:t xml:space="preserve">Junker, L.L., 1999. Raiding, trading, and feasting: The political economy of philippine chiefdoms. University of Hawaii Press.</w:t>
      </w:r>
    </w:p>
    <w:bookmarkEnd w:id="82"/>
    <w:bookmarkStart w:id="83" w:name="ref-Junker1993"/>
    <w:p>
      <w:pPr>
        <w:pStyle w:val="Bibliography"/>
      </w:pPr>
      <w:r>
        <w:t xml:space="preserve">Junker, L.L., 1993. Craft goods specialization and prestige goods exchange in philippine chiefdoms of the fifteenth and sixteenth centuries. Asian Perspectives 1–35.</w:t>
      </w:r>
    </w:p>
    <w:bookmarkEnd w:id="83"/>
    <w:bookmarkStart w:id="84" w:name="ref-Ke1993"/>
    <w:p>
      <w:pPr>
        <w:pStyle w:val="Bibliography"/>
      </w:pPr>
      <w:r>
        <w:t xml:space="preserve">Ke, P., 1993. Kavalan zhi lue [record of kavalen]. Historical Records Committee of Taiwan Provincial Government, Nantou.</w:t>
      </w:r>
    </w:p>
    <w:bookmarkEnd w:id="84"/>
    <w:bookmarkStart w:id="85" w:name="ref-Krishnamoorthy2014"/>
    <w:p>
      <w:pPr>
        <w:pStyle w:val="Bibliography"/>
      </w:pPr>
      <w:r>
        <w:t xml:space="preserve">Krishnamoorthy, K., Lee, M., 2014. Improved tests for the equality of normal coefficients of variation. Computational Statistics 29, 215–232.</w:t>
      </w:r>
    </w:p>
    <w:bookmarkEnd w:id="85"/>
    <w:bookmarkStart w:id="86" w:name="ref-Kuhl1982"/>
    <w:p>
      <w:pPr>
        <w:pStyle w:val="Bibliography"/>
      </w:pPr>
      <w:r>
        <w:t xml:space="preserve">Kuhl, F.P., Giardina, C.R., 1982. Elliptic fourier features of a closed contour. Computer graphics and image processing 18, 236–258.</w:t>
      </w:r>
    </w:p>
    <w:bookmarkEnd w:id="86"/>
    <w:bookmarkStart w:id="87"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87"/>
    <w:bookmarkStart w:id="88" w:name="ref-Lawing2010"/>
    <w:p>
      <w:pPr>
        <w:pStyle w:val="Bibliography"/>
      </w:pPr>
      <w:r>
        <w:t xml:space="preserve">Lawing, A.M., Polly, P.D., 2010. Geometric morphometrics: Recent applications to the study of evolution and development. Journal of Zoology 280, 1–7.</w:t>
      </w:r>
    </w:p>
    <w:bookmarkEnd w:id="88"/>
    <w:bookmarkStart w:id="89"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89"/>
    <w:bookmarkStart w:id="90" w:name="ref-Lycett2008"/>
    <w:p>
      <w:pPr>
        <w:pStyle w:val="Bibliography"/>
      </w:pPr>
      <w:r>
        <w:t xml:space="preserve">Lycett, S.J., Gowlett, J.A., 2008. On questions surrounding the acheulean “tradition”. World Archaeology 40, 295–315.</w:t>
      </w:r>
    </w:p>
    <w:bookmarkEnd w:id="90"/>
    <w:bookmarkStart w:id="92"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1">
        <w:r>
          <w:rPr>
            <w:rStyle w:val="Hyperlink"/>
          </w:rPr>
          <w:t xml:space="preserve">https://doi.org/10.1007/s10816-015-9272-9</w:t>
        </w:r>
      </w:hyperlink>
    </w:p>
    <w:bookmarkEnd w:id="92"/>
    <w:bookmarkStart w:id="93" w:name="ref-Marwick2018"/>
    <w:p>
      <w:pPr>
        <w:pStyle w:val="Bibliography"/>
      </w:pPr>
      <w:r>
        <w:t xml:space="preserve">Marwick, B., Boettiger, C., Mullen, L., 2018. Packaging data analytical work reproducibly using r (and friends). The American Statistician 72, 80–88.</w:t>
      </w:r>
    </w:p>
    <w:bookmarkEnd w:id="93"/>
    <w:bookmarkStart w:id="94" w:name="ref-Meloro2015"/>
    <w:p>
      <w:pPr>
        <w:pStyle w:val="Bibliography"/>
      </w:pPr>
      <w:r>
        <w:t xml:space="preserve">Meloro, C., Hudson, A., Rook, L., 2015. Feeding habits of extant and fossil canids as determined by their skull geometry. Journal of Zoology 295, 178–188.</w:t>
      </w:r>
    </w:p>
    <w:bookmarkEnd w:id="94"/>
    <w:bookmarkStart w:id="95" w:name="ref-Mullins2011"/>
    <w:p>
      <w:pPr>
        <w:pStyle w:val="Bibliography"/>
      </w:pPr>
      <w:r>
        <w:t xml:space="preserve">Mullins, P.R., 2011. The archaeology of consumption. Annual Review of Anthropology 40, 133–144.</w:t>
      </w:r>
    </w:p>
    <w:bookmarkEnd w:id="95"/>
    <w:bookmarkStart w:id="96"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96"/>
    <w:bookmarkStart w:id="97" w:name="ref-Rlanguage2019"/>
    <w:p>
      <w:pPr>
        <w:pStyle w:val="Bibliography"/>
      </w:pPr>
      <w:r>
        <w:t xml:space="preserve">R Core Team, 2019. R: A language and environment for statistical computing. R Foundation for Statistical Computing, Vienna, Austria.</w:t>
      </w:r>
    </w:p>
    <w:bookmarkEnd w:id="97"/>
    <w:bookmarkStart w:id="98"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98"/>
    <w:bookmarkStart w:id="99"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99"/>
    <w:bookmarkStart w:id="100" w:name="ref-Roux2003"/>
    <w:p>
      <w:pPr>
        <w:pStyle w:val="Bibliography"/>
      </w:pPr>
      <w:r>
        <w:t xml:space="preserve">Roux, V., 2003. Ceramic standardization and intensity of production: Quantifying degrees of specialization. American Antiquity 68, 768–782.</w:t>
      </w:r>
    </w:p>
    <w:bookmarkEnd w:id="100"/>
    <w:bookmarkStart w:id="101" w:name="ref-Roux2018"/>
    <w:p>
      <w:pPr>
        <w:pStyle w:val="Bibliography"/>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101"/>
    <w:bookmarkStart w:id="102" w:name="ref-Scaramelli2005"/>
    <w:p>
      <w:pPr>
        <w:pStyle w:val="Bibliography"/>
      </w:pPr>
      <w:r>
        <w:t xml:space="preserve">Scaramelli, F., Scaramelli, K.T. de, 2005. The roles of material culture in the colonization of the orinoco, venezuela. Journal of Social Archaeology 5, 135–168.</w:t>
      </w:r>
    </w:p>
    <w:bookmarkEnd w:id="102"/>
    <w:bookmarkStart w:id="103" w:name="ref-Selden2019"/>
    <w:p>
      <w:pPr>
        <w:pStyle w:val="Bibliography"/>
      </w:pPr>
      <w:r>
        <w:t xml:space="preserve">Selden Jr, R.Z., 2019. Ceramic morphological organisation in the southern caddo area: The clarence h. Webb collections. Journal of Cultural Heritage 35, 41–55.</w:t>
      </w:r>
    </w:p>
    <w:bookmarkEnd w:id="103"/>
    <w:bookmarkStart w:id="104" w:name="ref-Silliman2001"/>
    <w:p>
      <w:pPr>
        <w:pStyle w:val="Bibliography"/>
      </w:pPr>
      <w:r>
        <w:t xml:space="preserve">Silliman, S., 2001. Agency, practical politics and the archaeology of culture contact. Journal of social archaeology 1, 190–209.</w:t>
      </w:r>
    </w:p>
    <w:bookmarkEnd w:id="104"/>
    <w:bookmarkStart w:id="105" w:name="ref-Silliman2005"/>
    <w:p>
      <w:pPr>
        <w:pStyle w:val="Bibliography"/>
      </w:pPr>
      <w:r>
        <w:t xml:space="preserve">Silliman, S.W., 2005. Culture contact or colonialism? Challenges in the archaeology of native North America. American Antiquity 55–74.</w:t>
      </w:r>
    </w:p>
    <w:bookmarkEnd w:id="105"/>
    <w:bookmarkStart w:id="106" w:name="ref-Slice2007"/>
    <w:p>
      <w:pPr>
        <w:pStyle w:val="Bibliography"/>
      </w:pPr>
      <w:r>
        <w:t xml:space="preserve">Slice, D.E., 2007. Geometric morphometrics. Annu. Rev. Anthropol. 36, 261–281.</w:t>
      </w:r>
    </w:p>
    <w:bookmarkEnd w:id="106"/>
    <w:bookmarkStart w:id="107" w:name="ref-Stark1995economic"/>
    <w:p>
      <w:pPr>
        <w:pStyle w:val="Bibliography"/>
      </w:pPr>
      <w:r>
        <w:t xml:space="preserve">Stark, B.L., 1995a. Economic intensification and ceramic specialization in the philippines: A view from kalinga. Research in Economic Anthropology 16, 179–226.</w:t>
      </w:r>
    </w:p>
    <w:bookmarkEnd w:id="107"/>
    <w:bookmarkStart w:id="108" w:name="ref-Stark1995"/>
    <w:p>
      <w:pPr>
        <w:pStyle w:val="Bibliography"/>
      </w:pPr>
      <w:r>
        <w:t xml:space="preserve">Stark, B.L., 1995b. Problems in analysis of standardization and specialization in pottery, in: Mills, B.J., Crown, P.L. (Eds.), Ceramic Production in the American Southwest. The University of Arizona Press, Tucson, pp. 231–267.</w:t>
      </w:r>
    </w:p>
    <w:bookmarkEnd w:id="108"/>
    <w:bookmarkStart w:id="109" w:name="ref-Tite1999"/>
    <w:p>
      <w:pPr>
        <w:pStyle w:val="Bibliography"/>
      </w:pPr>
      <w:r>
        <w:t xml:space="preserve">Tite, M.S., 1999. Pottery production, distribution, and consumption—the contribution of the physical sciences. Journal of archaeological method and theory 6, 181–233.</w:t>
      </w:r>
    </w:p>
    <w:bookmarkEnd w:id="109"/>
    <w:bookmarkStart w:id="110" w:name="ref-Topi2018"/>
    <w:p>
      <w:pPr>
        <w:pStyle w:val="Bibliography"/>
      </w:pPr>
      <w:r>
        <w:t xml:space="preserve">Topi, J.R., VanPool, C.S., Waller, K.D., VanPool, T.L., 2018. The economy of specialized ceramic craft production in the casas grandes region. Latin American Antiquity 29, 122–142.</w:t>
      </w:r>
    </w:p>
    <w:bookmarkEnd w:id="110"/>
    <w:bookmarkStart w:id="111"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11"/>
    <w:bookmarkStart w:id="112" w:name="ref-Trabert2017"/>
    <w:p>
      <w:pPr>
        <w:pStyle w:val="Bibliography"/>
      </w:pPr>
      <w:r>
        <w:t xml:space="preserve">Trabert, S., 2017. Considering the indirect effects of colonialism: Example from a great plains middle ground. Journal of Anthropological Archaeology 48, 17–27.</w:t>
      </w:r>
    </w:p>
    <w:bookmarkEnd w:id="112"/>
    <w:bookmarkStart w:id="113" w:name="ref-Voss2008"/>
    <w:p>
      <w:pPr>
        <w:pStyle w:val="Bibliography"/>
      </w:pPr>
      <w:r>
        <w:t xml:space="preserve">Voss, B.L., 2008. Between the household and the world system: Social collectivity and community agency in overseas chinese archaeology. Historical Archaeology 37–52.</w:t>
      </w:r>
    </w:p>
    <w:bookmarkEnd w:id="113"/>
    <w:bookmarkStart w:id="114" w:name="ref-Voss2005"/>
    <w:p>
      <w:pPr>
        <w:pStyle w:val="Bibliography"/>
      </w:pPr>
      <w:r>
        <w:t xml:space="preserve">Voss, B.L., 2005. From casta to californio: Social identity and the archaeology of culture contact. American Anthropologist 107, 461–474.</w:t>
      </w:r>
    </w:p>
    <w:bookmarkEnd w:id="114"/>
    <w:bookmarkStart w:id="115" w:name="ref-Wang2011"/>
    <w:p>
      <w:pPr>
        <w:pStyle w:val="Bibliography"/>
      </w:pPr>
      <w:r>
        <w:t xml:space="preserve">Wang, L.-Y., 2011. Yi lan qi wu lan yi zhi chu tu zhuang shi pin zhi xiang guan yan jiu [a research of ornaments excavated at ki-wu-lan site, i-lan] (Master’s thesis).</w:t>
      </w:r>
    </w:p>
    <w:bookmarkEnd w:id="115"/>
    <w:bookmarkStart w:id="116"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16"/>
    <w:bookmarkStart w:id="117"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7"/>
    <w:bookmarkEnd w:id="118"/>
    <w:p>
      <w:pPr>
        <w:pStyle w:val="Heading5"/>
      </w:pPr>
      <w:bookmarkStart w:id="119" w:name="pagebreak-1"/>
      <w:r>
        <w:t xml:space="preserve">pagebreak</w:t>
      </w:r>
      <w:bookmarkEnd w:id="119"/>
    </w:p>
    <w:p>
      <w:pPr>
        <w:pStyle w:val="Heading3"/>
      </w:pPr>
      <w:bookmarkStart w:id="120" w:name="colophon"/>
      <w:r>
        <w:t xml:space="preserve">Colophon</w:t>
      </w:r>
      <w:bookmarkEnd w:id="120"/>
    </w:p>
    <w:p>
      <w:pPr>
        <w:pStyle w:val="FirstParagraph"/>
      </w:pPr>
      <w:r>
        <w:t xml:space="preserve">This report was generated on 2020-02-15 10:28:04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3.6.0 (2019-04-26)</w:t>
      </w:r>
      <w:r>
        <w:br/>
      </w:r>
      <w:r>
        <w:rPr>
          <w:rStyle w:val="VerbatimChar"/>
        </w:rPr>
        <w:t xml:space="preserve">#&gt;  os       macOS  10.15.2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2020-02-15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3.6.0)                     </w:t>
      </w:r>
      <w:r>
        <w:br/>
      </w:r>
      <w:r>
        <w:rPr>
          <w:rStyle w:val="VerbatimChar"/>
        </w:rPr>
        <w:t xml:space="preserve">#&gt;  backports      1.1.5      2019-10-02 [1] CRAN (R 3.6.0)                     </w:t>
      </w:r>
      <w:r>
        <w:br/>
      </w:r>
      <w:r>
        <w:rPr>
          <w:rStyle w:val="VerbatimChar"/>
        </w:rPr>
        <w:t xml:space="preserve">#&gt;  bookdown       0.17       2020-01-11 [1] CRAN (R 3.6.0)                     </w:t>
      </w:r>
      <w:r>
        <w:br/>
      </w:r>
      <w:r>
        <w:rPr>
          <w:rStyle w:val="VerbatimChar"/>
        </w:rPr>
        <w:t xml:space="preserve">#&gt;  broom          0.5.3.9000 2020-02-09 [1] Github (tidymodels/broom@3c922d5)  </w:t>
      </w:r>
      <w:r>
        <w:br/>
      </w:r>
      <w:r>
        <w:rPr>
          <w:rStyle w:val="VerbatimChar"/>
        </w:rPr>
        <w:t xml:space="preserve">#&gt;  callr          3.4.2      2020-02-12 [1] CRAN (R 3.6.0)                     </w:t>
      </w:r>
      <w:r>
        <w:br/>
      </w:r>
      <w:r>
        <w:rPr>
          <w:rStyle w:val="VerbatimChar"/>
        </w:rPr>
        <w:t xml:space="preserve">#&gt;  cellranger     1.1.0.9000 2019-05-28 [1] Github (rsheets/cellranger@7ecde54)</w:t>
      </w:r>
      <w:r>
        <w:br/>
      </w:r>
      <w:r>
        <w:rPr>
          <w:rStyle w:val="VerbatimChar"/>
        </w:rPr>
        <w:t xml:space="preserve">#&gt;  class          7.3-15     2019-01-01 [1] CRAN (R 3.6.0)                     </w:t>
      </w:r>
      <w:r>
        <w:br/>
      </w:r>
      <w:r>
        <w:rPr>
          <w:rStyle w:val="VerbatimChar"/>
        </w:rPr>
        <w:t xml:space="preserve">#&gt;  classInt       0.4-1      2019-08-06 [1] CRAN (R 3.6.0)                     </w:t>
      </w:r>
      <w:r>
        <w:br/>
      </w:r>
      <w:r>
        <w:rPr>
          <w:rStyle w:val="VerbatimChar"/>
        </w:rPr>
        <w:t xml:space="preserve">#&gt;  cli            2.0.1      2020-01-08 [1] CRAN (R 3.6.0)                     </w:t>
      </w:r>
      <w:r>
        <w:br/>
      </w:r>
      <w:r>
        <w:rPr>
          <w:rStyle w:val="VerbatimChar"/>
        </w:rPr>
        <w:t xml:space="preserve">#&gt;  codetools      0.2-16     2018-12-24 [1] CRAN (R 3.6.0)                     </w:t>
      </w:r>
      <w:r>
        <w:br/>
      </w:r>
      <w:r>
        <w:rPr>
          <w:rStyle w:val="VerbatimChar"/>
        </w:rPr>
        <w:t xml:space="preserve">#&gt;  colorspace     1.4-1      2019-03-18 [1] CRAN (R 3.6.0)                     </w:t>
      </w:r>
      <w:r>
        <w:br/>
      </w:r>
      <w:r>
        <w:rPr>
          <w:rStyle w:val="VerbatimChar"/>
        </w:rPr>
        <w:t xml:space="preserve">#&gt;  cowplot      * 1.0.0      2019-07-11 [1] CRAN (R 3.6.0)                     </w:t>
      </w:r>
      <w:r>
        <w:br/>
      </w:r>
      <w:r>
        <w:rPr>
          <w:rStyle w:val="VerbatimChar"/>
        </w:rPr>
        <w:t xml:space="preserve">#&gt;  crayon         1.3.4      2020-01-31 [1] Github (gaborcsardi/crayon@f4bc7b8)</w:t>
      </w:r>
      <w:r>
        <w:br/>
      </w:r>
      <w:r>
        <w:rPr>
          <w:rStyle w:val="VerbatimChar"/>
        </w:rPr>
        <w:t xml:space="preserve">#&gt;  curl           4.3        2019-12-02 [1] CRAN (R 3.6.0)                     </w:t>
      </w:r>
      <w:r>
        <w:br/>
      </w:r>
      <w:r>
        <w:rPr>
          <w:rStyle w:val="VerbatimChar"/>
        </w:rPr>
        <w:t xml:space="preserve">#&gt;  cvequality   * 0.2.0      2019-01-07 [1] CRAN (R 3.6.0)                     </w:t>
      </w:r>
      <w:r>
        <w:br/>
      </w:r>
      <w:r>
        <w:rPr>
          <w:rStyle w:val="VerbatimChar"/>
        </w:rPr>
        <w:t xml:space="preserve">#&gt;  DBI            1.0.0      2018-05-02 [1] CRAN (R 3.6.0)                     </w:t>
      </w:r>
      <w:r>
        <w:br/>
      </w:r>
      <w:r>
        <w:rPr>
          <w:rStyle w:val="VerbatimChar"/>
        </w:rPr>
        <w:t xml:space="preserve">#&gt;  desc           1.2.0      2018-05-01 [1] CRAN (R 3.6.0)                     </w:t>
      </w:r>
      <w:r>
        <w:br/>
      </w:r>
      <w:r>
        <w:rPr>
          <w:rStyle w:val="VerbatimChar"/>
        </w:rPr>
        <w:t xml:space="preserve">#&gt;  devtools       2.2.1      2019-09-24 [1] CRAN (R 3.6.0)                     </w:t>
      </w:r>
      <w:r>
        <w:br/>
      </w:r>
      <w:r>
        <w:rPr>
          <w:rStyle w:val="VerbatimChar"/>
        </w:rPr>
        <w:t xml:space="preserve">#&gt;  digest         0.6.24     2020-02-12 [1] CRAN (R 3.6.0)                     </w:t>
      </w:r>
      <w:r>
        <w:br/>
      </w:r>
      <w:r>
        <w:rPr>
          <w:rStyle w:val="VerbatimChar"/>
        </w:rPr>
        <w:t xml:space="preserve">#&gt;  dplyr        * 0.8.4      2020-01-31 [1] CRAN (R 3.6.0)                     </w:t>
      </w:r>
      <w:r>
        <w:br/>
      </w:r>
      <w:r>
        <w:rPr>
          <w:rStyle w:val="VerbatimChar"/>
        </w:rPr>
        <w:t xml:space="preserve">#&gt;  e1071          1.7-2      2019-06-05 [1] CRAN (R 3.6.0)                     </w:t>
      </w:r>
      <w:r>
        <w:br/>
      </w:r>
      <w:r>
        <w:rPr>
          <w:rStyle w:val="VerbatimChar"/>
        </w:rPr>
        <w:t xml:space="preserve">#&gt;  ellipsis       0.3.0      2019-09-20 [1] CRAN (R 3.6.0)                     </w:t>
      </w:r>
      <w:r>
        <w:br/>
      </w:r>
      <w:r>
        <w:rPr>
          <w:rStyle w:val="VerbatimChar"/>
        </w:rPr>
        <w:t xml:space="preserve">#&gt;  evaluate       0.14       2019-05-28 [1] CRAN (R 3.6.0)                     </w:t>
      </w:r>
      <w:r>
        <w:br/>
      </w:r>
      <w:r>
        <w:rPr>
          <w:rStyle w:val="VerbatimChar"/>
        </w:rPr>
        <w:t xml:space="preserve">#&gt;  fansi          0.4.1      2020-01-08 [1] CRAN (R 3.6.0)                     </w:t>
      </w:r>
      <w:r>
        <w:br/>
      </w:r>
      <w:r>
        <w:rPr>
          <w:rStyle w:val="VerbatimChar"/>
        </w:rPr>
        <w:t xml:space="preserve">#&gt;  farver         2.0.3      2020-01-16 [1] CRAN (R 3.6.0)                     </w:t>
      </w:r>
      <w:r>
        <w:br/>
      </w:r>
      <w:r>
        <w:rPr>
          <w:rStyle w:val="VerbatimChar"/>
        </w:rPr>
        <w:t xml:space="preserve">#&gt;  forcats      * 0.4.0      2019-02-17 [1] CRAN (R 3.6.0)                     </w:t>
      </w:r>
      <w:r>
        <w:br/>
      </w:r>
      <w:r>
        <w:rPr>
          <w:rStyle w:val="VerbatimChar"/>
        </w:rPr>
        <w:t xml:space="preserve">#&gt;  fs             1.3.1      2019-05-06 [1] CRAN (R 3.6.0)                     </w:t>
      </w:r>
      <w:r>
        <w:br/>
      </w:r>
      <w:r>
        <w:rPr>
          <w:rStyle w:val="VerbatimChar"/>
        </w:rPr>
        <w:t xml:space="preserve">#&gt;  generics       0.0.2      2018-11-29 [1] CRAN (R 3.6.0)                     </w:t>
      </w:r>
      <w:r>
        <w:br/>
      </w:r>
      <w:r>
        <w:rPr>
          <w:rStyle w:val="VerbatimChar"/>
        </w:rPr>
        <w:t xml:space="preserve">#&gt;  ggforce        0.3.1      2019-08-20 [1] CRAN (R 3.6.0)                     </w:t>
      </w:r>
      <w:r>
        <w:br/>
      </w:r>
      <w:r>
        <w:rPr>
          <w:rStyle w:val="VerbatimChar"/>
        </w:rPr>
        <w:t xml:space="preserve">#&gt;  ggplot2      * 3.2.1      2019-08-10 [1] CRAN (R 3.6.0)                     </w:t>
      </w:r>
      <w:r>
        <w:br/>
      </w:r>
      <w:r>
        <w:rPr>
          <w:rStyle w:val="VerbatimChar"/>
        </w:rPr>
        <w:t xml:space="preserve">#&gt;  glue           1.3.1      2019-03-12 [1] CRAN (R 3.6.0)                     </w:t>
      </w:r>
      <w:r>
        <w:br/>
      </w:r>
      <w:r>
        <w:rPr>
          <w:rStyle w:val="VerbatimChar"/>
        </w:rPr>
        <w:t xml:space="preserve">#&gt;  gridExtra      2.3        2017-09-09 [1] CRAN (R 3.6.0)                     </w:t>
      </w:r>
      <w:r>
        <w:br/>
      </w:r>
      <w:r>
        <w:rPr>
          <w:rStyle w:val="VerbatimChar"/>
        </w:rPr>
        <w:t xml:space="preserve">#&gt;  gtable         0.3.0      2019-03-25 [1] CRAN (R 3.6.0)                     </w:t>
      </w:r>
      <w:r>
        <w:br/>
      </w:r>
      <w:r>
        <w:rPr>
          <w:rStyle w:val="VerbatimChar"/>
        </w:rPr>
        <w:t xml:space="preserve">#&gt;  haven          2.1.1      2019-07-04 [1] CRAN (R 3.6.0)                     </w:t>
      </w:r>
      <w:r>
        <w:br/>
      </w:r>
      <w:r>
        <w:rPr>
          <w:rStyle w:val="VerbatimChar"/>
        </w:rPr>
        <w:t xml:space="preserve">#&gt;  here         * 0.1        2017-05-28 [1] CRAN (R 3.6.0)                     </w:t>
      </w:r>
      <w:r>
        <w:br/>
      </w:r>
      <w:r>
        <w:rPr>
          <w:rStyle w:val="VerbatimChar"/>
        </w:rPr>
        <w:t xml:space="preserve">#&gt;  highr          0.8        2019-03-20 [1] CRAN (R 3.6.0)                     </w:t>
      </w:r>
      <w:r>
        <w:br/>
      </w:r>
      <w:r>
        <w:rPr>
          <w:rStyle w:val="VerbatimChar"/>
        </w:rPr>
        <w:t xml:space="preserve">#&gt;  hms            0.5.3      2020-01-08 [1] CRAN (R 3.6.0)                     </w:t>
      </w:r>
      <w:r>
        <w:br/>
      </w:r>
      <w:r>
        <w:rPr>
          <w:rStyle w:val="VerbatimChar"/>
        </w:rPr>
        <w:t xml:space="preserve">#&gt;  htmltools      0.4.0      2019-10-04 [1] CRAN (R 3.6.0)                     </w:t>
      </w:r>
      <w:r>
        <w:br/>
      </w:r>
      <w:r>
        <w:rPr>
          <w:rStyle w:val="VerbatimChar"/>
        </w:rPr>
        <w:t xml:space="preserve">#&gt;  httr           1.4.1      2019-08-05 [1] CRAN (R 3.6.0)                     </w:t>
      </w:r>
      <w:r>
        <w:br/>
      </w:r>
      <w:r>
        <w:rPr>
          <w:rStyle w:val="VerbatimChar"/>
        </w:rPr>
        <w:t xml:space="preserve">#&gt;  jpeg           0.1-8.1    2019-10-24 [1] CRAN (R 3.6.0)                     </w:t>
      </w:r>
      <w:r>
        <w:br/>
      </w:r>
      <w:r>
        <w:rPr>
          <w:rStyle w:val="VerbatimChar"/>
        </w:rPr>
        <w:t xml:space="preserve">#&gt;  jsonlite       1.6.1      2020-02-02 [1] CRAN (R 3.6.0)                     </w:t>
      </w:r>
      <w:r>
        <w:br/>
      </w:r>
      <w:r>
        <w:rPr>
          <w:rStyle w:val="VerbatimChar"/>
        </w:rPr>
        <w:t xml:space="preserve">#&gt;  KernSmooth     2.23-15    2015-06-29 [1] CRAN (R 3.6.0)                     </w:t>
      </w:r>
      <w:r>
        <w:br/>
      </w:r>
      <w:r>
        <w:rPr>
          <w:rStyle w:val="VerbatimChar"/>
        </w:rPr>
        <w:t xml:space="preserve">#&gt;  knitr          1.28       2020-02-06 [1] CRAN (R 3.6.0)                     </w:t>
      </w:r>
      <w:r>
        <w:br/>
      </w:r>
      <w:r>
        <w:rPr>
          <w:rStyle w:val="VerbatimChar"/>
        </w:rPr>
        <w:t xml:space="preserve">#&gt;  labeling       0.3        2014-08-23 [1] CRAN (R 3.6.0)                     </w:t>
      </w:r>
      <w:r>
        <w:br/>
      </w:r>
      <w:r>
        <w:rPr>
          <w:rStyle w:val="VerbatimChar"/>
        </w:rPr>
        <w:t xml:space="preserve">#&gt;  lattice        0.20-38    2018-11-04 [1] CRAN (R 3.6.0)                     </w:t>
      </w:r>
      <w:r>
        <w:br/>
      </w:r>
      <w:r>
        <w:rPr>
          <w:rStyle w:val="VerbatimChar"/>
        </w:rPr>
        <w:t xml:space="preserve">#&gt;  lazyeval       0.2.2      2019-03-15 [1] CRAN (R 3.6.0)                     </w:t>
      </w:r>
      <w:r>
        <w:br/>
      </w:r>
      <w:r>
        <w:rPr>
          <w:rStyle w:val="VerbatimChar"/>
        </w:rPr>
        <w:t xml:space="preserve">#&gt;  lifecycle      0.1.0      2019-08-01 [1] CRAN (R 3.6.0)                     </w:t>
      </w:r>
      <w:r>
        <w:br/>
      </w:r>
      <w:r>
        <w:rPr>
          <w:rStyle w:val="VerbatimChar"/>
        </w:rPr>
        <w:t xml:space="preserve">#&gt;  lubridate      1.7.4      2018-04-11 [1] CRAN (R 3.6.0)                     </w:t>
      </w:r>
      <w:r>
        <w:br/>
      </w:r>
      <w:r>
        <w:rPr>
          <w:rStyle w:val="VerbatimChar"/>
        </w:rPr>
        <w:t xml:space="preserve">#&gt;  magrittr       1.5        2014-11-22 [1] CRAN (R 3.6.0)                     </w:t>
      </w:r>
      <w:r>
        <w:br/>
      </w:r>
      <w:r>
        <w:rPr>
          <w:rStyle w:val="VerbatimChar"/>
        </w:rPr>
        <w:t xml:space="preserve">#&gt;  MASS           7.3-51.4   2019-03-31 [1] CRAN (R 3.6.0)                     </w:t>
      </w:r>
      <w:r>
        <w:br/>
      </w:r>
      <w:r>
        <w:rPr>
          <w:rStyle w:val="VerbatimChar"/>
        </w:rPr>
        <w:t xml:space="preserve">#&gt;  memoise        1.1.0      2017-04-21 [1] CRAN (R 3.6.0)                     </w:t>
      </w:r>
      <w:r>
        <w:br/>
      </w:r>
      <w:r>
        <w:rPr>
          <w:rStyle w:val="VerbatimChar"/>
        </w:rPr>
        <w:t xml:space="preserve">#&gt;  modelr         0.1.5      2019-08-08 [1] CRAN (R 3.6.0)                     </w:t>
      </w:r>
      <w:r>
        <w:br/>
      </w:r>
      <w:r>
        <w:rPr>
          <w:rStyle w:val="VerbatimChar"/>
        </w:rPr>
        <w:t xml:space="preserve">#&gt;  Momocs       * 1.3.0      2019-12-19 [1] Github (MomX/Momocs@028e70e)       </w:t>
      </w:r>
      <w:r>
        <w:br/>
      </w:r>
      <w:r>
        <w:rPr>
          <w:rStyle w:val="VerbatimChar"/>
        </w:rPr>
        <w:t xml:space="preserve">#&gt;  munsell        0.5.0      2018-06-12 [1] CRAN (R 3.6.0)                     </w:t>
      </w:r>
      <w:r>
        <w:br/>
      </w:r>
      <w:r>
        <w:rPr>
          <w:rStyle w:val="VerbatimChar"/>
        </w:rPr>
        <w:t xml:space="preserve">#&gt;  pillar         1.4.3      2019-12-20 [1] CRAN (R 3.6.0)                     </w:t>
      </w:r>
      <w:r>
        <w:br/>
      </w:r>
      <w:r>
        <w:rPr>
          <w:rStyle w:val="VerbatimChar"/>
        </w:rPr>
        <w:t xml:space="preserve">#&gt;  pkgbuild       1.0.6      2019-10-09 [1] CRAN (R 3.6.0)                     </w:t>
      </w:r>
      <w:r>
        <w:br/>
      </w:r>
      <w:r>
        <w:rPr>
          <w:rStyle w:val="VerbatimChar"/>
        </w:rPr>
        <w:t xml:space="preserve">#&gt;  pkgconfig      2.0.3      2019-09-22 [1] CRAN (R 3.6.0)                     </w:t>
      </w:r>
      <w:r>
        <w:br/>
      </w:r>
      <w:r>
        <w:rPr>
          <w:rStyle w:val="VerbatimChar"/>
        </w:rPr>
        <w:t xml:space="preserve">#&gt;  pkgload        1.0.2      2018-10-29 [1] CRAN (R 3.6.0)                     </w:t>
      </w:r>
      <w:r>
        <w:br/>
      </w:r>
      <w:r>
        <w:rPr>
          <w:rStyle w:val="VerbatimChar"/>
        </w:rPr>
        <w:t xml:space="preserve">#&gt;  polyclip       1.10-0     2019-03-14 [1] CRAN (R 3.6.0)                     </w:t>
      </w:r>
      <w:r>
        <w:br/>
      </w:r>
      <w:r>
        <w:rPr>
          <w:rStyle w:val="VerbatimChar"/>
        </w:rPr>
        <w:t xml:space="preserve">#&gt;  prettyunits    1.1.1      2020-01-24 [1] CRAN (R 3.6.0)                     </w:t>
      </w:r>
      <w:r>
        <w:br/>
      </w:r>
      <w:r>
        <w:rPr>
          <w:rStyle w:val="VerbatimChar"/>
        </w:rPr>
        <w:t xml:space="preserve">#&gt;  processx       3.4.2      2020-02-09 [1] CRAN (R 3.6.0)                     </w:t>
      </w:r>
      <w:r>
        <w:br/>
      </w:r>
      <w:r>
        <w:rPr>
          <w:rStyle w:val="VerbatimChar"/>
        </w:rPr>
        <w:t xml:space="preserve">#&gt;  ps             1.3.1      2020-02-12 [1] CRAN (R 3.6.0)                     </w:t>
      </w:r>
      <w:r>
        <w:br/>
      </w:r>
      <w:r>
        <w:rPr>
          <w:rStyle w:val="VerbatimChar"/>
        </w:rPr>
        <w:t xml:space="preserve">#&gt;  purrr        * 0.3.3      2019-10-18 [1] CRAN (R 3.6.0)                     </w:t>
      </w:r>
      <w:r>
        <w:br/>
      </w:r>
      <w:r>
        <w:rPr>
          <w:rStyle w:val="VerbatimChar"/>
        </w:rPr>
        <w:t xml:space="preserve">#&gt;  R6             2.4.1      2019-11-12 [1] CRAN (R 3.6.0)                     </w:t>
      </w:r>
      <w:r>
        <w:br/>
      </w:r>
      <w:r>
        <w:rPr>
          <w:rStyle w:val="VerbatimChar"/>
        </w:rPr>
        <w:t xml:space="preserve">#&gt;  raster         3.0-12     2020-01-30 [1] CRAN (R 3.6.0)                     </w:t>
      </w:r>
      <w:r>
        <w:br/>
      </w:r>
      <w:r>
        <w:rPr>
          <w:rStyle w:val="VerbatimChar"/>
        </w:rPr>
        <w:t xml:space="preserve">#&gt;  RColorBrewer   1.1-2      2014-12-07 [1] CRAN (R 3.6.0)                     </w:t>
      </w:r>
      <w:r>
        <w:br/>
      </w:r>
      <w:r>
        <w:rPr>
          <w:rStyle w:val="VerbatimChar"/>
        </w:rPr>
        <w:t xml:space="preserve">#&gt;  Rcpp           1.0.3      2019-11-08 [1] CRAN (R 3.6.0)                     </w:t>
      </w:r>
      <w:r>
        <w:br/>
      </w:r>
      <w:r>
        <w:rPr>
          <w:rStyle w:val="VerbatimChar"/>
        </w:rPr>
        <w:t xml:space="preserve">#&gt;  readr        * 1.3.1      2018-12-21 [1] CRAN (R 3.6.0)                     </w:t>
      </w:r>
      <w:r>
        <w:br/>
      </w:r>
      <w:r>
        <w:rPr>
          <w:rStyle w:val="VerbatimChar"/>
        </w:rPr>
        <w:t xml:space="preserve">#&gt;  readxl         1.3.1      2019-03-13 [1] CRAN (R 3.6.0)                     </w:t>
      </w:r>
      <w:r>
        <w:br/>
      </w:r>
      <w:r>
        <w:rPr>
          <w:rStyle w:val="VerbatimChar"/>
        </w:rPr>
        <w:t xml:space="preserve">#&gt;  remotes        2.1.0      2019-06-24 [1] CRAN (R 3.6.0)                     </w:t>
      </w:r>
      <w:r>
        <w:br/>
      </w:r>
      <w:r>
        <w:rPr>
          <w:rStyle w:val="VerbatimChar"/>
        </w:rPr>
        <w:t xml:space="preserve">#&gt;  rlang          0.4.4      2020-01-28 [1] CRAN (R 3.6.0)                     </w:t>
      </w:r>
      <w:r>
        <w:br/>
      </w:r>
      <w:r>
        <w:rPr>
          <w:rStyle w:val="VerbatimChar"/>
        </w:rPr>
        <w:t xml:space="preserve">#&gt;  rmarkdown      2.1        2020-01-20 [1] CRAN (R 3.6.0)                     </w:t>
      </w:r>
      <w:r>
        <w:br/>
      </w:r>
      <w:r>
        <w:rPr>
          <w:rStyle w:val="VerbatimChar"/>
        </w:rPr>
        <w:t xml:space="preserve">#&gt;  rprojroot      1.3-2      2018-01-03 [1] CRAN (R 3.6.0)                     </w:t>
      </w:r>
      <w:r>
        <w:br/>
      </w:r>
      <w:r>
        <w:rPr>
          <w:rStyle w:val="VerbatimChar"/>
        </w:rPr>
        <w:t xml:space="preserve">#&gt;  rrtools        0.1.0      2019-09-13 [1] local                              </w:t>
      </w:r>
      <w:r>
        <w:br/>
      </w:r>
      <w:r>
        <w:rPr>
          <w:rStyle w:val="VerbatimChar"/>
        </w:rPr>
        <w:t xml:space="preserve">#&gt;  rstudioapi     0.11       2020-02-07 [1] CRAN (R 3.6.0)                     </w:t>
      </w:r>
      <w:r>
        <w:br/>
      </w:r>
      <w:r>
        <w:rPr>
          <w:rStyle w:val="VerbatimChar"/>
        </w:rPr>
        <w:t xml:space="preserve">#&gt;  rvest          0.3.4      2019-05-15 [1] CRAN (R 3.6.0)                     </w:t>
      </w:r>
      <w:r>
        <w:br/>
      </w:r>
      <w:r>
        <w:rPr>
          <w:rStyle w:val="VerbatimChar"/>
        </w:rPr>
        <w:t xml:space="preserve">#&gt;  scales         1.1.0      2019-11-18 [1] CRAN (R 3.6.0)                     </w:t>
      </w:r>
      <w:r>
        <w:br/>
      </w:r>
      <w:r>
        <w:rPr>
          <w:rStyle w:val="VerbatimChar"/>
        </w:rPr>
        <w:t xml:space="preserve">#&gt;  sessioninfo    1.1.1      2018-11-05 [1] CRAN (R 3.6.0)                     </w:t>
      </w:r>
      <w:r>
        <w:br/>
      </w:r>
      <w:r>
        <w:rPr>
          <w:rStyle w:val="VerbatimChar"/>
        </w:rPr>
        <w:t xml:space="preserve">#&gt;  sf           * 0.7-7      2019-07-24 [1] CRAN (R 3.6.0)                     </w:t>
      </w:r>
      <w:r>
        <w:br/>
      </w:r>
      <w:r>
        <w:rPr>
          <w:rStyle w:val="VerbatimChar"/>
        </w:rPr>
        <w:t xml:space="preserve">#&gt;  sp             1.3-2      2019-11-07 [1] CRAN (R 3.6.0)                     </w:t>
      </w:r>
      <w:r>
        <w:br/>
      </w:r>
      <w:r>
        <w:rPr>
          <w:rStyle w:val="VerbatimChar"/>
        </w:rPr>
        <w:t xml:space="preserve">#&gt;  stringi        1.4.5      2020-01-11 [1] CRAN (R 3.6.0)                     </w:t>
      </w:r>
      <w:r>
        <w:br/>
      </w:r>
      <w:r>
        <w:rPr>
          <w:rStyle w:val="VerbatimChar"/>
        </w:rPr>
        <w:t xml:space="preserve">#&gt;  stringr      * 1.4.0      2019-02-10 [1] CRAN (R 3.6.0)                     </w:t>
      </w:r>
      <w:r>
        <w:br/>
      </w:r>
      <w:r>
        <w:rPr>
          <w:rStyle w:val="VerbatimChar"/>
        </w:rPr>
        <w:t xml:space="preserve">#&gt;  testthat       2.3.1      2019-12-01 [1] CRAN (R 3.6.0)                     </w:t>
      </w:r>
      <w:r>
        <w:br/>
      </w:r>
      <w:r>
        <w:rPr>
          <w:rStyle w:val="VerbatimChar"/>
        </w:rPr>
        <w:t xml:space="preserve">#&gt;  tibble       * 2.1.3      2019-06-06 [1] CRAN (R 3.6.0)                     </w:t>
      </w:r>
      <w:r>
        <w:br/>
      </w:r>
      <w:r>
        <w:rPr>
          <w:rStyle w:val="VerbatimChar"/>
        </w:rPr>
        <w:t xml:space="preserve">#&gt;  tidyr        * 1.0.2      2020-01-24 [1] CRAN (R 3.6.0)                     </w:t>
      </w:r>
      <w:r>
        <w:br/>
      </w:r>
      <w:r>
        <w:rPr>
          <w:rStyle w:val="VerbatimChar"/>
        </w:rPr>
        <w:t xml:space="preserve">#&gt;  tidyselect     1.0.0      2020-01-27 [1] CRAN (R 3.6.0)                     </w:t>
      </w:r>
      <w:r>
        <w:br/>
      </w:r>
      <w:r>
        <w:rPr>
          <w:rStyle w:val="VerbatimChar"/>
        </w:rPr>
        <w:t xml:space="preserve">#&gt;  tidyverse    * 1.2.1      2017-11-14 [1] CRAN (R 3.6.0)                     </w:t>
      </w:r>
      <w:r>
        <w:br/>
      </w:r>
      <w:r>
        <w:rPr>
          <w:rStyle w:val="VerbatimChar"/>
        </w:rPr>
        <w:t xml:space="preserve">#&gt;  tweenr         1.0.1      2018-12-14 [1] CRAN (R 3.6.0)                     </w:t>
      </w:r>
      <w:r>
        <w:br/>
      </w:r>
      <w:r>
        <w:rPr>
          <w:rStyle w:val="VerbatimChar"/>
        </w:rPr>
        <w:t xml:space="preserve">#&gt;  units          0.6-4      2019-08-22 [1] CRAN (R 3.6.0)                     </w:t>
      </w:r>
      <w:r>
        <w:br/>
      </w:r>
      <w:r>
        <w:rPr>
          <w:rStyle w:val="VerbatimChar"/>
        </w:rPr>
        <w:t xml:space="preserve">#&gt;  usethis        1.5.1      2019-07-04 [1] CRAN (R 3.6.0)                     </w:t>
      </w:r>
      <w:r>
        <w:br/>
      </w:r>
      <w:r>
        <w:rPr>
          <w:rStyle w:val="VerbatimChar"/>
        </w:rPr>
        <w:t xml:space="preserve">#&gt;  vctrs          0.2.2      2020-01-24 [1] CRAN (R 3.6.0)                     </w:t>
      </w:r>
      <w:r>
        <w:br/>
      </w:r>
      <w:r>
        <w:rPr>
          <w:rStyle w:val="VerbatimChar"/>
        </w:rPr>
        <w:t xml:space="preserve">#&gt;  viridis      * 0.5.1      2018-03-29 [1] CRAN (R 3.6.0)                     </w:t>
      </w:r>
      <w:r>
        <w:br/>
      </w:r>
      <w:r>
        <w:rPr>
          <w:rStyle w:val="VerbatimChar"/>
        </w:rPr>
        <w:t xml:space="preserve">#&gt;  viridisLite  * 0.3.0      2018-02-01 [1] CRAN (R 3.6.0)                     </w:t>
      </w:r>
      <w:r>
        <w:br/>
      </w:r>
      <w:r>
        <w:rPr>
          <w:rStyle w:val="VerbatimChar"/>
        </w:rPr>
        <w:t xml:space="preserve">#&gt;  withr          2.1.2      2018-03-15 [1] CRAN (R 3.6.0)                     </w:t>
      </w:r>
      <w:r>
        <w:br/>
      </w:r>
      <w:r>
        <w:rPr>
          <w:rStyle w:val="VerbatimChar"/>
        </w:rPr>
        <w:t xml:space="preserve">#&gt;  xfun           0.12       2020-01-13 [1] CRAN (R 3.6.0)                     </w:t>
      </w:r>
      <w:r>
        <w:br/>
      </w:r>
      <w:r>
        <w:rPr>
          <w:rStyle w:val="VerbatimChar"/>
        </w:rPr>
        <w:t xml:space="preserve">#&gt;  xml2           1.2.2.9000 2019-11-09 [1] Github (hadley/xml2@a0b698e)       </w:t>
      </w:r>
      <w:r>
        <w:br/>
      </w:r>
      <w:r>
        <w:rPr>
          <w:rStyle w:val="VerbatimChar"/>
        </w:rPr>
        <w:t xml:space="preserve">#&gt;  yaml           2.2.1      2020-02-01 [1] CRAN (R 3.6.0)                     </w:t>
      </w:r>
      <w:r>
        <w:br/>
      </w:r>
      <w:r>
        <w:rPr>
          <w:rStyle w:val="VerbatimChar"/>
        </w:rPr>
        <w:t xml:space="preserve">#&gt; </w:t>
      </w:r>
      <w:r>
        <w:br/>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/Users/bmarwick/Desktop/kwl.pottery</w:t>
      </w:r>
      <w:r>
        <w:br/>
      </w:r>
      <w:r>
        <w:rPr>
          <w:rStyle w:val="VerbatimChar"/>
        </w:rPr>
        <w:t xml:space="preserve">#&gt; Remote:   master @ origin (https://github.com/LiYingWang/kwl.pottery)</w:t>
      </w:r>
      <w:r>
        <w:br/>
      </w:r>
      <w:r>
        <w:rPr>
          <w:rStyle w:val="VerbatimChar"/>
        </w:rPr>
        <w:t xml:space="preserve">#&gt; Head:     [a0aa7a5] 2020-02-15: stash</w:t>
      </w:r>
    </w:p>
    <w:p>
      <w:pPr>
        <w:pStyle w:val="FirstParagraph"/>
      </w:pPr>
      <w:r>
        <w:t xml:space="preserve">Word count: 6061</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image" Id="rId38" Target="media/rId38.jpg" /><Relationship Type="http://schemas.openxmlformats.org/officeDocument/2006/relationships/image" Id="rId37" Target="media/rId37.jpg" /><Relationship Type="http://schemas.openxmlformats.org/officeDocument/2006/relationships/hyperlink" Id="rId27" Target="http://inkscape.org" TargetMode="External" /><Relationship Type="http://schemas.openxmlformats.org/officeDocument/2006/relationships/hyperlink" Id="rId91" Target="https://doi.org/10.1007/s10816-015-9272-9" TargetMode="External" /><Relationship Type="http://schemas.openxmlformats.org/officeDocument/2006/relationships/hyperlink" Id="rId30"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7" Target="http://inkscape.org" TargetMode="External" /><Relationship Type="http://schemas.openxmlformats.org/officeDocument/2006/relationships/hyperlink" Id="rId91" Target="https://doi.org/10.1007/s10816-015-9272-9" TargetMode="External" /><Relationship Type="http://schemas.openxmlformats.org/officeDocument/2006/relationships/hyperlink" Id="rId30"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2020-02-15T18:28:14Z</dcterms:created>
  <dcterms:modified xsi:type="dcterms:W3CDTF">2020-02-15T18:28:14Z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specialized pottery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an important method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We infer increasing craft specialization and changes in social organization. Our case study, which includes an openly available research compendium of R code, represents an innovative application of outline-based methods in geometric morphometry to answer the anthropological questions of craft specialization. This study implies that craft specialization can be a deliberate act of resistance to show Indigenous identity and ethnicity in a direct culture contact situation.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15 February, 2020</vt:lpwstr>
  </property>
  <property fmtid="{D5CDD505-2E9C-101B-9397-08002B2CF9AE}" pid="6" name="highlights">
    <vt:lpwstr>These are the highlights.</vt:lpwstr>
  </property>
  <property fmtid="{D5CDD505-2E9C-101B-9397-08002B2CF9AE}" pid="7" name="output">
    <vt:lpwstr/>
  </property>
</Properties>
</file>