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35.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of</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17</w:t>
      </w:r>
      <w:r>
        <w:t xml:space="preserve"> </w:t>
      </w:r>
      <w:r>
        <w:t xml:space="preserve">September,</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past</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(Pillai’s Trace =</w:t>
      </w:r>
      <w:r>
        <w:t xml:space="preserve"> </w:t>
      </w:r>
      <m:oMath>
        <m:r>
          <m:t>0.4657</m:t>
        </m:r>
      </m:oMath>
      <w:r>
        <w:t xml:space="preserve">, F =</w:t>
      </w:r>
      <w:r>
        <w:t xml:space="preserve"> </w:t>
      </w:r>
      <m:oMath>
        <m:r>
          <m:t>0.7757</m:t>
        </m:r>
      </m:oMath>
      <w:r>
        <w:t xml:space="preserve">, df =</w:t>
      </w:r>
      <w:r>
        <w:t xml:space="preserve"> </w:t>
      </w:r>
      <m:oMath>
        <m:r>
          <m:t>46</m:t>
        </m:r>
      </m:oMath>
      <w:r>
        <w:t xml:space="preserve">, p =</w:t>
      </w:r>
      <w:r>
        <w:t xml:space="preserve"> </w:t>
      </w:r>
      <m:oMath>
        <m:r>
          <m:t>0.716</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0.0616</w:t>
            </w:r>
          </w:p>
        </w:tc>
        <w:tc>
          <w:p>
            <w:pPr>
              <w:pStyle w:val="Compact"/>
              <w:jc w:val="right"/>
            </w:pPr>
            <w:r>
              <w:t xml:space="preserve">0.8040</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7.8194</w:t>
            </w:r>
          </w:p>
        </w:tc>
        <w:tc>
          <w:p>
            <w:pPr>
              <w:pStyle w:val="Compact"/>
              <w:jc w:val="right"/>
            </w:pPr>
            <w:r>
              <w:t xml:space="preserve">0.0052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6.4836</w:t>
            </w:r>
          </w:p>
        </w:tc>
        <w:tc>
          <w:p>
            <w:pPr>
              <w:pStyle w:val="Compact"/>
              <w:jc w:val="right"/>
            </w:pPr>
            <w:r>
              <w:t xml:space="preserve">0.0109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-0.0223</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-0.0294</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0.0076</w:t>
            </w:r>
          </w:p>
        </w:tc>
        <w:tc>
          <w:p>
            <w:pPr>
              <w:pStyle w:val="Compact"/>
              <w:jc w:val="right"/>
            </w:pPr>
            <w:r>
              <w:t xml:space="preserve">0.9306</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plot-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8.595</m:t>
        </m:r>
        <m:r>
          <m:t>×</m:t>
        </m:r>
        <m:sSup>
          <m:e>
            <m:r>
              <m:t>10</m:t>
            </m:r>
          </m:e>
          <m:sup>
            <m:r>
              <m:t>−</m:t>
            </m:r>
            <m:r>
              <m:t>21</m:t>
            </m:r>
          </m:sup>
        </m:sSup>
      </m:oMath>
      <w:r>
        <w:t xml:space="preserve">) or post-European periods (p=</w:t>
      </w:r>
      <w:r>
        <w:t xml:space="preserve"> </w:t>
      </w:r>
      <m:oMath>
        <m:r>
          <m:t>1.139</m:t>
        </m:r>
        <m:r>
          <m:t>×</m:t>
        </m:r>
        <m:sSup>
          <m:e>
            <m:r>
              <m:t>10</m:t>
            </m:r>
          </m:e>
          <m:sup>
            <m:r>
              <m:t>−</m:t>
            </m:r>
            <m:r>
              <m:t>24</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sizes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(Figure</w:t>
      </w:r>
      <w:r>
        <w:t xml:space="preserve"> </w:t>
      </w:r>
      <w:r>
        <w:t xml:space="preserve">8</w:t>
      </w:r>
      <w:r>
        <w:t xml:space="preserve">)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8</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 </w:t>
      </w:r>
      <w:r>
        <w:t xml:space="preserve">(Figure</w:t>
      </w:r>
      <w:r>
        <w:t xml:space="preserve"> </w:t>
      </w:r>
      <w:r>
        <w:t xml:space="preserve">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Wen-Shan Chen in the Department of Geosciences, National Taiwan University for his invaluable guidance of petrographic analysis at his lab. We thank the Quaternary Research Center funding for supporting the organic residue analysis in this project. We thank Julian Sachs in the Department of Oceanography, University of Washington for his supports and suggestions for conducting organic geochemistry analysis of potsherds. We thank Matthew Wolhowe for his help in developing protocols for lipid extraction and his assistance with the GC-MS, GC-FID, and GC-C-IRMS analyses. This research used statistical consulting resources provided by the Center for Statistics and the Social Sciences, University of Washington. We also thank Ben Fitzhugh, Peter Lape, Robert Z. Selden Jr. and the anonymous reviewers for their insightful comments that have greatly improved this manuscript.</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"Standardization of ceramic shape: A case study of Iron Age pottery from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2020-09-17 23:50:21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America/Anchorage           </w:t>
      </w:r>
      <w:r>
        <w:br/>
      </w:r>
      <w:r>
        <w:rPr>
          <w:rStyle w:val="VerbatimChar"/>
        </w:rPr>
        <w:t xml:space="preserve">#&gt;  date     2020-09-17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5.4-1      2020-08-13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2.3.1      2020-07-21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7.3-52     2020-08-18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1.8-32     2020-08-19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1.3.4      2020-08-11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0.9-5      2020-07-14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1.1.1      2020-07-31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[9cca73a] 2020-09-13: update inline code for stats</w:t>
      </w:r>
    </w:p>
    <w:p>
      <w:pPr>
        <w:pStyle w:val="FirstParagraph"/>
      </w:pPr>
      <w:r>
        <w:t xml:space="preserve">Word count: 6275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35" Target="media/rId35.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of Iron Age pottery from northeastern Taiwan</dc:title>
  <dc:creator>Li-Ying Wang; Ben Marwick</dc:creator>
  <cp:keywords/>
  <dcterms:created xsi:type="dcterms:W3CDTF">2020-09-18T07:50:34Z</dcterms:created>
  <dcterms:modified xsi:type="dcterms:W3CDTF">2020-09-18T07:50:34Z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past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17 September,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