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9318A" w:rsidRDefault="00877FD8">
      <w:pPr>
        <w:pStyle w:val="Title"/>
      </w:pPr>
      <w:r>
        <w:t>Standardization of ceramic shape: A case study from the Iron Age pottery from northeastern Taiwan</w:t>
      </w:r>
    </w:p>
    <w:p w:rsidR="00E9318A" w:rsidRDefault="00877FD8">
      <w:pPr>
        <w:pStyle w:val="Author"/>
      </w:pPr>
      <w:r>
        <w:t>Li-Ying Wang</w:t>
      </w:r>
    </w:p>
    <w:p w:rsidR="00E9318A" w:rsidRDefault="00877FD8">
      <w:pPr>
        <w:pStyle w:val="Author"/>
      </w:pPr>
      <w:r>
        <w:t>Ben Marwick</w:t>
      </w:r>
    </w:p>
    <w:p w:rsidR="00E9318A" w:rsidRDefault="00877FD8">
      <w:pPr>
        <w:pStyle w:val="Date"/>
      </w:pPr>
      <w:r>
        <w:t>2</w:t>
      </w:r>
      <w:r w:rsidR="00AD02AC">
        <w:t>6</w:t>
      </w:r>
      <w:r>
        <w:t xml:space="preserve"> </w:t>
      </w:r>
      <w:proofErr w:type="gramStart"/>
      <w:r>
        <w:t>August,</w:t>
      </w:r>
      <w:proofErr w:type="gramEnd"/>
      <w:r>
        <w:t xml:space="preserve"> 2020</w:t>
      </w:r>
    </w:p>
    <w:p w:rsidR="00E9318A" w:rsidRDefault="00877FD8">
      <w:pPr>
        <w:pStyle w:val="Abstract"/>
      </w:pPr>
      <w:r>
        <w:t xml:space="preserve">The emergence of ceramic specialization in prehistoric societies is often linked to shifts in the </w:t>
      </w:r>
      <w:r>
        <w:t>complexity of social structures, because standardized ceramic production can reflect craft specialization and the presence of elite control. Previous work on identifying specialization relies on typological or linear metric analysis. Here we demonstrate ho</w:t>
      </w:r>
      <w:r>
        <w:t>w to investigate ceramic standardization by analyzing outlines of ceramic vessels. Outline analysis is useful because, unlike more commonly-used landmark analysis methods, it can effectively quantify shape differences for objects that lack distinctive meas</w:t>
      </w:r>
      <w:r>
        <w:t>urement points needed for landmark analysis. We demonstrate this method using pottery from Kiwulan, a large multi-component Iron Age site (AD 1350-1850) in northeastern Taiwan. To measure ceramic specialization, we quantified pottery standardization by ana</w:t>
      </w:r>
      <w:r>
        <w:t>lyzing shape variables with reproducible geometric morphometric methods. We computed coefficients of variation (CVs) for shape coefficients obtained by elliptical Fourier analysis to test for shape standardization. We found significant differences in potte</w:t>
      </w:r>
      <w:r>
        <w:t>ry shape and shape standardization that indicate changes in pottery production resulting from contact with mainland Han Chinese groups in northeastern Taiwan. Our case study, which includes an openly available research compendium of R code, represents an i</w:t>
      </w:r>
      <w:r>
        <w:t>nnovative application of outline-based methods in geometric morphometry to answer the anthropological questions of craft specialization.</w:t>
      </w:r>
    </w:p>
    <w:p w:rsidR="00E9318A" w:rsidRDefault="00877FD8">
      <w:pPr>
        <w:pStyle w:val="Heading1"/>
      </w:pPr>
      <w:bookmarkStart w:id="0" w:name="introduction"/>
      <w:r>
        <w:t>Introduction</w:t>
      </w:r>
      <w:bookmarkEnd w:id="0"/>
    </w:p>
    <w:p w:rsidR="00E9318A" w:rsidRDefault="00877FD8">
      <w:pPr>
        <w:pStyle w:val="FirstParagraph"/>
      </w:pPr>
      <w:r>
        <w:t>A major historical factor of social change in small-scale societies is often linked to the introduction of</w:t>
      </w:r>
      <w:r>
        <w:t xml:space="preserve"> foreign or exotic trade goods to local Indigenous societies (Mullins, 2011). Monopolization of long-distance trade goods has caused substantial transformations in Indigenous economic, cultural, and socio-political systems (Dietler, 2005, 1997; Junker, 199</w:t>
      </w:r>
      <w:r>
        <w:t>3; Silliman, 2005). Pericolonial archaeology is the study of these indirect effects of colonialism, investigating areas where direct European colonial rule was limited, their conquests were often short-lived and unsuccessful, but commercial activities yiel</w:t>
      </w:r>
      <w:r>
        <w:t>ded economic and political impacts on Indigenous peoples living on the periphery of colonial control (Acabado, 2017; Trabert, 2017). Pericolonial situations were common during the 17th to 19th centuries in East and Southeast Asia where European trading act</w:t>
      </w:r>
      <w:r>
        <w:t>ivity was extensive, but direct European rule less widespread. An emerging priority in archaeological research in Asia is identifying the indirect influences that are apparent on Indigenous communities during the colonial period. For example, Acabado (2017</w:t>
      </w:r>
      <w:r>
        <w:t>)’s study of Ifugao society in the Philippines highland suggests economic and political intensification during the Spanish presence in the lowlands as a strategy of Indigenous peoples to resist Spanish conquests.</w:t>
      </w:r>
    </w:p>
    <w:p w:rsidR="00E9318A" w:rsidRDefault="00877FD8">
      <w:pPr>
        <w:pStyle w:val="BodyText"/>
      </w:pPr>
      <w:r>
        <w:t>Indigenous societies’ responses to colonial</w:t>
      </w:r>
      <w:r>
        <w:t xml:space="preserve"> contact ranges from passive acceptance to active negotiation with the colonists, and accommodation or resistance of foreign intrusion </w:t>
      </w:r>
      <w:r>
        <w:lastRenderedPageBreak/>
        <w:t>(Torrence and A. Clarke, 2000a). The responses can be identified through their daily cultural practices, such as their co</w:t>
      </w:r>
      <w:r>
        <w:t>nsumption patterns of foreign goods (Dietler, 2015; Given, 2004; Mullins, 2011; Scaramelli and Scaramelli, 2005; Silliman, 2001). In this paper we investigate the archaeology of a pericolonial situation at Kiwulan (ca. AD 1350-1850) (Chen, 2007), a large m</w:t>
      </w:r>
      <w:r>
        <w:t>ulti-component archaeological site in Yilan County, northeastern Taiwan, to identify the indirect impacts of colonial settler activity on local Indigenous societies. Yilan is an ideal context to study peripheral colonial influences because the Indigenous c</w:t>
      </w:r>
      <w:r>
        <w:t>ommunities were isolated by geographical barriers, limiting the frequency of direct contact with the Spanish and the Dutch settlers in northern Taiwan (cf. Berrocal et al., 2020). Kiwulan is situated on a hill near a riverside at the northern margin of Yil</w:t>
      </w:r>
      <w:r>
        <w:t>an County, which is characterized by a triangular alluvial plain facing east toward the Pacific with high mountains on three other sides.</w:t>
      </w:r>
    </w:p>
    <w:p w:rsidR="00E9318A" w:rsidRDefault="00877FD8">
      <w:pPr>
        <w:pStyle w:val="BodyText"/>
      </w:pPr>
      <w:r>
        <w:t>This research investigates if there was increasing ceramic specialization resulting from Indigenous interaction with E</w:t>
      </w:r>
      <w:r>
        <w:t>uropeans in the 17th century, or Chinese in the 19th century. These were the two major foreign influences in early historical Taiwan that may relate to social changes in Indigenous societies. We predict that competition within the Indigenous community at K</w:t>
      </w:r>
      <w:r>
        <w:t>iwulan for foreign resources and trade partnerships with European or Chinese colonizers may have led to the emergence of craft specialization, caused by greater economic and social control of ceramic production by a small group of individuals. Using standa</w:t>
      </w:r>
      <w:r>
        <w:t>rdization in ceramic shapes as a proxy for craft specialization, we ask: Did colonial trade impact the shape of locally-produced Indigenous pottery vessels? Did pottery shape become more homogeneous after foreign contacts with European colonizers or Chines</w:t>
      </w:r>
      <w:r>
        <w:t>e immigrants?</w:t>
      </w:r>
    </w:p>
    <w:p w:rsidR="00E9318A" w:rsidRDefault="00877FD8">
      <w:pPr>
        <w:pStyle w:val="BodyText"/>
      </w:pPr>
      <w:r>
        <w:t>Several measurements have been used for investigating ceramic standardization that include metric, compositional, and technological variables (Arnold, 2000; Blackman et al., 1993; Boness et al., 2015; Costin, 1991; Rice, 1991; Roux, 2015; Tit</w:t>
      </w:r>
      <w:r>
        <w:t>e, 1999). Among those variables, metric measurements are most widely applied to archaeological assemblages. The coefficient of variation (CV) statistic is regularly used to quantify the degree of standardization in ceramic assemblages (Eerkens and Bettinge</w:t>
      </w:r>
      <w:r>
        <w:t>r, 2001; Junker, 1999; Roux, 2003; Stark, 1995). However, because pottery vessels typically have curved shapes, linear measurements have limited sensitivity to many kinds of shape variations. Thus, to capture subtle shape variations that might also be rele</w:t>
      </w:r>
      <w:r>
        <w:t>vant to standardization, we analyze ceramic shapes using geometric morphometric methods (GMM).</w:t>
      </w:r>
    </w:p>
    <w:p w:rsidR="00E9318A" w:rsidRDefault="00877FD8">
      <w:pPr>
        <w:pStyle w:val="Heading2"/>
      </w:pPr>
      <w:bookmarkStart w:id="1" w:name="geometric-morphometrics"/>
      <w:r>
        <w:t>Geometric Morphometrics</w:t>
      </w:r>
      <w:bookmarkEnd w:id="1"/>
    </w:p>
    <w:p w:rsidR="00E9318A" w:rsidRDefault="00877FD8">
      <w:pPr>
        <w:pStyle w:val="FirstParagraph"/>
      </w:pPr>
      <w:r>
        <w:t>Geometric morphometrics (GMM) differs from traditional linear measurements through its use of Cartesian coordinates of morphological stru</w:t>
      </w:r>
      <w:r>
        <w:t>ctures to quantify and analyze shape (Adams et al., 2004; Bookstein, 1997; Lawing and Polly, 2010; Slice, 2007). Landmarks, curves or outlines of objects can be represented by coordinates in terms of their unique point locations with respect to numerical v</w:t>
      </w:r>
      <w:r>
        <w:t>alues on coordinate axes. There are two common morphometric approaches: landmark and outline methods (Adams et al., 2004). Landmark GMM approaches assign a set of landmarks and/or semilandmarks onto objects as reference points. Generalized Procrustes analy</w:t>
      </w:r>
      <w:r>
        <w:t xml:space="preserve">sis (GPA) is used to superimpose landmark data on a common coordinate system by translating, rotating, and scaling </w:t>
      </w:r>
      <w:r>
        <w:lastRenderedPageBreak/>
        <w:t xml:space="preserve">(Bookstein, 1991). After the GPA procedure, superimposed landmark coordinates become shape variables that allow further statistical analyses </w:t>
      </w:r>
      <w:r>
        <w:t>(Slice, 2007). A common procedure is using dimensional reduction techniques, such as Principal Components Analysis or Canonical Variate Analysis, to capture the key features that represent the overall shape. Visualization of the reduced data enables the id</w:t>
      </w:r>
      <w:r>
        <w:t>entification of groups, followed by statistical tests to robustly distinguish them. Landmark-based morphometrics have been widely applied to archaeological objects with obvious morphological features that provide unambiguous reference points for landmark p</w:t>
      </w:r>
      <w:r>
        <w:t>lacement, such as tips and edges of stone or metal tools (Birch and Martinón-Torres, 2019; Lycett and Cramon-Taubadel, 2013), visually distinctive bone features (Haruda et al., 2019; Meloro et al., 2015), or ceramic assemblages with distinct components (Se</w:t>
      </w:r>
      <w:r>
        <w:t>lden Jr, 2019; Topi et al., 2017). This approach is often used to answer research questions related to lithic typological and technological change (Doyon, 2019; Eren et al., 2015; Perez, 2007; Presnyakova et al., 2018; Selden et al., 2018), animal domestic</w:t>
      </w:r>
      <w:r>
        <w:t>ation or mobility (Haruda et al., 2019; Owen et al., 2014), or hominid activities through cutmarks and taphonomic traces (Aramendi et al., 2019; Courtenay et al., 2019).</w:t>
      </w:r>
    </w:p>
    <w:p w:rsidR="00E9318A" w:rsidRDefault="00877FD8">
      <w:pPr>
        <w:pStyle w:val="BodyText"/>
      </w:pPr>
      <w:r>
        <w:t>Key questions in archaeological shape analysis normally involve measuring shape standa</w:t>
      </w:r>
      <w:r>
        <w:t>rdization over time, or between geographical areas. Standardization is often investigated using multivariate analysis of shape variables computed from landmark data, along with coefficients of variation on associated metric data, especially for lithic asse</w:t>
      </w:r>
      <w:r>
        <w:t>mblages. For example, Archer et al. (2015)’s case study of stone points in Southern Africa suggests an increase in shape standardization over time that may relate to increased maintenance of finished points. Buchanan et al. (2018) analyzed lithic morpholog</w:t>
      </w:r>
      <w:r>
        <w:t>y with metric data and identified a more uniform base-shape of Folsom points compared to Clovis points across the western US. With similar methods, Smith and DeWitt (2016) found standardized bases of fluted points in Alaska and northern Yukon that might in</w:t>
      </w:r>
      <w:r>
        <w:t>dicate a risk management strategy to ensure the ease of replacement during long-distance travel. Other factors, such as low levels of cultural innovation in a small group, could also lead to an increase in standardization of point shapes (Okumura and Arauj</w:t>
      </w:r>
      <w:r>
        <w:t xml:space="preserve">o, 2014). To test the effectiveness of measuring standardization, Birch and Martinón-Torres (2019) compared landmark-based GMM to traditional metric analysis with CVs using European iron weapons as an example. They demonstrated that landmark-based GMM can </w:t>
      </w:r>
      <w:r>
        <w:t>capture more variation in not only overall shape, but also bilateral symmetry.</w:t>
      </w:r>
    </w:p>
    <w:p w:rsidR="00E9318A" w:rsidRDefault="00877FD8">
      <w:pPr>
        <w:pStyle w:val="BodyText"/>
      </w:pPr>
      <w:r>
        <w:t>For ceramics, Topi et al. (2017) identified that two types of the Casas Grandes vessels in northwest Mexico tend to have standardized shapes, using coefficients of variation for</w:t>
      </w:r>
      <w:r>
        <w:t xml:space="preserve"> the positions of semi-landmarks across shape groups. They suggested standardization might hint at the presence of specialized producers, reflecting social complexity. Another way to explore standardization is pairwise testing of variations in morphologica</w:t>
      </w:r>
      <w:r>
        <w:t>l disparity between shape groups by calculating their distances in morphospace, an n-dimensional space that shape groups occupy (Wills, 2001). In this manner, Seldon (2019, 2018) examined Caddo ceramics in northeast Texas using semi-landmark approaches and</w:t>
      </w:r>
      <w:r>
        <w:t xml:space="preserve"> found an increase in shape standardization over time, providing a basis for further discussion of craft specialization or group identity. Similarly, the Gahagan bifaces from the central Texas exhibit less size standardization than those from the southern </w:t>
      </w:r>
      <w:r>
        <w:t xml:space="preserve">Caddo area, indicating </w:t>
      </w:r>
      <w:r>
        <w:lastRenderedPageBreak/>
        <w:t>different uses or tool types (Selden Jr et al., 2020). Other applications, such as studies of cranial deformation, demonstrate that landmark approaches with multivariate analyses of shape variances are useful to evaluate shape standa</w:t>
      </w:r>
      <w:r>
        <w:t>rdization (Kuzminsky et al., 2016; Natahi et al., 2019; Perez, 2007).</w:t>
      </w:r>
    </w:p>
    <w:p w:rsidR="00E9318A" w:rsidRDefault="00877FD8">
      <w:pPr>
        <w:pStyle w:val="BodyText"/>
      </w:pPr>
      <w:r>
        <w:t>A key limitation of landmark approaches in archaeology is that landmarks may be difficult to reproducibly locate for structures that are mostly or entirely curves, if not mathematically-</w:t>
      </w:r>
      <w:r>
        <w:t>defined. In those cases, outline approaches, such as Elliptic Fourier Analysis (EFA), are more effective for assessing morphological variations in the whole structure of two-dimensional closed shapes (Cardillo, 2010). EFA uses periodic functions to capture</w:t>
      </w:r>
      <w:r>
        <w:t xml:space="preserve"> geometric information, where an outline is decomposed into a series of ellipses described by trigonometric functions (Adams et al., 2004; Bonhomme et al., 2014; Claude, 2008). That is, coordinates along a curve are converted into Fourier function coeffici</w:t>
      </w:r>
      <w:r>
        <w:t>ents, called harmonic coefficients or harmonics (Kuhl and Giardina, 1982). The number of harmonics determines the quality and precision of the geometric representation of an object. The harmonic power, a cumulative sum of squared harmonic coefficients, pro</w:t>
      </w:r>
      <w:r>
        <w:t>vides a robust rule for determining the desired number of harmonics (Bonhomme et al., 2014). The first systematic use of Fourier series to analyze shapes of artifacts in archaeology was Gero and Mazzullo (1984)’s study of lithic flakes in Peru. They succes</w:t>
      </w:r>
      <w:r>
        <w:t>sfully identified the changes in tool shape from a more angular to rounded shape over time. Later, Saragusti et al. (2005) introduced more functions allowing the calculation of the specific shape attributes, such as symmetry, roughness, and deformation. Th</w:t>
      </w:r>
      <w:r>
        <w:t>is demonstrated the potential of EFA for the analysis of curves in detail. Ioviţă (2009) demonstrated a protocol, including outline digitization, EFA procedure, and multivariate linear regression, to compare resharpening trajectories of European Middle Pal</w:t>
      </w:r>
      <w:r>
        <w:t>eolithic stone tools. He found that resharpening can be independent of morphology, suggesting that functional attributes should be studied separately. Recent case studies further support the effectiveness of EFA for examining lithic assemblages, e.g. for t</w:t>
      </w:r>
      <w:r>
        <w:t>ypological classification of Late Woodland points (Fox, 2015), analysis of the function of flaked obsidian tools in Easter Island (Lipo et al., 2016), study of the shape and symmetry standardization of the British Acheulean (Hoggard et al., 2019), and inve</w:t>
      </w:r>
      <w:r>
        <w:t>stigating cultural taxonomies of the European Late Palaeolithic (Ivanovaitė et al., 2020).</w:t>
      </w:r>
    </w:p>
    <w:p w:rsidR="00E9318A" w:rsidRDefault="00877FD8">
      <w:pPr>
        <w:pStyle w:val="BodyText"/>
      </w:pPr>
      <w:r>
        <w:t>Despite few ceramic studies using EFA to date, this approach is promising for analyzing ceramic taxonomy and standardization. For example, Wilczek et al. (2014) eval</w:t>
      </w:r>
      <w:r>
        <w:t>uated the concordance between EFA and Discrete Cosine Transform (DCT), and a traditional typology by studying 154 complete ceramic vessels with varied shapes from the Bibracte oppidum in France. They found that the variation indicated by EFA and DCT matche</w:t>
      </w:r>
      <w:r>
        <w:t>s the traditional ceramic typology, which supports the claim that outline-based approaches can be efficiently used for studying variations in ceramic shapes. Wilczek et al. (2014)’s findings demonstrate the potential of EFA for detecting variation in ceram</w:t>
      </w:r>
      <w:r>
        <w:t>ic standardization. In this paper we use EFA to evaluate the level of standardization of ceramics data from Kiwulan, northeastern Taiwan around the time of foreign colonial presence to gain insight into the emergence of ceramic specialization. The globular</w:t>
      </w:r>
      <w:r>
        <w:t xml:space="preserve"> shape of the vessels in our sample means that our specimens lacks visually distinctive landmarks, so EFA is an ideal method because of its focus on the overall shape of an artifact. In addition, we use a novel </w:t>
      </w:r>
      <w:r>
        <w:lastRenderedPageBreak/>
        <w:t>significance test for the equality of coeffic</w:t>
      </w:r>
      <w:r>
        <w:t>ients of variation of shape variables to statistically compare vessel standardization from different periods.</w:t>
      </w:r>
    </w:p>
    <w:p w:rsidR="00E9318A" w:rsidRDefault="00877FD8">
      <w:pPr>
        <w:pStyle w:val="Heading1"/>
      </w:pPr>
      <w:bookmarkStart w:id="2" w:name="archaeological-background-and-materials"/>
      <w:r>
        <w:t>Archaeological background and materials</w:t>
      </w:r>
      <w:bookmarkEnd w:id="2"/>
    </w:p>
    <w:p w:rsidR="00E9318A" w:rsidRDefault="00877FD8">
      <w:pPr>
        <w:pStyle w:val="FirstParagraph"/>
      </w:pPr>
      <w:r>
        <w:t>Ceramics analyzed in this study come from 40 units (4m by 4m each) sampled from the central, undisturbed a</w:t>
      </w:r>
      <w:r>
        <w:t>rea of archaeological excavations at Kiwulan (Figure 1; Figure 2). The chronology of the archaeological deposits consists of two cultural components, the upper and the lower, with a sterile layer in between (Chen, 2007). We focus on the upper component, da</w:t>
      </w:r>
      <w:r>
        <w:t xml:space="preserve">ted from AD 1350 to 1850, because it spans the late Iron Age and the historical period. The historical period in Taiwan started with the presence of the Europeans in the early 17th century. The Dutch first occupied southern Taiwan in 1624, followed by the </w:t>
      </w:r>
      <w:r>
        <w:t>Spanish in northern Taiwan in 1626 (Andrade, 2007). In 1642, the Spanish were expelled by the Dutch, who then took over the Spanish forts at Helping Dau in Keelung, and in Tamsui. Western Taiwan remained under Dutch colonial rule until 1662 when the Kingdo</w:t>
      </w:r>
      <w:r>
        <w:t>m of Tungning in Taiwan was founded by Koxinga, a loyalist of the Ming dynasty of China (Andrade, 2007).</w:t>
      </w:r>
    </w:p>
    <w:p w:rsidR="00E9318A" w:rsidRDefault="00877FD8">
      <w:r>
        <w:rPr>
          <w:noProof/>
        </w:rPr>
        <w:drawing>
          <wp:inline distT="0" distB="0" distL="0" distR="0">
            <wp:extent cx="5943600" cy="2639942"/>
            <wp:effectExtent l="0" t="0" r="0" b="0"/>
            <wp:docPr id="1" name="Picture" descr="Figure 1: Map illustrating the location of Kiwulan, and other locations in northern Taiwan that are named in the text. Map data is from naturalearthdata.com"/>
            <wp:cNvGraphicFramePr/>
            <a:graphic xmlns:a="http://schemas.openxmlformats.org/drawingml/2006/main">
              <a:graphicData uri="http://schemas.openxmlformats.org/drawingml/2006/picture">
                <pic:pic xmlns:pic="http://schemas.openxmlformats.org/drawingml/2006/picture">
                  <pic:nvPicPr>
                    <pic:cNvPr id="0" name="Picture" descr="/Users/EmilyWang/Desktop/School%20document/LW-Papers/kwl-pottery-2019/analysis/figures/kiwulan-location-map.jpg"/>
                    <pic:cNvPicPr>
                      <a:picLocks noChangeAspect="1" noChangeArrowheads="1"/>
                    </pic:cNvPicPr>
                  </pic:nvPicPr>
                  <pic:blipFill>
                    <a:blip r:embed="rId7"/>
                    <a:stretch>
                      <a:fillRect/>
                    </a:stretch>
                  </pic:blipFill>
                  <pic:spPr bwMode="auto">
                    <a:xfrm>
                      <a:off x="0" y="0"/>
                      <a:ext cx="5943600" cy="2639942"/>
                    </a:xfrm>
                    <a:prstGeom prst="rect">
                      <a:avLst/>
                    </a:prstGeom>
                    <a:noFill/>
                    <a:ln w="9525">
                      <a:noFill/>
                      <a:headEnd/>
                      <a:tailEnd/>
                    </a:ln>
                  </pic:spPr>
                </pic:pic>
              </a:graphicData>
            </a:graphic>
          </wp:inline>
        </w:drawing>
      </w:r>
    </w:p>
    <w:p w:rsidR="00E9318A" w:rsidRDefault="00877FD8">
      <w:pPr>
        <w:pStyle w:val="ImageCaption"/>
      </w:pPr>
      <w:r>
        <w:t>Figure 1: Map illustrating the location of Kiwulan, and other locations in northern Taiwan that are named in the text. Map data is from naturalearthd</w:t>
      </w:r>
      <w:r>
        <w:t>ata.com</w:t>
      </w:r>
    </w:p>
    <w:p w:rsidR="00E9318A" w:rsidRDefault="00877FD8">
      <w:r>
        <w:rPr>
          <w:noProof/>
        </w:rPr>
        <w:lastRenderedPageBreak/>
        <w:drawing>
          <wp:inline distT="0" distB="0" distL="0" distR="0">
            <wp:extent cx="5943600" cy="4470750"/>
            <wp:effectExtent l="0" t="0" r="0" b="0"/>
            <wp:docPr id="2" name="Picture" descr="Figure 2: Map showing the largest section of excavation areas at Kiwulan, and the distribution of forty squares sampled in this paper presented in red with square ID number. Small dots represent the location of post-holes. Each square is 4 x 4 m"/>
            <wp:cNvGraphicFramePr/>
            <a:graphic xmlns:a="http://schemas.openxmlformats.org/drawingml/2006/main">
              <a:graphicData uri="http://schemas.openxmlformats.org/drawingml/2006/picture">
                <pic:pic xmlns:pic="http://schemas.openxmlformats.org/drawingml/2006/picture">
                  <pic:nvPicPr>
                    <pic:cNvPr id="0" name="Picture" descr="/Users/EmilyWang/Desktop/School%20document/LW-Papers/kwl-pottery-2019/analysis/figures/KWL-excavation-map.jpg"/>
                    <pic:cNvPicPr>
                      <a:picLocks noChangeAspect="1" noChangeArrowheads="1"/>
                    </pic:cNvPicPr>
                  </pic:nvPicPr>
                  <pic:blipFill>
                    <a:blip r:embed="rId8"/>
                    <a:stretch>
                      <a:fillRect/>
                    </a:stretch>
                  </pic:blipFill>
                  <pic:spPr bwMode="auto">
                    <a:xfrm>
                      <a:off x="0" y="0"/>
                      <a:ext cx="5943600" cy="4470750"/>
                    </a:xfrm>
                    <a:prstGeom prst="rect">
                      <a:avLst/>
                    </a:prstGeom>
                    <a:noFill/>
                    <a:ln w="9525">
                      <a:noFill/>
                      <a:headEnd/>
                      <a:tailEnd/>
                    </a:ln>
                  </pic:spPr>
                </pic:pic>
              </a:graphicData>
            </a:graphic>
          </wp:inline>
        </w:drawing>
      </w:r>
    </w:p>
    <w:p w:rsidR="00E9318A" w:rsidRDefault="00877FD8">
      <w:pPr>
        <w:pStyle w:val="ImageCaption"/>
      </w:pPr>
      <w:r>
        <w:t>Figure 2: Map showing the largest section of excavation areas at Kiwulan, and the distribution of forty squares sampled in this paper presented in red with square ID number. Small dots represent the location of post-holes. Each square is 4 x 4 m</w:t>
      </w:r>
    </w:p>
    <w:p w:rsidR="00E9318A" w:rsidRDefault="00877FD8">
      <w:pPr>
        <w:pStyle w:val="BodyText"/>
      </w:pPr>
      <w:r>
        <w:t>The archaeological record of Kiwulan’s upper component shows traces of foreign contact, including Europeans in the 17th century, and waves of Chinese immigrants in the 19th century. Imported ceramics from mainland China, stoneware, and ornaments such as be</w:t>
      </w:r>
      <w:r>
        <w:t xml:space="preserve">ads have been recovered in the upper component, indicating frequent long-distance trade activities with Europeans and Chinese merchants. Archaeological features such as burials, middens, and post-holes with </w:t>
      </w:r>
      <w:r>
        <w:rPr>
          <w:i/>
        </w:rPr>
        <w:t>in-situ</w:t>
      </w:r>
      <w:r>
        <w:t xml:space="preserve"> posts are widespread across the 1-2 m thi</w:t>
      </w:r>
      <w:r>
        <w:t>ck deposit of the upper component, and demonstrate that Kiwulan was a continuously occupied large settlement site (Chen, 2007). To compare different foreign influences, we classified the upper component into three chronological phases: pre-European, Europe</w:t>
      </w:r>
      <w:r>
        <w:t>an, and Chinese. These phases were identified according to chronologically diagnostic artifacts. Our Bayesian modeling of 11 ages related to the upper component from Chen (2007) shows a consistent result with our artifact-based chronology. However, because</w:t>
      </w:r>
      <w:r>
        <w:t xml:space="preserve"> the three phases are relatively brief and the number of ages is small, radiocarbon modeling is of limited value to chronology building in this case (more details in Wang and Marwick, 2020). The diagnostic artifacts include blue and white porcelains, light</w:t>
      </w:r>
      <w:r>
        <w:t xml:space="preserve"> grey glazed jars, and large dark brown glazed stoneware jars commonly used in the 17th century, and bricks and tiles </w:t>
      </w:r>
      <w:r>
        <w:lastRenderedPageBreak/>
        <w:t>employed by the Chinese in the 19th century (Chen, 2007; Hsieh, 2009; Wang, 2011). We also examined excavation depth measurements and stra</w:t>
      </w:r>
      <w:r>
        <w:t>tigraphic details reported by the excavators (color, texture, disturbance, etc.) to reliably separate the three phases. The deposit exhibited signs of continuous human occupation in each of the three phases with no apparent breaks. More details for the ass</w:t>
      </w:r>
      <w:r>
        <w:t>ignment of different phases are in the Online Supplementary Materials (Wang and Marwick, 2020).</w:t>
      </w:r>
    </w:p>
    <w:p w:rsidR="00E9318A" w:rsidRDefault="00877FD8">
      <w:pPr>
        <w:pStyle w:val="BodyText"/>
      </w:pPr>
      <w:r>
        <w:t>The most abundant artifacts in the upper component are locally manufactured ceramics, which are distributed throughout the temporal sequence, and across the stu</w:t>
      </w:r>
      <w:r>
        <w:t>dy area. More than 550,000 sherds were recovered, and around 1,200 vessels could be completely or partially reconstructed (i.e. complete rim or base). There are two shapes of locally-manufactured vessels; a cooking pot and a steamer made of two cooking pot</w:t>
      </w:r>
      <w:r>
        <w:t>s stacked together with a clay filter between. Those vessel shapes demonstrate suites of standard morphological components. Each has a globular body with a short neck and wide mouth (Figure 3). The exterior surface below the neck is decorated with a variet</w:t>
      </w:r>
      <w:r>
        <w:t xml:space="preserve">y of impressed geometric motifs. These vessels were likely used for cooking, as indicated by the frequent presence of charred residues and carbon deposits on vessel interiors, and soot on vessel exteriors. Firing resulted in orange and brownish color with </w:t>
      </w:r>
      <w:r>
        <w:t>a fully oxidized core, or a reduced core with oxidized fringes (Chen, 2007). The vessels were believed to be made with pinching technique according to some hand-shaped traces on vessel interiors, such as finger impressions and seams. This kind of vessel ha</w:t>
      </w:r>
      <w:r>
        <w:t>s been widely found at archaeological sites during the late Iron Age and the historical period throughout the Yilan Plain (National Musuem of Taiwan History, 2005).</w:t>
      </w:r>
    </w:p>
    <w:p w:rsidR="00E9318A" w:rsidRDefault="00877FD8">
      <w:pPr>
        <w:pStyle w:val="BodyText"/>
      </w:pPr>
      <w:r>
        <w:t>Petrographic analysis for 34 thin sections presents a high percentage of inclusions (15-50%</w:t>
      </w:r>
      <w:r>
        <w:t>), including argillite (15-40%), metasandstone (1-10%), sandstone fragments (1-6%), quartz (1-5%), and trace amounts of feldspar and slate. Particle sizes range from 500 to 1300 microns. In general, the vessel fabric presents a mixture of fine, rounded arg</w:t>
      </w:r>
      <w:r>
        <w:t>illite with a small amount of rounded metasandstone and rounded sub-angular monocrystalline quartz. This composition is consistent with the mineralogical composition of local raw materials found in the Yilan Plain (Chen, 2016). There are no significant cha</w:t>
      </w:r>
      <w:r>
        <w:t xml:space="preserve">nges in the inclusions over time, indicating continuity in pottery fabric composition across the three periods (p = </w:t>
      </w:r>
      <m:oMath>
        <m:r>
          <w:rPr>
            <w:rFonts w:ascii="Cambria Math" w:hAnsi="Cambria Math"/>
          </w:rPr>
          <m:t>0.7159</m:t>
        </m:r>
      </m:oMath>
      <w:r>
        <w:t>) (Wang and Marwick, 2020).</w:t>
      </w:r>
    </w:p>
    <w:p w:rsidR="00E9318A" w:rsidRDefault="00877FD8">
      <w:r>
        <w:rPr>
          <w:noProof/>
        </w:rPr>
        <w:lastRenderedPageBreak/>
        <w:drawing>
          <wp:inline distT="0" distB="0" distL="0" distR="0">
            <wp:extent cx="5943600" cy="3053019"/>
            <wp:effectExtent l="0" t="0" r="0" b="0"/>
            <wp:docPr id="3" name="Picture" descr="Figure 3: A typical pot from Kiwulan (left) and an example of a pottery drawing used for outline analysis (right)"/>
            <wp:cNvGraphicFramePr/>
            <a:graphic xmlns:a="http://schemas.openxmlformats.org/drawingml/2006/main">
              <a:graphicData uri="http://schemas.openxmlformats.org/drawingml/2006/picture">
                <pic:pic xmlns:pic="http://schemas.openxmlformats.org/drawingml/2006/picture">
                  <pic:nvPicPr>
                    <pic:cNvPr id="0" name="Picture" descr="/Users/EmilyWang/Desktop/School%20document/LW-Papers/kwl-pottery-2019/analysis/figures/pots.png"/>
                    <pic:cNvPicPr>
                      <a:picLocks noChangeAspect="1" noChangeArrowheads="1"/>
                    </pic:cNvPicPr>
                  </pic:nvPicPr>
                  <pic:blipFill>
                    <a:blip r:embed="rId9"/>
                    <a:stretch>
                      <a:fillRect/>
                    </a:stretch>
                  </pic:blipFill>
                  <pic:spPr bwMode="auto">
                    <a:xfrm>
                      <a:off x="0" y="0"/>
                      <a:ext cx="5943600" cy="3053019"/>
                    </a:xfrm>
                    <a:prstGeom prst="rect">
                      <a:avLst/>
                    </a:prstGeom>
                    <a:noFill/>
                    <a:ln w="9525">
                      <a:noFill/>
                      <a:headEnd/>
                      <a:tailEnd/>
                    </a:ln>
                  </pic:spPr>
                </pic:pic>
              </a:graphicData>
            </a:graphic>
          </wp:inline>
        </w:drawing>
      </w:r>
    </w:p>
    <w:p w:rsidR="00E9318A" w:rsidRDefault="00877FD8">
      <w:pPr>
        <w:pStyle w:val="ImageCaption"/>
      </w:pPr>
      <w:r>
        <w:t>Figure 3: A typical pot from Kiwulan (left) and an example of a pottery drawing used for outline analysi</w:t>
      </w:r>
      <w:r>
        <w:t>s (right)</w:t>
      </w:r>
    </w:p>
    <w:p w:rsidR="00E9318A" w:rsidRDefault="00877FD8">
      <w:pPr>
        <w:pStyle w:val="Heading1"/>
      </w:pPr>
      <w:bookmarkStart w:id="3" w:name="methods"/>
      <w:r>
        <w:t>Methods</w:t>
      </w:r>
      <w:bookmarkEnd w:id="3"/>
    </w:p>
    <w:p w:rsidR="00E9318A" w:rsidRDefault="00877FD8">
      <w:pPr>
        <w:pStyle w:val="FirstParagraph"/>
      </w:pPr>
      <w:r>
        <w:t>The sample consists of 73 reconstructed vessels with rim, body and base parts that were securely provenanced to pre-contact (n = 32), post-European (n = 27), and Chinese contact contexts (n = 14).</w:t>
      </w:r>
    </w:p>
    <w:p w:rsidR="00E9318A" w:rsidRDefault="00877FD8">
      <w:pPr>
        <w:pStyle w:val="Heading2"/>
      </w:pPr>
      <w:bookmarkStart w:id="4" w:name="digitizing-and-analyzing-by-efa"/>
      <w:r>
        <w:t>Digitizing and analyzing by EFA</w:t>
      </w:r>
      <w:bookmarkEnd w:id="4"/>
    </w:p>
    <w:p w:rsidR="00E9318A" w:rsidRDefault="00877FD8">
      <w:pPr>
        <w:pStyle w:val="FirstParagraph"/>
      </w:pPr>
      <w:r>
        <w:t>We used 300 dpi scans of po</w:t>
      </w:r>
      <w:r>
        <w:t>ttery drawings acquired from the Bureau of Cultural Affairs in Yilan (Figure 3). All drawings provide a two-dimensional view of vessel cross-sections based on metric measurements. The scanned drawings were imported into Inkscape (</w:t>
      </w:r>
      <w:hyperlink r:id="rId10">
        <w:r>
          <w:rPr>
            <w:rStyle w:val="Hyperlink"/>
          </w:rPr>
          <w:t>http://inkscape.org</w:t>
        </w:r>
      </w:hyperlink>
      <w:r>
        <w:t>) for digitization where outlines were manually traced. In those instances where only one side of the cross-section image was available, or small sections were missing, we interpolated the curves and then mirrored and joined</w:t>
      </w:r>
      <w:r>
        <w:t xml:space="preserve"> to create a closed outline for each vessel. Analyses were conducted using R software (R Core Team, 2019) with functions from the Momocs package for quantifying and analyzing shapes (Bonhomme et al., 2014). Outlines were converted into a list of successive</w:t>
      </w:r>
      <w:r>
        <w:t xml:space="preserve"> x and y pixel coordinates for EFA. We analyzed harmonic coefficients by principal component analysis (PCA) for dimensionality reduction to illustrate the diversity of the shape data and identify major patterns of variation.</w:t>
      </w:r>
    </w:p>
    <w:p w:rsidR="00E9318A" w:rsidRDefault="00877FD8">
      <w:pPr>
        <w:pStyle w:val="Heading2"/>
      </w:pPr>
      <w:bookmarkStart w:id="5" w:name="statistical-analysis"/>
      <w:r>
        <w:t>Statistical analysis</w:t>
      </w:r>
      <w:bookmarkEnd w:id="5"/>
    </w:p>
    <w:p w:rsidR="00E9318A" w:rsidRDefault="00877FD8">
      <w:pPr>
        <w:pStyle w:val="FirstParagraph"/>
      </w:pPr>
      <w:r>
        <w:t>The princi</w:t>
      </w:r>
      <w:r>
        <w:t xml:space="preserve">pal component (PC) scores were analyzed with a multivariate analysis of variance (MANOVA) to test significant differences in shapes between occupation phases. </w:t>
      </w:r>
      <w:r>
        <w:lastRenderedPageBreak/>
        <w:t>We also computed coefficients of variation values (CVs) for the PCs, treating the PCs as shape va</w:t>
      </w:r>
      <w:r>
        <w:t>riables that are more informative than linear dimensions. The coefficient of variation is a common and widely-used statistical measure of the spread of a set of measurements of a sample. It is defined as the standard deviation divided by the mean:</w:t>
      </w:r>
    </w:p>
    <w:p w:rsidR="00E9318A" w:rsidRDefault="00877FD8">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σ</m:t>
              </m:r>
            </m:num>
            <m:den>
              <m:r>
                <w:rPr>
                  <w:rFonts w:ascii="Cambria Math" w:hAnsi="Cambria Math"/>
                </w:rPr>
                <m:t>μ</m:t>
              </m:r>
            </m:den>
          </m:f>
        </m:oMath>
      </m:oMathPara>
    </w:p>
    <w:p w:rsidR="00E9318A" w:rsidRDefault="00877FD8">
      <w:pPr>
        <w:pStyle w:val="FirstParagraph"/>
      </w:pPr>
      <w:r>
        <w:t>As a standardized measure of the spread of data, coefficients of variation (CV) allows a direct comparison for variation in samples measured with different units or means. This is useful to examine the degree of standardization for archaeological assembl</w:t>
      </w:r>
      <w:r>
        <w:t>ages and enables comparison of variation across different sample sizes (Eerkens and Bettinger, 2001, p. 498). Following Eerkens and Bettinger (2001) and Roux (2003), we take this as our measurement of standardization in vessel shape variables: lower CV val</w:t>
      </w:r>
      <w:r>
        <w:t>ues reflect higher standardization, and thus increased craft specialization in the community. Given that CVs are most informative when computed on either all positive values or all negative values, we normalized PC scores to a range between 1 and 10 for th</w:t>
      </w:r>
      <w:r>
        <w:t>e computation of CV.</w:t>
      </w:r>
    </w:p>
    <w:p w:rsidR="00E9318A" w:rsidRDefault="00877FD8">
      <w:pPr>
        <w:pStyle w:val="BodyText"/>
      </w:pPr>
      <w:r>
        <w:t>To answer the question of whether CV values across our three occupational phases are significantly different or not, we used the modified signed-likelihood ratio (MSLR) test for equality of CVs (Krishnamoorthy and Lee, 2014). While pre</w:t>
      </w:r>
      <w:r>
        <w:t>vious work has used the Feltz and Miller (1996)’s asymptotic test for the equality of coefficients of variation from k populations (Eerkens, 2000; Eerkens and Bettinger, 2001; Hoggard, 2017; Lycett and Gowlett, 2008; Okumura and Araujo, 2014), we prefer th</w:t>
      </w:r>
      <w:r>
        <w:t>e MSLR test for shape variables as a more recent development with lower rates of type I error, better performance with uneven sample numbers, and more power across a range of conditions (Krishnamoorthy and Lee, 2014).</w:t>
      </w:r>
    </w:p>
    <w:p w:rsidR="00E9318A" w:rsidRDefault="00877FD8">
      <w:pPr>
        <w:pStyle w:val="BodyText"/>
      </w:pPr>
      <w:r>
        <w:t>To complement our investigation of cra</w:t>
      </w:r>
      <w:r>
        <w:t>ft specialization through shape standardization, we investigated spatial patterns of ceramic vessels at Kiwulan. As craft specialization increases, we expect a shift from a pattern of vessels dispersed across the site to a pattern of clusters that reflects</w:t>
      </w:r>
      <w:r>
        <w:t xml:space="preserve"> the loci of production (Costin, 2001). We used a Monte Carlo test for randomness in spatial locations of ceramics to robustly test whether their distribution is significantly clustered or dispersed.</w:t>
      </w:r>
    </w:p>
    <w:p w:rsidR="00E9318A" w:rsidRDefault="00877FD8">
      <w:pPr>
        <w:pStyle w:val="Heading1"/>
      </w:pPr>
      <w:bookmarkStart w:id="6" w:name="X1d9039aecbbcb44c2dfa3a9268a6c9535658f66"/>
      <w:r>
        <w:t>Reproducibility and open source materials</w:t>
      </w:r>
      <w:bookmarkEnd w:id="6"/>
    </w:p>
    <w:p w:rsidR="00E9318A" w:rsidRDefault="00877FD8">
      <w:pPr>
        <w:pStyle w:val="FirstParagraph"/>
      </w:pPr>
      <w:r>
        <w:t>To enable re-u</w:t>
      </w:r>
      <w:r>
        <w:t xml:space="preserve">se of materials and improve reproducibility and transparency (Marwick, 2017), the entire R code (R Core Team, 2019) used for all the analysis and visualizations contained in this paper is openly available online at </w:t>
      </w:r>
      <w:hyperlink r:id="rId11">
        <w:r>
          <w:rPr>
            <w:rStyle w:val="Hyperlink"/>
          </w:rPr>
          <w:t>https://doi.org/10.17605/OSF.IO/ABVGF</w:t>
        </w:r>
      </w:hyperlink>
      <w:r>
        <w:t xml:space="preserve"> (Wang and Marwick, 2020). Also in this version-controlled compendium (Marwick et al., 2018) </w:t>
      </w:r>
      <w:r>
        <w:t>are the raw data for all the visualizations and tests reported here. All of the figures, tables, and statistical test results presented here can be independently reproduced with the code and data in this repository. The code is released under the MIT licen</w:t>
      </w:r>
      <w:r>
        <w:t>se, the data as CC-0, and figures as CC-BY, to enable maximum re-use.</w:t>
      </w:r>
    </w:p>
    <w:p w:rsidR="00E9318A" w:rsidRDefault="00877FD8">
      <w:pPr>
        <w:pStyle w:val="Heading1"/>
      </w:pPr>
      <w:bookmarkStart w:id="7" w:name="results"/>
      <w:r>
        <w:lastRenderedPageBreak/>
        <w:t>Results</w:t>
      </w:r>
      <w:bookmarkEnd w:id="7"/>
    </w:p>
    <w:p w:rsidR="00E9318A" w:rsidRDefault="00877FD8">
      <w:pPr>
        <w:pStyle w:val="FirstParagraph"/>
      </w:pPr>
      <w:r>
        <w:t>Thirteen harmonics captured 99% of the total harmonic power in the elliptic Fourier coefficients of 73 vessels from three phases. Figure 4 illustrates differences in vessel shape</w:t>
      </w:r>
      <w:r>
        <w:t>s using thin-plate spline warping for paired periods, pre- and post-European periods, and post-European and Chinese periods, with the greatest differences evidenced between pre-European and Chinese periods.</w:t>
      </w:r>
    </w:p>
    <w:p w:rsidR="00E9318A" w:rsidRDefault="00877FD8">
      <w:pPr>
        <w:pStyle w:val="BodyText"/>
      </w:pPr>
      <w:r>
        <w:t>The first two principal components (PCs) of the P</w:t>
      </w:r>
      <w:r>
        <w:t>CA on the elliptic Fourier coefficients explain 74.85% of the total variance, of which 48.32% is explained by the first principal component. With the third component, the first three principal components explain 86.08% of the total variance. PC1 captures t</w:t>
      </w:r>
      <w:r>
        <w:t>he height of the vessels, from tall to short, and the roundness of the body from round to oval-shaped (Figure 4). PC2 relates to the neck and mouth constriction, from narrow to wide. PC3 explains a smaller portion of the variance (11.23%), which relates to</w:t>
      </w:r>
      <w:r>
        <w:t xml:space="preserve"> the degree of the flare in the neck, from a curved to a straight shape. The results reflect a large overlap in shapes from three occupations phases, especially for shapes in the pre-European and post-European periods. However, the spread of shape distribu</w:t>
      </w:r>
      <w:r>
        <w:t>tion indicates a wider variation in shapes in the pre-European and post-European periods compared to those in the Chinese period along both PC1 and PC2 axes. In other words, we find a decrease in shape variance in the Chinese period evidenced in the shorte</w:t>
      </w:r>
      <w:r>
        <w:t>r height and narrower mouth of vessels used in that period.</w:t>
      </w:r>
    </w:p>
    <w:p w:rsidR="00E9318A" w:rsidRDefault="00877FD8">
      <w:r>
        <w:rPr>
          <w:noProof/>
        </w:rPr>
        <w:drawing>
          <wp:inline distT="0" distB="0" distL="0" distR="0">
            <wp:extent cx="5943600" cy="2476500"/>
            <wp:effectExtent l="0" t="0" r="0" b="0"/>
            <wp:docPr id="4" name="Picture" descr="Figure 4: Left: Significant differences in average vessel shapes between the Chinese and the post-European period are visible using thin plate splines (TPS), with outline deformations required to pass from an extreme of one morphospace to another. Right: Pottery shape distribution by each occupation phase according to the first two PCs."/>
            <wp:cNvGraphicFramePr/>
            <a:graphic xmlns:a="http://schemas.openxmlformats.org/drawingml/2006/main">
              <a:graphicData uri="http://schemas.openxmlformats.org/drawingml/2006/picture">
                <pic:pic xmlns:pic="http://schemas.openxmlformats.org/drawingml/2006/picture">
                  <pic:nvPicPr>
                    <pic:cNvPr id="0" name="Picture" descr="/Users/EmilyWang/Desktop/School%20document/LW-Papers/kwl-pottery-2019/analysis/figures/iso_pca_composit_crop.png"/>
                    <pic:cNvPicPr>
                      <a:picLocks noChangeAspect="1" noChangeArrowheads="1"/>
                    </pic:cNvPicPr>
                  </pic:nvPicPr>
                  <pic:blipFill>
                    <a:blip r:embed="rId12"/>
                    <a:stretch>
                      <a:fillRect/>
                    </a:stretch>
                  </pic:blipFill>
                  <pic:spPr bwMode="auto">
                    <a:xfrm>
                      <a:off x="0" y="0"/>
                      <a:ext cx="5943600" cy="2476500"/>
                    </a:xfrm>
                    <a:prstGeom prst="rect">
                      <a:avLst/>
                    </a:prstGeom>
                    <a:noFill/>
                    <a:ln w="9525">
                      <a:noFill/>
                      <a:headEnd/>
                      <a:tailEnd/>
                    </a:ln>
                  </pic:spPr>
                </pic:pic>
              </a:graphicData>
            </a:graphic>
          </wp:inline>
        </w:drawing>
      </w:r>
    </w:p>
    <w:p w:rsidR="00E9318A" w:rsidRDefault="00877FD8">
      <w:pPr>
        <w:pStyle w:val="ImageCaption"/>
      </w:pPr>
      <w:r>
        <w:t>Figure 4: Left: Significant differences in average vessel shapes between the Chinese and the post-European period are visible using thin plate splines (TPS), with outline deformations required t</w:t>
      </w:r>
      <w:r>
        <w:t>o pass from an extreme of one morphospace to another. Right: Pottery shape distribution by each occupation phase according to the first two PCs.</w:t>
      </w:r>
    </w:p>
    <w:p w:rsidR="00E9318A" w:rsidRDefault="00877FD8">
      <w:pPr>
        <w:pStyle w:val="TableCaption"/>
      </w:pPr>
      <w:r>
        <w:t xml:space="preserve">Table 1: Summary statistics for the MANOVA test on the PC scores. </w:t>
      </w:r>
      <w:r>
        <w:rPr>
          <w:rStyle w:val="VerbatimChar"/>
        </w:rPr>
        <w:t>Pr(&gt;F)</w:t>
      </w:r>
      <w:r>
        <w:t xml:space="preserve"> is the p-value associated with the F s</w:t>
      </w:r>
      <w:r>
        <w:t>tatistic of the effect and test statistic.</w:t>
      </w:r>
    </w:p>
    <w:tbl>
      <w:tblPr>
        <w:tblW w:w="0" w:type="pct"/>
        <w:tblLook w:val="07E0" w:firstRow="1" w:lastRow="1" w:firstColumn="1" w:lastColumn="1" w:noHBand="1" w:noVBand="1"/>
      </w:tblPr>
      <w:tblGrid>
        <w:gridCol w:w="3046"/>
        <w:gridCol w:w="1375"/>
        <w:gridCol w:w="2215"/>
        <w:gridCol w:w="2010"/>
        <w:gridCol w:w="930"/>
      </w:tblGrid>
      <w:tr w:rsidR="00E9318A">
        <w:tc>
          <w:tcPr>
            <w:tcW w:w="0" w:type="auto"/>
            <w:tcBorders>
              <w:bottom w:val="single" w:sz="0" w:space="0" w:color="auto"/>
            </w:tcBorders>
            <w:vAlign w:val="bottom"/>
          </w:tcPr>
          <w:p w:rsidR="00E9318A" w:rsidRDefault="00877FD8">
            <w:pPr>
              <w:pStyle w:val="Compact"/>
            </w:pPr>
            <w:r>
              <w:t>Comparison</w:t>
            </w:r>
          </w:p>
        </w:tc>
        <w:tc>
          <w:tcPr>
            <w:tcW w:w="0" w:type="auto"/>
            <w:tcBorders>
              <w:bottom w:val="single" w:sz="0" w:space="0" w:color="auto"/>
            </w:tcBorders>
            <w:vAlign w:val="bottom"/>
          </w:tcPr>
          <w:p w:rsidR="00E9318A" w:rsidRDefault="00877FD8">
            <w:pPr>
              <w:pStyle w:val="Compact"/>
              <w:jc w:val="right"/>
            </w:pPr>
            <w:r>
              <w:t>Pillai’s trace</w:t>
            </w:r>
          </w:p>
        </w:tc>
        <w:tc>
          <w:tcPr>
            <w:tcW w:w="0" w:type="auto"/>
            <w:tcBorders>
              <w:bottom w:val="single" w:sz="0" w:space="0" w:color="auto"/>
            </w:tcBorders>
            <w:vAlign w:val="bottom"/>
          </w:tcPr>
          <w:p w:rsidR="00E9318A" w:rsidRDefault="00877FD8">
            <w:pPr>
              <w:pStyle w:val="Compact"/>
              <w:jc w:val="right"/>
            </w:pPr>
            <w:r>
              <w:t>Approximate F value</w:t>
            </w:r>
          </w:p>
        </w:tc>
        <w:tc>
          <w:tcPr>
            <w:tcW w:w="0" w:type="auto"/>
            <w:tcBorders>
              <w:bottom w:val="single" w:sz="0" w:space="0" w:color="auto"/>
            </w:tcBorders>
            <w:vAlign w:val="bottom"/>
          </w:tcPr>
          <w:p w:rsidR="00E9318A" w:rsidRDefault="00877FD8">
            <w:pPr>
              <w:pStyle w:val="Compact"/>
              <w:jc w:val="right"/>
            </w:pPr>
            <w:r>
              <w:t>degrees of freedom</w:t>
            </w:r>
          </w:p>
        </w:tc>
        <w:tc>
          <w:tcPr>
            <w:tcW w:w="0" w:type="auto"/>
            <w:tcBorders>
              <w:bottom w:val="single" w:sz="0" w:space="0" w:color="auto"/>
            </w:tcBorders>
            <w:vAlign w:val="bottom"/>
          </w:tcPr>
          <w:p w:rsidR="00E9318A" w:rsidRDefault="00877FD8">
            <w:pPr>
              <w:pStyle w:val="Compact"/>
              <w:jc w:val="right"/>
            </w:pPr>
            <w:r>
              <w:t>Pr(&gt;F)</w:t>
            </w:r>
          </w:p>
        </w:tc>
      </w:tr>
      <w:tr w:rsidR="00E9318A">
        <w:tc>
          <w:tcPr>
            <w:tcW w:w="0" w:type="auto"/>
          </w:tcPr>
          <w:p w:rsidR="00E9318A" w:rsidRDefault="00877FD8">
            <w:pPr>
              <w:pStyle w:val="Compact"/>
            </w:pPr>
            <w:r>
              <w:lastRenderedPageBreak/>
              <w:t>Chinese - Post-European</w:t>
            </w:r>
          </w:p>
        </w:tc>
        <w:tc>
          <w:tcPr>
            <w:tcW w:w="0" w:type="auto"/>
          </w:tcPr>
          <w:p w:rsidR="00E9318A" w:rsidRDefault="00877FD8">
            <w:pPr>
              <w:pStyle w:val="Compact"/>
              <w:jc w:val="right"/>
            </w:pPr>
            <w:r>
              <w:t>0.3806</w:t>
            </w:r>
          </w:p>
        </w:tc>
        <w:tc>
          <w:tcPr>
            <w:tcW w:w="0" w:type="auto"/>
          </w:tcPr>
          <w:p w:rsidR="00E9318A" w:rsidRDefault="00877FD8">
            <w:pPr>
              <w:pStyle w:val="Compact"/>
              <w:jc w:val="right"/>
            </w:pPr>
            <w:r>
              <w:t>1.6202</w:t>
            </w:r>
          </w:p>
        </w:tc>
        <w:tc>
          <w:tcPr>
            <w:tcW w:w="0" w:type="auto"/>
          </w:tcPr>
          <w:p w:rsidR="00E9318A" w:rsidRDefault="00877FD8">
            <w:pPr>
              <w:pStyle w:val="Compact"/>
              <w:jc w:val="right"/>
            </w:pPr>
            <w:r>
              <w:t>29</w:t>
            </w:r>
          </w:p>
        </w:tc>
        <w:tc>
          <w:tcPr>
            <w:tcW w:w="0" w:type="auto"/>
          </w:tcPr>
          <w:p w:rsidR="00E9318A" w:rsidRDefault="00877FD8">
            <w:pPr>
              <w:pStyle w:val="Compact"/>
              <w:jc w:val="right"/>
            </w:pPr>
            <w:r>
              <w:t>0.1452</w:t>
            </w:r>
          </w:p>
        </w:tc>
      </w:tr>
      <w:tr w:rsidR="00E9318A">
        <w:tc>
          <w:tcPr>
            <w:tcW w:w="0" w:type="auto"/>
          </w:tcPr>
          <w:p w:rsidR="00E9318A" w:rsidRDefault="00877FD8">
            <w:pPr>
              <w:pStyle w:val="Compact"/>
            </w:pPr>
            <w:r>
              <w:t>Chinese - Pre-European</w:t>
            </w:r>
          </w:p>
        </w:tc>
        <w:tc>
          <w:tcPr>
            <w:tcW w:w="0" w:type="auto"/>
          </w:tcPr>
          <w:p w:rsidR="00E9318A" w:rsidRDefault="00877FD8">
            <w:pPr>
              <w:pStyle w:val="Compact"/>
              <w:jc w:val="right"/>
            </w:pPr>
            <w:r>
              <w:t>0.6942</w:t>
            </w:r>
          </w:p>
        </w:tc>
        <w:tc>
          <w:tcPr>
            <w:tcW w:w="0" w:type="auto"/>
          </w:tcPr>
          <w:p w:rsidR="00E9318A" w:rsidRDefault="00877FD8">
            <w:pPr>
              <w:pStyle w:val="Compact"/>
              <w:jc w:val="right"/>
            </w:pPr>
            <w:r>
              <w:t>7.0177</w:t>
            </w:r>
          </w:p>
        </w:tc>
        <w:tc>
          <w:tcPr>
            <w:tcW w:w="0" w:type="auto"/>
          </w:tcPr>
          <w:p w:rsidR="00E9318A" w:rsidRDefault="00877FD8">
            <w:pPr>
              <w:pStyle w:val="Compact"/>
              <w:jc w:val="right"/>
            </w:pPr>
            <w:r>
              <w:t>34</w:t>
            </w:r>
          </w:p>
        </w:tc>
        <w:tc>
          <w:tcPr>
            <w:tcW w:w="0" w:type="auto"/>
          </w:tcPr>
          <w:p w:rsidR="00E9318A" w:rsidRDefault="00877FD8">
            <w:pPr>
              <w:pStyle w:val="Compact"/>
              <w:jc w:val="right"/>
            </w:pPr>
            <w:r>
              <w:t>0.0000</w:t>
            </w:r>
          </w:p>
        </w:tc>
      </w:tr>
      <w:tr w:rsidR="00E9318A">
        <w:tc>
          <w:tcPr>
            <w:tcW w:w="0" w:type="auto"/>
          </w:tcPr>
          <w:p w:rsidR="00E9318A" w:rsidRDefault="00877FD8">
            <w:pPr>
              <w:pStyle w:val="Compact"/>
            </w:pPr>
            <w:r>
              <w:t>Post-European - Pre-European</w:t>
            </w:r>
          </w:p>
        </w:tc>
        <w:tc>
          <w:tcPr>
            <w:tcW w:w="0" w:type="auto"/>
          </w:tcPr>
          <w:p w:rsidR="00E9318A" w:rsidRDefault="00877FD8">
            <w:pPr>
              <w:pStyle w:val="Compact"/>
              <w:jc w:val="right"/>
            </w:pPr>
            <w:r>
              <w:t>0.3491</w:t>
            </w:r>
          </w:p>
        </w:tc>
        <w:tc>
          <w:tcPr>
            <w:tcW w:w="0" w:type="auto"/>
          </w:tcPr>
          <w:p w:rsidR="00E9318A" w:rsidRDefault="00877FD8">
            <w:pPr>
              <w:pStyle w:val="Compact"/>
              <w:jc w:val="right"/>
            </w:pPr>
            <w:r>
              <w:t>2.2917</w:t>
            </w:r>
          </w:p>
        </w:tc>
        <w:tc>
          <w:tcPr>
            <w:tcW w:w="0" w:type="auto"/>
          </w:tcPr>
          <w:p w:rsidR="00E9318A" w:rsidRDefault="00877FD8">
            <w:pPr>
              <w:pStyle w:val="Compact"/>
              <w:jc w:val="right"/>
            </w:pPr>
            <w:r>
              <w:t>47</w:t>
            </w:r>
          </w:p>
        </w:tc>
        <w:tc>
          <w:tcPr>
            <w:tcW w:w="0" w:type="auto"/>
          </w:tcPr>
          <w:p w:rsidR="00E9318A" w:rsidRDefault="00877FD8">
            <w:pPr>
              <w:pStyle w:val="Compact"/>
              <w:jc w:val="right"/>
            </w:pPr>
            <w:r>
              <w:t>0.0243</w:t>
            </w:r>
          </w:p>
        </w:tc>
      </w:tr>
    </w:tbl>
    <w:p w:rsidR="00E9318A" w:rsidRDefault="00877FD8">
      <w:pPr>
        <w:pStyle w:val="BodyText"/>
      </w:pPr>
      <w:r>
        <w:t>To test for differences in the distributions of shape variables indicated by the PC scores shown in Figure 4, we used a multivariate analysis of variance (MANOVA) test to compare pairwise combinations across the three occupation phases. Table 1 demonstrate</w:t>
      </w:r>
      <w:r>
        <w:t xml:space="preserve">s the significant differences in shape between Pre-European and Post-European phases (p = </w:t>
      </w:r>
      <m:oMath>
        <m:r>
          <w:rPr>
            <w:rFonts w:ascii="Cambria Math" w:hAnsi="Cambria Math"/>
          </w:rPr>
          <m:t>0.0243</m:t>
        </m:r>
      </m:oMath>
      <w:r>
        <w:t xml:space="preserve">), and Pre-European and Chinese phases (p = </w:t>
      </w:r>
      <m:oMath>
        <m:r>
          <w:rPr>
            <w:rFonts w:ascii="Cambria Math" w:hAnsi="Cambria Math"/>
          </w:rPr>
          <m:t>0</m:t>
        </m:r>
      </m:oMath>
      <w:r>
        <w:t>). These results are consistent with the differences in the visualization of average shapes between the phases (Fig</w:t>
      </w:r>
      <w:r>
        <w:t>ure 4, see left). Although there is considerable overlap of shape variables between the Pre-European and Post-European phases, their PC scores differ significantly. There is no significant difference in vessel shapes between the Post-European and Chinese c</w:t>
      </w:r>
      <w:r>
        <w:t>ontact periods.</w:t>
      </w:r>
    </w:p>
    <w:p w:rsidR="00E9318A" w:rsidRDefault="00877FD8">
      <w:pPr>
        <w:pStyle w:val="BodyText"/>
      </w:pPr>
      <w:r>
        <w:t>To compare pottery shape standardization across the three phases we investigated the distributions of the first three PC scores, taking the PC scores as proxy variables for vessel shape (Figure 5). The CVs calculated of the three PC support</w:t>
      </w:r>
      <w:r>
        <w:t xml:space="preserve"> a general trend toward a more standardized shape over time, especially the shape identified by PC1 that represents vessel height and roundness. PC1 shows a higher variation in the pre-European period and post-European period compared to the Chinese period</w:t>
      </w:r>
      <w:r>
        <w:t>. That is, a more standardized shape found in the Chinese period. However, PC2 presents a similar diversity in ceramics assemblages across three phases, while PC3 demonstrates a slightly standardized shape in the Chinese period.</w:t>
      </w:r>
    </w:p>
    <w:p w:rsidR="00E9318A" w:rsidRDefault="00877FD8">
      <w:pPr>
        <w:pStyle w:val="BodyText"/>
      </w:pPr>
      <w:r>
        <w:t>To see whether the differen</w:t>
      </w:r>
      <w:r>
        <w:t xml:space="preserve">ces in the distribution of PCs between any two phases are substantive or due to chance, we assessed the equality of CVs for PC1 and PC2 with a modified signed-likelihood ratio test (Krishnamoorthy and Lee, 2014; Marwick and Krishnamoorthy, 2019). P-values </w:t>
      </w:r>
      <w:r>
        <w:t>for PC1 show significant differences in shape standardization across periods, between Chinese contact with either pre-European or post-European (Table 2). This result supports the observation of a more highly standardized shape in the Chinese period.</w:t>
      </w:r>
    </w:p>
    <w:p w:rsidR="00E9318A" w:rsidRDefault="00877FD8">
      <w:r>
        <w:rPr>
          <w:noProof/>
        </w:rPr>
        <w:lastRenderedPageBreak/>
        <w:drawing>
          <wp:inline distT="0" distB="0" distL="0" distR="0">
            <wp:extent cx="5943600" cy="4754880"/>
            <wp:effectExtent l="0" t="0" r="0" b="0"/>
            <wp:docPr id="5" name="Picture" descr="Figure 5: The distribution of normalized PC scores by phases. CV values (%) are shown in the upper right of each plot."/>
            <wp:cNvGraphicFramePr/>
            <a:graphic xmlns:a="http://schemas.openxmlformats.org/drawingml/2006/main">
              <a:graphicData uri="http://schemas.openxmlformats.org/drawingml/2006/picture">
                <pic:pic xmlns:pic="http://schemas.openxmlformats.org/drawingml/2006/picture">
                  <pic:nvPicPr>
                    <pic:cNvPr id="0" name="Picture" descr="../figures/PCs-distribution-1.png"/>
                    <pic:cNvPicPr>
                      <a:picLocks noChangeAspect="1" noChangeArrowheads="1"/>
                    </pic:cNvPicPr>
                  </pic:nvPicPr>
                  <pic:blipFill>
                    <a:blip r:embed="rId13"/>
                    <a:stretch>
                      <a:fillRect/>
                    </a:stretch>
                  </pic:blipFill>
                  <pic:spPr bwMode="auto">
                    <a:xfrm>
                      <a:off x="0" y="0"/>
                      <a:ext cx="5943600" cy="4754880"/>
                    </a:xfrm>
                    <a:prstGeom prst="rect">
                      <a:avLst/>
                    </a:prstGeom>
                    <a:noFill/>
                    <a:ln w="9525">
                      <a:noFill/>
                      <a:headEnd/>
                      <a:tailEnd/>
                    </a:ln>
                  </pic:spPr>
                </pic:pic>
              </a:graphicData>
            </a:graphic>
          </wp:inline>
        </w:drawing>
      </w:r>
    </w:p>
    <w:p w:rsidR="00E9318A" w:rsidRDefault="00877FD8">
      <w:pPr>
        <w:pStyle w:val="ImageCaption"/>
      </w:pPr>
      <w:r>
        <w:t>Fig</w:t>
      </w:r>
      <w:r>
        <w:t>ure 5: The distribution of normalized PC scores by phases. CV values (%) are shown in the upper right of each plot.</w:t>
      </w:r>
    </w:p>
    <w:p w:rsidR="00E9318A" w:rsidRDefault="00877FD8">
      <w:pPr>
        <w:pStyle w:val="TableCaption"/>
      </w:pPr>
      <w:r>
        <w:t>Table 2: P-values of the CV equality test of PC1 and PC2 between phases</w:t>
      </w:r>
    </w:p>
    <w:tbl>
      <w:tblPr>
        <w:tblW w:w="0" w:type="pct"/>
        <w:tblLook w:val="07E0" w:firstRow="1" w:lastRow="1" w:firstColumn="1" w:lastColumn="1" w:noHBand="1" w:noVBand="1"/>
      </w:tblPr>
      <w:tblGrid>
        <w:gridCol w:w="621"/>
        <w:gridCol w:w="1010"/>
        <w:gridCol w:w="983"/>
        <w:gridCol w:w="3713"/>
      </w:tblGrid>
      <w:tr w:rsidR="00E9318A">
        <w:tc>
          <w:tcPr>
            <w:tcW w:w="0" w:type="auto"/>
            <w:tcBorders>
              <w:bottom w:val="single" w:sz="0" w:space="0" w:color="auto"/>
            </w:tcBorders>
            <w:vAlign w:val="bottom"/>
          </w:tcPr>
          <w:p w:rsidR="00E9318A" w:rsidRDefault="00877FD8">
            <w:pPr>
              <w:pStyle w:val="Compact"/>
            </w:pPr>
            <w:r>
              <w:t>PC</w:t>
            </w:r>
          </w:p>
        </w:tc>
        <w:tc>
          <w:tcPr>
            <w:tcW w:w="0" w:type="auto"/>
            <w:tcBorders>
              <w:bottom w:val="single" w:sz="0" w:space="0" w:color="auto"/>
            </w:tcBorders>
            <w:vAlign w:val="bottom"/>
          </w:tcPr>
          <w:p w:rsidR="00E9318A" w:rsidRDefault="00877FD8">
            <w:pPr>
              <w:pStyle w:val="Compact"/>
              <w:jc w:val="right"/>
            </w:pPr>
            <w:r>
              <w:t>MSLRT</w:t>
            </w:r>
          </w:p>
        </w:tc>
        <w:tc>
          <w:tcPr>
            <w:tcW w:w="0" w:type="auto"/>
            <w:tcBorders>
              <w:bottom w:val="single" w:sz="0" w:space="0" w:color="auto"/>
            </w:tcBorders>
            <w:vAlign w:val="bottom"/>
          </w:tcPr>
          <w:p w:rsidR="00E9318A" w:rsidRDefault="00877FD8">
            <w:pPr>
              <w:pStyle w:val="Compact"/>
              <w:jc w:val="right"/>
            </w:pPr>
            <w:r>
              <w:t>p-value</w:t>
            </w:r>
          </w:p>
        </w:tc>
        <w:tc>
          <w:tcPr>
            <w:tcW w:w="0" w:type="auto"/>
            <w:tcBorders>
              <w:bottom w:val="single" w:sz="0" w:space="0" w:color="auto"/>
            </w:tcBorders>
            <w:vAlign w:val="bottom"/>
          </w:tcPr>
          <w:p w:rsidR="00E9318A" w:rsidRDefault="00877FD8">
            <w:pPr>
              <w:pStyle w:val="Compact"/>
            </w:pPr>
            <w:r>
              <w:t>phases</w:t>
            </w:r>
          </w:p>
        </w:tc>
      </w:tr>
      <w:tr w:rsidR="00E9318A">
        <w:tc>
          <w:tcPr>
            <w:tcW w:w="0" w:type="auto"/>
          </w:tcPr>
          <w:p w:rsidR="00E9318A" w:rsidRDefault="00877FD8">
            <w:pPr>
              <w:pStyle w:val="Compact"/>
            </w:pPr>
            <w:r>
              <w:t>PC1</w:t>
            </w:r>
          </w:p>
        </w:tc>
        <w:tc>
          <w:tcPr>
            <w:tcW w:w="0" w:type="auto"/>
          </w:tcPr>
          <w:p w:rsidR="00E9318A" w:rsidRDefault="00877FD8">
            <w:pPr>
              <w:pStyle w:val="Compact"/>
              <w:jc w:val="right"/>
            </w:pPr>
            <w:r>
              <w:t>0.0569</w:t>
            </w:r>
          </w:p>
        </w:tc>
        <w:tc>
          <w:tcPr>
            <w:tcW w:w="0" w:type="auto"/>
          </w:tcPr>
          <w:p w:rsidR="00E9318A" w:rsidRDefault="00877FD8">
            <w:pPr>
              <w:pStyle w:val="Compact"/>
              <w:jc w:val="right"/>
            </w:pPr>
            <w:r>
              <w:t>0.8115</w:t>
            </w:r>
          </w:p>
        </w:tc>
        <w:tc>
          <w:tcPr>
            <w:tcW w:w="0" w:type="auto"/>
          </w:tcPr>
          <w:p w:rsidR="00E9318A" w:rsidRDefault="00877FD8">
            <w:pPr>
              <w:pStyle w:val="Compact"/>
            </w:pPr>
            <w:r>
              <w:t>Post-European vs Pre-European</w:t>
            </w:r>
          </w:p>
        </w:tc>
      </w:tr>
      <w:tr w:rsidR="00E9318A">
        <w:tc>
          <w:tcPr>
            <w:tcW w:w="0" w:type="auto"/>
          </w:tcPr>
          <w:p w:rsidR="00E9318A" w:rsidRDefault="00877FD8">
            <w:pPr>
              <w:pStyle w:val="Compact"/>
            </w:pPr>
            <w:r>
              <w:t>PC1</w:t>
            </w:r>
          </w:p>
        </w:tc>
        <w:tc>
          <w:tcPr>
            <w:tcW w:w="0" w:type="auto"/>
          </w:tcPr>
          <w:p w:rsidR="00E9318A" w:rsidRDefault="00877FD8">
            <w:pPr>
              <w:pStyle w:val="Compact"/>
              <w:jc w:val="right"/>
            </w:pPr>
            <w:r>
              <w:t>8.2930</w:t>
            </w:r>
          </w:p>
        </w:tc>
        <w:tc>
          <w:tcPr>
            <w:tcW w:w="0" w:type="auto"/>
          </w:tcPr>
          <w:p w:rsidR="00E9318A" w:rsidRDefault="00877FD8">
            <w:pPr>
              <w:pStyle w:val="Compact"/>
              <w:jc w:val="right"/>
            </w:pPr>
            <w:r>
              <w:t>0.0040</w:t>
            </w:r>
          </w:p>
        </w:tc>
        <w:tc>
          <w:tcPr>
            <w:tcW w:w="0" w:type="auto"/>
          </w:tcPr>
          <w:p w:rsidR="00E9318A" w:rsidRDefault="00877FD8">
            <w:pPr>
              <w:pStyle w:val="Compact"/>
            </w:pPr>
            <w:r>
              <w:t>Chinese Contact vs Pre-European</w:t>
            </w:r>
          </w:p>
        </w:tc>
      </w:tr>
      <w:tr w:rsidR="00E9318A">
        <w:tc>
          <w:tcPr>
            <w:tcW w:w="0" w:type="auto"/>
          </w:tcPr>
          <w:p w:rsidR="00E9318A" w:rsidRDefault="00877FD8">
            <w:pPr>
              <w:pStyle w:val="Compact"/>
            </w:pPr>
            <w:r>
              <w:t>PC1</w:t>
            </w:r>
          </w:p>
        </w:tc>
        <w:tc>
          <w:tcPr>
            <w:tcW w:w="0" w:type="auto"/>
          </w:tcPr>
          <w:p w:rsidR="00E9318A" w:rsidRDefault="00877FD8">
            <w:pPr>
              <w:pStyle w:val="Compact"/>
              <w:jc w:val="right"/>
            </w:pPr>
            <w:r>
              <w:t>6.4299</w:t>
            </w:r>
          </w:p>
        </w:tc>
        <w:tc>
          <w:tcPr>
            <w:tcW w:w="0" w:type="auto"/>
          </w:tcPr>
          <w:p w:rsidR="00E9318A" w:rsidRDefault="00877FD8">
            <w:pPr>
              <w:pStyle w:val="Compact"/>
              <w:jc w:val="right"/>
            </w:pPr>
            <w:r>
              <w:t>0.0112</w:t>
            </w:r>
          </w:p>
        </w:tc>
        <w:tc>
          <w:tcPr>
            <w:tcW w:w="0" w:type="auto"/>
          </w:tcPr>
          <w:p w:rsidR="00E9318A" w:rsidRDefault="00877FD8">
            <w:pPr>
              <w:pStyle w:val="Compact"/>
            </w:pPr>
            <w:r>
              <w:t>Chinese Contact vs Post-European</w:t>
            </w:r>
          </w:p>
        </w:tc>
      </w:tr>
      <w:tr w:rsidR="00E9318A">
        <w:tc>
          <w:tcPr>
            <w:tcW w:w="0" w:type="auto"/>
          </w:tcPr>
          <w:p w:rsidR="00E9318A" w:rsidRDefault="00877FD8">
            <w:pPr>
              <w:pStyle w:val="Compact"/>
            </w:pPr>
            <w:r>
              <w:t>PC2</w:t>
            </w:r>
          </w:p>
        </w:tc>
        <w:tc>
          <w:tcPr>
            <w:tcW w:w="0" w:type="auto"/>
          </w:tcPr>
          <w:p w:rsidR="00E9318A" w:rsidRDefault="00877FD8">
            <w:pPr>
              <w:pStyle w:val="Compact"/>
              <w:jc w:val="right"/>
            </w:pPr>
            <w:r>
              <w:t>-0.0520</w:t>
            </w:r>
          </w:p>
        </w:tc>
        <w:tc>
          <w:tcPr>
            <w:tcW w:w="0" w:type="auto"/>
          </w:tcPr>
          <w:p w:rsidR="00E9318A" w:rsidRDefault="00877FD8">
            <w:pPr>
              <w:pStyle w:val="Compact"/>
              <w:jc w:val="right"/>
            </w:pPr>
            <w:r>
              <w:t>1.0000</w:t>
            </w:r>
          </w:p>
        </w:tc>
        <w:tc>
          <w:tcPr>
            <w:tcW w:w="0" w:type="auto"/>
          </w:tcPr>
          <w:p w:rsidR="00E9318A" w:rsidRDefault="00877FD8">
            <w:pPr>
              <w:pStyle w:val="Compact"/>
            </w:pPr>
            <w:r>
              <w:t>Post-European vs Pre-European</w:t>
            </w:r>
          </w:p>
        </w:tc>
      </w:tr>
      <w:tr w:rsidR="00E9318A">
        <w:tc>
          <w:tcPr>
            <w:tcW w:w="0" w:type="auto"/>
          </w:tcPr>
          <w:p w:rsidR="00E9318A" w:rsidRDefault="00877FD8">
            <w:pPr>
              <w:pStyle w:val="Compact"/>
            </w:pPr>
            <w:r>
              <w:t>PC2</w:t>
            </w:r>
          </w:p>
        </w:tc>
        <w:tc>
          <w:tcPr>
            <w:tcW w:w="0" w:type="auto"/>
          </w:tcPr>
          <w:p w:rsidR="00E9318A" w:rsidRDefault="00877FD8">
            <w:pPr>
              <w:pStyle w:val="Compact"/>
              <w:jc w:val="right"/>
            </w:pPr>
            <w:r>
              <w:t>0.0844</w:t>
            </w:r>
          </w:p>
        </w:tc>
        <w:tc>
          <w:tcPr>
            <w:tcW w:w="0" w:type="auto"/>
          </w:tcPr>
          <w:p w:rsidR="00E9318A" w:rsidRDefault="00877FD8">
            <w:pPr>
              <w:pStyle w:val="Compact"/>
              <w:jc w:val="right"/>
            </w:pPr>
            <w:r>
              <w:t>0.7714</w:t>
            </w:r>
          </w:p>
        </w:tc>
        <w:tc>
          <w:tcPr>
            <w:tcW w:w="0" w:type="auto"/>
          </w:tcPr>
          <w:p w:rsidR="00E9318A" w:rsidRDefault="00877FD8">
            <w:pPr>
              <w:pStyle w:val="Compact"/>
            </w:pPr>
            <w:r>
              <w:t>Chinese Contact vs Pre-European</w:t>
            </w:r>
          </w:p>
        </w:tc>
      </w:tr>
      <w:tr w:rsidR="00E9318A">
        <w:tc>
          <w:tcPr>
            <w:tcW w:w="0" w:type="auto"/>
          </w:tcPr>
          <w:p w:rsidR="00E9318A" w:rsidRDefault="00877FD8">
            <w:pPr>
              <w:pStyle w:val="Compact"/>
            </w:pPr>
            <w:r>
              <w:t>PC2</w:t>
            </w:r>
          </w:p>
        </w:tc>
        <w:tc>
          <w:tcPr>
            <w:tcW w:w="0" w:type="auto"/>
          </w:tcPr>
          <w:p w:rsidR="00E9318A" w:rsidRDefault="00877FD8">
            <w:pPr>
              <w:pStyle w:val="Compact"/>
              <w:jc w:val="right"/>
            </w:pPr>
            <w:r>
              <w:t>-0.0104</w:t>
            </w:r>
          </w:p>
        </w:tc>
        <w:tc>
          <w:tcPr>
            <w:tcW w:w="0" w:type="auto"/>
          </w:tcPr>
          <w:p w:rsidR="00E9318A" w:rsidRDefault="00877FD8">
            <w:pPr>
              <w:pStyle w:val="Compact"/>
              <w:jc w:val="right"/>
            </w:pPr>
            <w:r>
              <w:t>1.0000</w:t>
            </w:r>
          </w:p>
        </w:tc>
        <w:tc>
          <w:tcPr>
            <w:tcW w:w="0" w:type="auto"/>
          </w:tcPr>
          <w:p w:rsidR="00E9318A" w:rsidRDefault="00877FD8">
            <w:pPr>
              <w:pStyle w:val="Compact"/>
            </w:pPr>
            <w:r>
              <w:t>Chinese Contact vs Post-European</w:t>
            </w:r>
          </w:p>
        </w:tc>
      </w:tr>
    </w:tbl>
    <w:p w:rsidR="00E9318A" w:rsidRDefault="00877FD8">
      <w:pPr>
        <w:pStyle w:val="BodyText"/>
      </w:pPr>
      <w:r>
        <w:t>Vessel size is another important variable for detecting standardization. We used the body diameter of vessels as a proxy of size to examine their variation and relationships with vessel shape. We measured body diame</w:t>
      </w:r>
      <w:r>
        <w:t xml:space="preserve">ter directly from each physical vessel in the collection, and we focus on this metric because it is available for more vessels than any other metric. The body diameter of vessels from the Chinese period is larger than those </w:t>
      </w:r>
      <w:r>
        <w:lastRenderedPageBreak/>
        <w:t>from the two earlier periods, an</w:t>
      </w:r>
      <w:r>
        <w:t>d vessels from before European contact have the smallest body diameter on average (Figure 6: A). To investigate vessel form standardization, represented by shape and size, we compared CV for PC1 (as a shape variable) in relation to CV for body diameter (as</w:t>
      </w:r>
      <w:r>
        <w:t xml:space="preserve"> a size variable). The result (Figure 6: B) shows a higher standardization in vessel form in the Chinese period, with smaller CV values compared to those from the other two phases. However, there are no obvious differences in form standardization before an</w:t>
      </w:r>
      <w:r>
        <w:t>d after the European presence. To understand the relationship between shape and size, we computed linear regression models for PCs and body diameter (Figure 6: C). The results demonstrate that shape and size are positively correlated in all phases, as indi</w:t>
      </w:r>
      <w:r>
        <w:t>cated by moderate positive relationships (0.3 ≤ r ≤ 0.7) and small p-values (≤ 0.05), except for PC1 in the Chinese period and PC2 in the pre-European period. In general, the shorter vessels are larger in body diameter according to the significant positive</w:t>
      </w:r>
      <w:r>
        <w:t xml:space="preserve"> correlation. However, vessels from the Chinese period do not show this pattern. For the relationship between PC2 and body diameter, the negative relationship suggests that vessels with a narrower neck and mouth tend to have a larger body diameter.</w:t>
      </w:r>
    </w:p>
    <w:p w:rsidR="00E9318A" w:rsidRDefault="00877FD8">
      <w:r>
        <w:rPr>
          <w:noProof/>
        </w:rPr>
        <w:drawing>
          <wp:inline distT="0" distB="0" distL="0" distR="0">
            <wp:extent cx="5943600" cy="3303243"/>
            <wp:effectExtent l="0" t="0" r="0" b="0"/>
            <wp:docPr id="6" name="Picture" descr="Figure 6: A: Distribution of the body diameter of vessels with coefficients of variation by phases. B: Coefficients of variation of vessel shape represented by PC1 in relation to vessel size represented by body diameter, showing more standardization (lower CV values) in vessel form and size in the Chinese period. C: Correlation between shape variables (PC1 and PC2) and body diameter of vessels with Pearson’s r and p-values by phases"/>
            <wp:cNvGraphicFramePr/>
            <a:graphic xmlns:a="http://schemas.openxmlformats.org/drawingml/2006/main">
              <a:graphicData uri="http://schemas.openxmlformats.org/drawingml/2006/picture">
                <pic:pic xmlns:pic="http://schemas.openxmlformats.org/drawingml/2006/picture">
                  <pic:nvPicPr>
                    <pic:cNvPr id="0" name="Picture" descr="/Users/EmilyWang/Desktop/School%20document/LW-Papers/kwl-pottery-2019/analysis/figures/size-boxplot-regression.jpg"/>
                    <pic:cNvPicPr>
                      <a:picLocks noChangeAspect="1" noChangeArrowheads="1"/>
                    </pic:cNvPicPr>
                  </pic:nvPicPr>
                  <pic:blipFill>
                    <a:blip r:embed="rId14"/>
                    <a:stretch>
                      <a:fillRect/>
                    </a:stretch>
                  </pic:blipFill>
                  <pic:spPr bwMode="auto">
                    <a:xfrm>
                      <a:off x="0" y="0"/>
                      <a:ext cx="5943600" cy="3303243"/>
                    </a:xfrm>
                    <a:prstGeom prst="rect">
                      <a:avLst/>
                    </a:prstGeom>
                    <a:noFill/>
                    <a:ln w="9525">
                      <a:noFill/>
                      <a:headEnd/>
                      <a:tailEnd/>
                    </a:ln>
                  </pic:spPr>
                </pic:pic>
              </a:graphicData>
            </a:graphic>
          </wp:inline>
        </w:drawing>
      </w:r>
    </w:p>
    <w:p w:rsidR="00E9318A" w:rsidRDefault="00877FD8">
      <w:pPr>
        <w:pStyle w:val="ImageCaption"/>
      </w:pPr>
      <w:r>
        <w:t>Figur</w:t>
      </w:r>
      <w:r>
        <w:t>e 6: A: Distribution of the body diameter of vessels with coefficients of variation by phases. B: Coefficients of variation of vessel shape represented by PC1 in relation to vessel size represented by body diameter, showing more standardization (lower CV v</w:t>
      </w:r>
      <w:r>
        <w:t>alues) in vessel form and size in the Chinese period. C: Correlation between shape variables (PC1 and PC2) and body diameter of vessels with Pearson’s r and p-values by phases</w:t>
      </w:r>
    </w:p>
    <w:p w:rsidR="00E9318A" w:rsidRDefault="00877FD8">
      <w:pPr>
        <w:pStyle w:val="Heading1"/>
      </w:pPr>
      <w:bookmarkStart w:id="8" w:name="discussion"/>
      <w:r>
        <w:t>Discussion</w:t>
      </w:r>
      <w:bookmarkEnd w:id="8"/>
    </w:p>
    <w:p w:rsidR="00E9318A" w:rsidRDefault="00877FD8">
      <w:pPr>
        <w:pStyle w:val="FirstParagraph"/>
      </w:pPr>
      <w:r>
        <w:t xml:space="preserve">Previous investigations at Kiwulan suggested an unequal distribution </w:t>
      </w:r>
      <w:r>
        <w:t xml:space="preserve">of prestige goods with high diversity in types, trade ornaments in particular, following the appearance of </w:t>
      </w:r>
      <w:r>
        <w:lastRenderedPageBreak/>
        <w:t xml:space="preserve">Europeans (Cheng, 2008; Wang, 2011). This hinted at the emergence of social inequality within the Indigenous community. To investigate this possible </w:t>
      </w:r>
      <w:r>
        <w:t>relationship between social inequality and foreign presence, we examined shape standardization of ceramics to measure craft specialization as a proxy for social change (Costin, 2001; Junker, 1999). The result of our MANOVA demonstrates significant differen</w:t>
      </w:r>
      <w:r>
        <w:t>ces in shapes between the pre-European and Post-European periods, and pre-European and Chinese periods. The average shape presents as a round body with a wide rim and neck before European contact, which shifts to a more oval-shaped body with narrower rim a</w:t>
      </w:r>
      <w:r>
        <w:t>nd neck after the European presence. Such shape is more pronounced in the Chinese period. In general, vessels become oval-shaped with a restricted mouth over time, which corresponds with an increase in body diameter of vessels. The correlation between shap</w:t>
      </w:r>
      <w:r>
        <w:t>e and body diameter suggests that body diameter significantly varies with vessel shape. Oval-shaped vessels with a narrower opening tended to have a larger body diameter, indicative of a change in overall vessel form.</w:t>
      </w:r>
    </w:p>
    <w:p w:rsidR="00E9318A" w:rsidRDefault="00877FD8">
      <w:pPr>
        <w:pStyle w:val="BodyText"/>
      </w:pPr>
      <w:r>
        <w:t>For the degree of shape standardizatio</w:t>
      </w:r>
      <w:r>
        <w:t>n, our CV tests on PC1 indicate a significant difference between the Chinese period and either pre-European or post-European periods. Analysis of morphological disparity, which measures the positioning of specimens relative to one another in the morphospac</w:t>
      </w:r>
      <w:r>
        <w:t xml:space="preserve">e (Hopkins and Gerber, 2017), supports our finds of shape differences between Chinese contact and either pre-European (p = </w:t>
      </w:r>
      <m:oMath>
        <m:r>
          <w:rPr>
            <w:rFonts w:ascii="Cambria Math" w:hAnsi="Cambria Math"/>
          </w:rPr>
          <m:t>7.159×</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23</m:t>
            </m:r>
          </m:sup>
        </m:sSup>
      </m:oMath>
      <w:r>
        <w:t xml:space="preserve">) or post-European periods (p= </w:t>
      </w:r>
      <m:oMath>
        <m:r>
          <w:rPr>
            <w:rFonts w:ascii="Cambria Math" w:hAnsi="Cambria Math"/>
          </w:rPr>
          <m:t>2.065×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25</m:t>
            </m:r>
          </m:sup>
        </m:sSup>
      </m:oMath>
      <w:r>
        <w:t>) (Wang and Marwick, 2020), suggesting a more standardized shape after contact w</w:t>
      </w:r>
      <w:r>
        <w:t>ith the Chinese. In addition, we found a more homogeneous shape accompanied by a more standardized but also larger size in the Chinese period. Generally, people tend to make mistakes in hand-crafting as the size of an object increases, leading to higher va</w:t>
      </w:r>
      <w:r>
        <w:t>riations in larger artifacts (Eerkens and Bettinger, 2001). However, we found the opposite for ceramics in the Chinese period when using body diameter as our proxy variable of size. This might hint an intentional behavior by Kiwulan potters to achieve a ho</w:t>
      </w:r>
      <w:r>
        <w:t>mogeneous form for the larger vessels. Mineral composition shows that the clay pastes are similar throughout three phases, regardless of the increasing standardization of the pottery shape, reflecting continuity in the raw material sources. We can thus rul</w:t>
      </w:r>
      <w:r>
        <w:t>e out changes in clay fabric as a factor in explaining changes in vessel shape. We note that a small sample size in the Chinese period may lead to a more standardized shape. However, this effect can be reduced using CV statistics that scales variation to m</w:t>
      </w:r>
      <w:r>
        <w:t>agnitude, allowing reliable comparison across uneven sample numbers, even for small sample size (Eerkens and Bettinger, 2001). Moreover, the MSLR test for equality of CVs enables a robust test between different sample numbers (Krishnamoorthy and Lee, 2014)</w:t>
      </w:r>
      <w:r>
        <w:t>.</w:t>
      </w:r>
    </w:p>
    <w:p w:rsidR="00E9318A" w:rsidRDefault="00877FD8">
      <w:pPr>
        <w:pStyle w:val="BodyText"/>
      </w:pPr>
      <w:r>
        <w:t>Whether the shape standardization we found results from craft specialization depends partly on the number of producers, which distinguishes mechanical standardization from intentional standardization defined by stylistic and functional attributes (Costin</w:t>
      </w:r>
      <w:r>
        <w:t>, 2001; Costin and Hagstrum, 1995). Mechanical standardization is related to the appearance of specialized production based on the assumption that increased skills, routinization, and lower diversity of producers will lead to morphological uniformity (Arno</w:t>
      </w:r>
      <w:r>
        <w:t xml:space="preserve">ld, 2000). In our case, relative changes in the potential number of producers may be inferred from changes in population size at Kiwulan. According to the Dutch census in 1648 (Nakamura, 1938, p. </w:t>
      </w:r>
      <w:r>
        <w:lastRenderedPageBreak/>
        <w:t>12), the population at Kiwulan was large but declined in the</w:t>
      </w:r>
      <w:r>
        <w:t xml:space="preserve"> Chinese period due to the movement of Indigenous people to the south (Chen, 2007). This change in population corresponds to a decline in ceramic abundance at Kiwulan. Thus, we model CV values as a function of the mass of ceramics using Poisson GLM with a </w:t>
      </w:r>
      <w:r>
        <w:t xml:space="preserve">link function. The model suggests that ceramic abundance strongly predicts the CV values (β = </w:t>
      </w:r>
      <m:oMath>
        <m:r>
          <w:rPr>
            <w:rFonts w:ascii="Cambria Math" w:hAnsi="Cambria Math"/>
          </w:rPr>
          <m:t>0.06957</m:t>
        </m:r>
      </m:oMath>
      <w:r>
        <w:t xml:space="preserve">, p = </w:t>
      </w:r>
      <m:oMath>
        <m:r>
          <w:rPr>
            <w:rFonts w:ascii="Cambria Math" w:hAnsi="Cambria Math"/>
          </w:rPr>
          <m:t>0</m:t>
        </m:r>
      </m:oMath>
      <w:r>
        <w:t xml:space="preserve">). This indicates that the more standardized vessel shape of the Chinese period may be influenced by a small population, and thus smaller number of </w:t>
      </w:r>
      <w:r>
        <w:t>pottery producers, if ceramic abundance can be taken to reflect the population size.</w:t>
      </w:r>
    </w:p>
    <w:p w:rsidR="00E9318A" w:rsidRDefault="00877FD8">
      <w:pPr>
        <w:pStyle w:val="BodyText"/>
      </w:pPr>
      <w:r>
        <w:t>However, intentional standardization due to considerations of function or style could also contribute to the shape standardization in our case. To explore this aspect of t</w:t>
      </w:r>
      <w:r>
        <w:t>he relationship between shape standardization and craft specialization, we investigated the function and surface decoration of the vessels. We used geochemical methods to extract and identify lipids trapped in the fabric of potsherds to identify foods that</w:t>
      </w:r>
      <w:r>
        <w:t xml:space="preserve"> may have contributed residues absorbed into the clay (cf. Kwak and Marwick, 2015). Unfortunately, we did not obtain useful results due to extremely low lipid yields, which were probably due to the very thin, dense, and low porosity fabric of Kiwulan potte</w:t>
      </w:r>
      <w:r>
        <w:t>ry. These physical characteristics of the clay offer limited spaces to trap and protect organic molecules from microbiological degradation (cf. Evershed, 2008, p. 909). To analyse style, we defined surface impressed decorations, usually consisting of multi</w:t>
      </w:r>
      <w:r>
        <w:t>ple bands of geometric motifs, as types of decorations. If two pots shared the same set of motifs but different arrangements of single bands, we considered them two different types. In general, the ceramics in the Chinese period have slightly fewer variati</w:t>
      </w:r>
      <w:r>
        <w:t>ons in decoration according to the ratio of distinct types to the total number of pottery from each phase (Chinese = 0.71, post-European = 0.81, pre-European = 0.78) (Wang and Marwick, 2020). The limited evidence about function, and slight differences in s</w:t>
      </w:r>
      <w:r>
        <w:t>tyle suggest that intentional standardization may have played only a minor role at Kiwulan, and further evidence is required to completely rule out this factor.</w:t>
      </w:r>
    </w:p>
    <w:p w:rsidR="00E9318A" w:rsidRDefault="00877FD8">
      <w:pPr>
        <w:pStyle w:val="BodyText"/>
      </w:pPr>
      <w:r>
        <w:t>Additional insight into craft specialization at Kiwulan comes from the spatial pattern of ceram</w:t>
      </w:r>
      <w:r>
        <w:t>ics, which provides information about potential production units and production areas (Costin, 2001). Figure 7 shows that the pottery samples have a widespread distribution with high densities of pottery at some units during the European presence. Hypothes</w:t>
      </w:r>
      <w:r>
        <w:t>is testing on spatial randomness indicates a non-randomly dispersed distribution before European contact and a more extreme dispersed distribution after European presence. In contrast, the distribution of pottery is more similar to random distributions dur</w:t>
      </w:r>
      <w:r>
        <w:t xml:space="preserve">ing the Chinese period. This is interesting because it contradicts our expectation that a clustered pattern will be observed with an increase in pottery standardization caused by the emergence of specialized groups (Costin and Hagstrum, 1995). The absence </w:t>
      </w:r>
      <w:r>
        <w:t xml:space="preserve">of clusters in the Chinese period is notable because this was a time of a historically-documented decline of the Indigenous population (Chen, 2007; Hsieh, 2009). We might expect reduced numbers of potters to result in pottery production shrinking to a few </w:t>
      </w:r>
      <w:r>
        <w:t>locations in the settlement during this time. However, despite the small number of vessels during the Chinese contact period, Figure 7 shows that pottery is distributed randomly across the sampling area without any distinctive clusters during this time. As</w:t>
      </w:r>
      <w:r>
        <w:t xml:space="preserve"> population across our three occupation phases declines, we see less clustered distributions of pottery, supporting </w:t>
      </w:r>
      <w:r>
        <w:lastRenderedPageBreak/>
        <w:t>an interpretation of intentional standardization rather than mechanical standardization. The spatial pattern shows that ceramics were mostly</w:t>
      </w:r>
      <w:r>
        <w:t xml:space="preserve"> household-produced, and no specific facilities of production are evident (Chen, 2007).</w:t>
      </w:r>
    </w:p>
    <w:p w:rsidR="00E9318A" w:rsidRDefault="00877FD8">
      <w:r>
        <w:rPr>
          <w:noProof/>
        </w:rPr>
        <w:drawing>
          <wp:inline distT="0" distB="0" distL="0" distR="0">
            <wp:extent cx="5943600" cy="4754880"/>
            <wp:effectExtent l="0" t="0" r="0" b="0"/>
            <wp:docPr id="7" name="Picture" descr="Figure 7: A: The spatial distribution of the pottery selected for shape analysis. The quantity is indicated by the color scale. B: Kernel density maps visulize the probability of the density of pottery across space. The maps show a major core area during the pre-European period, multiple core areas during the European period, and a single core during the Chinese period. The bandwidth is based on Silverman (1986)"/>
            <wp:cNvGraphicFramePr/>
            <a:graphic xmlns:a="http://schemas.openxmlformats.org/drawingml/2006/main">
              <a:graphicData uri="http://schemas.openxmlformats.org/drawingml/2006/picture">
                <pic:pic xmlns:pic="http://schemas.openxmlformats.org/drawingml/2006/picture">
                  <pic:nvPicPr>
                    <pic:cNvPr id="0" name="Picture" descr="../figures/kernel-plot-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rsidR="00E9318A" w:rsidRDefault="00877FD8">
      <w:pPr>
        <w:pStyle w:val="ImageCaption"/>
      </w:pPr>
      <w:r>
        <w:t>Figure 7: A: The spatial distribution of the pottery selected for shape analysis. The quantity is indicated by the color scale. B: Kernel density maps visulize the pr</w:t>
      </w:r>
      <w:r>
        <w:t>obability of the density of pottery across space. The maps show a major core area during the pre-European period, multiple core areas during the European period, and a single core during the Chinese period. The bandwidth is based on Silverman (1986)</w:t>
      </w:r>
    </w:p>
    <w:p w:rsidR="00E9318A" w:rsidRDefault="00877FD8">
      <w:r>
        <w:rPr>
          <w:noProof/>
        </w:rPr>
        <w:lastRenderedPageBreak/>
        <w:drawing>
          <wp:inline distT="0" distB="0" distL="0" distR="0">
            <wp:extent cx="5943600" cy="9907981"/>
            <wp:effectExtent l="0" t="0" r="0" b="0"/>
            <wp:docPr id="8" name="Picture"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wp:cNvGraphicFramePr/>
            <a:graphic xmlns:a="http://schemas.openxmlformats.org/drawingml/2006/main">
              <a:graphicData uri="http://schemas.openxmlformats.org/drawingml/2006/picture">
                <pic:pic xmlns:pic="http://schemas.openxmlformats.org/drawingml/2006/picture">
                  <pic:nvPicPr>
                    <pic:cNvPr id="0" name="Picture" descr="../figures/Monte-Carlo-spatial-pattern-1.png"/>
                    <pic:cNvPicPr>
                      <a:picLocks noChangeAspect="1" noChangeArrowheads="1"/>
                    </pic:cNvPicPr>
                  </pic:nvPicPr>
                  <pic:blipFill>
                    <a:blip r:embed="rId16"/>
                    <a:stretch>
                      <a:fillRect/>
                    </a:stretch>
                  </pic:blipFill>
                  <pic:spPr bwMode="auto">
                    <a:xfrm>
                      <a:off x="0" y="0"/>
                      <a:ext cx="5943600" cy="9907981"/>
                    </a:xfrm>
                    <a:prstGeom prst="rect">
                      <a:avLst/>
                    </a:prstGeom>
                    <a:noFill/>
                    <a:ln w="9525">
                      <a:noFill/>
                      <a:headEnd/>
                      <a:tailEnd/>
                    </a:ln>
                  </pic:spPr>
                </pic:pic>
              </a:graphicData>
            </a:graphic>
          </wp:inline>
        </w:drawing>
      </w:r>
    </w:p>
    <w:p w:rsidR="00E9318A" w:rsidRDefault="00877FD8">
      <w:pPr>
        <w:pStyle w:val="ImageCaption"/>
      </w:pPr>
      <w:r>
        <w:lastRenderedPageBreak/>
        <w:t>Figu</w:t>
      </w:r>
      <w:r>
        <w:t>re 8: Histograms of simulated average nearest-neighbour distances (ANN) values from 1000 simulations for three phases. X-axis values based on meteres represent ANN expected value. Each sample distribution presents the null hypothesis with the blue line ind</w:t>
      </w:r>
      <w:r>
        <w:t>icating the observed ANN value</w:t>
      </w:r>
    </w:p>
    <w:p w:rsidR="00E9318A" w:rsidRDefault="00877FD8">
      <w:pPr>
        <w:pStyle w:val="BodyText"/>
      </w:pPr>
      <w:r>
        <w:t>Our results offer tentative support for the hypothesis that foreign presence at Kiwulan influenced the shape of vessels made by the local Indigenous society. We find that vessel shapes were more standardized during the Chines</w:t>
      </w:r>
      <w:r>
        <w:t>e period than the European period. If increased shape standardization is a reliable indicator of craft specialization, then we may be seeing evidence of a shift from corporate (group-based, distributed, collective, cooperative) to network (individual-based</w:t>
      </w:r>
      <w:r>
        <w:t xml:space="preserve">, competitive) organization (Blanton et al., 1996; Feinman, 2010, 2000, 1995; Feinman et al., 2000). However, strong claims for an emergence of social inequality resulting from foreign contact at Kiwulan will need support from multiple and diverse sources </w:t>
      </w:r>
      <w:r>
        <w:t>of evidence that are beyond the scope of this paper.</w:t>
      </w:r>
    </w:p>
    <w:p w:rsidR="00E9318A" w:rsidRDefault="00877FD8">
      <w:pPr>
        <w:pStyle w:val="BodyText"/>
      </w:pPr>
      <w:r>
        <w:t>Compared to other regions in Taiwan, European colonial influence was weak in Yilan due to isolation by the surrounding mountains, and the economic focus of the Spanish and Dutch who preferred northern an</w:t>
      </w:r>
      <w:r>
        <w:t>d northwest Taiwan as their trading base (cf. Berrocal et al., 2020). Indigenous communities in Yilan experienced indirect influence from European trade networks and their colonial activities in a pericolonial context (cf. Acabado, 2017). In contrast to th</w:t>
      </w:r>
      <w:r>
        <w:t>e Indigenous-European interactions at Kiwulan, interaction between Indigenous people and Chinese immigrants in the 19th century appears to have been more intense and direct. Historical records indicate that Chinese groups settled in Yilan and lived closely</w:t>
      </w:r>
      <w:r>
        <w:t xml:space="preserve"> with Kiwulan Indigenous societies (Chen, 1963; Ke, 1993). This direct influence is reflected by the archaeological evidence of large amounts of Chinese porcelain and distinctive Chinese architectural bricks and tiles (Hsieh, 2009). Similarly, burials at K</w:t>
      </w:r>
      <w:r>
        <w:t>iwulan in this later phase show the adoption of coffins in mortuary practices, which Chiu (2004) interprets as the adoption of a symbol of ethnic Chinese.</w:t>
      </w:r>
    </w:p>
    <w:p w:rsidR="00E9318A" w:rsidRDefault="00877FD8">
      <w:pPr>
        <w:pStyle w:val="BodyText"/>
      </w:pPr>
      <w:r>
        <w:t>The shape variation reported here is subtle and invites consideration of another possible scenario, n</w:t>
      </w:r>
      <w:r>
        <w:t>amely that the absence of major changes in vessel shape at Kiwulan may have been an act to show ethnic identity when experiencing foreign influences (cf. Torrence and A. Clarke, 2000b). Ceramic morphology could be a signal for communication between potters</w:t>
      </w:r>
      <w:r>
        <w:t xml:space="preserve">, such that repeating the same shape or slight modifications may have occurred in a non-deterministic way (Kubler, 1962). As the only type of locally made pottery throughout 600 years, the homogeneous and even more standardized shape in the Chinese period </w:t>
      </w:r>
      <w:r>
        <w:t>might convey some meaningful information about community identity. We recognize the decline in population may lead to a standardized shape, however, the evidence of ceramic spatial distribution shows a dispersed or random pattern across the whole area thro</w:t>
      </w:r>
      <w:r>
        <w:t>ughout three phases. This indicates manufacturing activities may be limited to the household scale and reflect a common, shared practice in the community. The standardization in vessel shape over time draws our attention to the endurance of traditional pot</w:t>
      </w:r>
      <w:r>
        <w:t>tery production practices amid intrusions from Europeans and Chinese. In a culture contact situation, we speculate that social identity might have be expressed through material practices as a means of expressing cultural homogeneity and distinction from ot</w:t>
      </w:r>
      <w:r>
        <w:t>her groups (Voss, 2005).</w:t>
      </w:r>
      <w:r>
        <w:br/>
        <w:t xml:space="preserve">It is also important to recognize that social identity might be more complicated in a colonial context, and maybe representative of more than a colonized–colonizer or local/foreign </w:t>
      </w:r>
      <w:r>
        <w:lastRenderedPageBreak/>
        <w:t>dichotomy (Voss, 2008, 2005). For example, the Sha</w:t>
      </w:r>
      <w:r>
        <w:t>maoshan cemetery (BC 250 to 55 AD) in Southwest China suggests that the process of the incorporation of Southwest China into the Han Empire involved a century of conflicts, resistance, and acceptance among social groups with different identities, especiall</w:t>
      </w:r>
      <w:r>
        <w:t>y in the historical context of Han immigrants (Wu et al., 2019). At the Oconee Valley (AD 1540 to 1670) in the Southeastern United States, Indigenous endurance and resilience are indicated by the long-term persistence of mound use lasting for 130 years aft</w:t>
      </w:r>
      <w:r>
        <w:t>er the initial contact with European colonizers (Holland-Lulewicz et al., 2020). A similar dynamic may have occurred at Kiwulan, with vessel shape indicating both acceptance of foreign influence through increased shape standardization, and resistance throu</w:t>
      </w:r>
      <w:r>
        <w:t xml:space="preserve">gh the overall continuity in vessel shape. Vessel shape may be viewed as a symbolic expression of Indigenous identity and social boundaries because shape is a highly visible trait compared with other features of pottery (cf. Roux, 2015). Although there is </w:t>
      </w:r>
      <w:r>
        <w:t>an increase in number of imported ceramics through time at Kiwulan, production of the same type of local ceramics was continuous, and increasingly standardized. This might imply not only the utilitarian function, but an intentional and increased emphasis o</w:t>
      </w:r>
      <w:r>
        <w:t>n the local ceramic tradition, their cultural custom, as a response to intensified foreign contact (cf. Acabado, 2017). However, additional lines of evidence are necessary from Kiwulan to confirm this speculation.</w:t>
      </w:r>
    </w:p>
    <w:p w:rsidR="00E9318A" w:rsidRDefault="00877FD8">
      <w:pPr>
        <w:pStyle w:val="Heading1"/>
      </w:pPr>
      <w:bookmarkStart w:id="9" w:name="conclusion"/>
      <w:r>
        <w:t>Conclusion</w:t>
      </w:r>
      <w:bookmarkEnd w:id="9"/>
    </w:p>
    <w:p w:rsidR="00E9318A" w:rsidRDefault="00877FD8">
      <w:pPr>
        <w:pStyle w:val="FirstParagraph"/>
      </w:pPr>
      <w:r>
        <w:t>This study demonstrated the first use of EFA on ceramic shapes to explore the emergence of ceramic specialization as indicative of foreign influences. Here, EFA is combined with significance tests for the equality of CVs of shape variables to provide a rob</w:t>
      </w:r>
      <w:r>
        <w:t xml:space="preserve">ust method for assessing differences in shape standardization. The direct relationship between foreign influences and standardization of ceramic shape was tested on ceramics from Kiwulan, a large Iron Age Indigenous settlement in northeastern Taiwan. Much </w:t>
      </w:r>
      <w:r>
        <w:t xml:space="preserve">lower variation in ceramic shape was identified during the period of Chinese presence. Our findings help to expand upon those factors that may lead to the standardization of ceramic production in a pericolonial interaction context. More homogeneous vessel </w:t>
      </w:r>
      <w:r>
        <w:t>shapes and sizes during the Chinese period, without any substantial changes in clay paste composition, production technique, and spatial distribution, suggest that shape standardization emerges from a combination of mechanical and intentional factors. Disc</w:t>
      </w:r>
      <w:r>
        <w:t>rete groups of producers are not evident, favoring the role of intentional factors in this case. The distribution of ceramics in the Chinese period does not support clustered patterns of manufacturing locations, such as workshops. Instead, ceramic producti</w:t>
      </w:r>
      <w:r>
        <w:t>on is likely to have occurred in households. We speculate that the relatively homogeneous appearance of the vessels may suggest an expression of social identity or cultural boundaries in Indigenous societies through highly visible vessel qualities, such as</w:t>
      </w:r>
      <w:r>
        <w:t xml:space="preserve"> shape. The symbolic value of these shapes may be heightened during periods of foreign contact in pericolonial contexts. Our analysis, with its openly available methods and data, is readily extensible to other pottery assemblages in the region to further e</w:t>
      </w:r>
      <w:r>
        <w:t>xplore related questions about craft specialization and standardization in ceramic assemblages. This study also broadens the GMM field by focusing on ceramic technologies, which may motivate more ceramic studies and become a promising branch parallel to cu</w:t>
      </w:r>
      <w:r>
        <w:t>rrent applications to lithic typology and bone morphology.</w:t>
      </w:r>
    </w:p>
    <w:p w:rsidR="00E9318A" w:rsidRDefault="00877FD8">
      <w:pPr>
        <w:pStyle w:val="Heading1"/>
      </w:pPr>
      <w:bookmarkStart w:id="10" w:name="acknowledgments"/>
      <w:r>
        <w:lastRenderedPageBreak/>
        <w:t>Acknowledgments</w:t>
      </w:r>
      <w:bookmarkEnd w:id="10"/>
    </w:p>
    <w:p w:rsidR="00E9318A" w:rsidRDefault="00877FD8">
      <w:pPr>
        <w:pStyle w:val="FirstParagraph"/>
      </w:pPr>
      <w:r>
        <w:t>We would like to thank the Yilan County Cultural Affairs Bureau in Taiwan for permitting access to the pottery used in this study and providing the shape images. We thank Dr. Wen-Sh</w:t>
      </w:r>
      <w:r>
        <w:t>an Chen in the Department of Geosciences, National Taiwan University for his invaluable guidance of petrographic analysis at his lab. We thank the Quaternary Research Center funding for supporting the organic residue analysis in this project. We thank Dr. </w:t>
      </w:r>
      <w:r>
        <w:t xml:space="preserve">Julian Sachs in the Department of Oceanography, University of Washington for his supports and suggestions for conducting organic geochemistry analysis of potsherds. We thank Dr. Matthew Wolhowe for his help in developing protocols for lipid extraction and </w:t>
      </w:r>
      <w:r>
        <w:t>his assistance with the GC-MS, GC-FID, and GC-C-IRMS analyses. This research used statistical consulting resources provided by the Center for Statistics and the Social Sciences, University of Washington.</w:t>
      </w:r>
      <w:r w:rsidR="00AD02AC">
        <w:t xml:space="preserve"> </w:t>
      </w:r>
      <w:r w:rsidR="00AD02AC" w:rsidRPr="00AD02AC">
        <w:t>We also thank anonymous reviewers for their insightful comments that have greatly improved this manuscript.</w:t>
      </w:r>
    </w:p>
    <w:p w:rsidR="00E9318A" w:rsidRDefault="00877FD8">
      <w:pPr>
        <w:pStyle w:val="Heading5"/>
      </w:pPr>
      <w:bookmarkStart w:id="11" w:name="pagebreak"/>
      <w:r>
        <w:lastRenderedPageBreak/>
        <w:t>pagebreak</w:t>
      </w:r>
      <w:bookmarkEnd w:id="11"/>
    </w:p>
    <w:p w:rsidR="00E9318A" w:rsidRDefault="00877FD8">
      <w:pPr>
        <w:pStyle w:val="Heading1"/>
      </w:pPr>
      <w:bookmarkStart w:id="12" w:name="references"/>
      <w:r>
        <w:t>References</w:t>
      </w:r>
      <w:bookmarkEnd w:id="12"/>
    </w:p>
    <w:p w:rsidR="00E9318A" w:rsidRDefault="00877FD8">
      <w:pPr>
        <w:pStyle w:val="Bibliography"/>
      </w:pPr>
      <w:bookmarkStart w:id="13" w:name="ref-Acabado2017"/>
      <w:bookmarkStart w:id="14" w:name="refs"/>
      <w:r>
        <w:t>Acabado, S., 2017. The archaeology of pericolonialism: Responses of the “unconquered” to Spanish conquest and colonialism in Ifugao, Philippines. International Journal of Historical Archaeology 21, 1–26.</w:t>
      </w:r>
    </w:p>
    <w:p w:rsidR="00E9318A" w:rsidRDefault="00877FD8">
      <w:pPr>
        <w:pStyle w:val="Bibliography"/>
      </w:pPr>
      <w:bookmarkStart w:id="15" w:name="ref-Adams2004"/>
      <w:bookmarkEnd w:id="13"/>
      <w:r>
        <w:t>Adams, D.C., Rohlf, F.J., Slice, D.E., 2004. Geometr</w:t>
      </w:r>
      <w:r>
        <w:t>ic morphometrics: Ten years of progress following the “revolution”. Italian Journal of Zoology 71, 5–16.</w:t>
      </w:r>
    </w:p>
    <w:p w:rsidR="00E9318A" w:rsidRDefault="00877FD8">
      <w:pPr>
        <w:pStyle w:val="Bibliography"/>
      </w:pPr>
      <w:bookmarkStart w:id="16" w:name="ref-Andrade2007"/>
      <w:bookmarkEnd w:id="15"/>
      <w:r>
        <w:t>Andrade, T., 2007. How Taiwan became Chinese: Dutch, Spanish, and Han colonization in the seventeenth century. Columbia University Press, New York.</w:t>
      </w:r>
    </w:p>
    <w:p w:rsidR="00E9318A" w:rsidRDefault="00877FD8">
      <w:pPr>
        <w:pStyle w:val="Bibliography"/>
      </w:pPr>
      <w:bookmarkStart w:id="17" w:name="ref-Aramendi2019"/>
      <w:bookmarkEnd w:id="16"/>
      <w:r>
        <w:t>Ara</w:t>
      </w:r>
      <w:r>
        <w:t>mendi, J., Arriaza, M.C., Yravedra, J., Maté-González, M.Á., Ortega, M.C., Courtenay, L.A., González-Aguilera, D., Gidna, A., Mabulla, A., Baquedano, E., others, 2019. Who ate OH80 (Olduvai Gorge, Tanzania)? A geometric-morphometric analysis of surface bon</w:t>
      </w:r>
      <w:r>
        <w:t>e modifications of a Paranthropus boisei skeleton. Quaternary international 517, 118–130.</w:t>
      </w:r>
    </w:p>
    <w:p w:rsidR="00E9318A" w:rsidRDefault="00877FD8">
      <w:pPr>
        <w:pStyle w:val="Bibliography"/>
      </w:pPr>
      <w:bookmarkStart w:id="18" w:name="ref-Archer2015"/>
      <w:bookmarkEnd w:id="17"/>
      <w:r>
        <w:t xml:space="preserve">Archer, W., Gunz, P., Niekerk, K.L. van, Henshilwood, C.S., McPherron, S.P., 2015. Diachronic change within the still bay at Blombos cave, South Africa. PLoS One 10, </w:t>
      </w:r>
      <w:r>
        <w:t>e0132428.</w:t>
      </w:r>
    </w:p>
    <w:p w:rsidR="00E9318A" w:rsidRDefault="00877FD8">
      <w:pPr>
        <w:pStyle w:val="Bibliography"/>
      </w:pPr>
      <w:bookmarkStart w:id="19" w:name="ref-Arnold2000"/>
      <w:bookmarkEnd w:id="18"/>
      <w:r>
        <w:t>Arnold, D.E., 2000. Does the standardization of ceramic pastes really mean specialization? Journal of Archaeological Method and Theory 7, 333–375.</w:t>
      </w:r>
    </w:p>
    <w:p w:rsidR="00E9318A" w:rsidRDefault="00877FD8">
      <w:pPr>
        <w:pStyle w:val="Bibliography"/>
      </w:pPr>
      <w:bookmarkStart w:id="20" w:name="ref-Berrocal2020"/>
      <w:bookmarkEnd w:id="19"/>
      <w:r>
        <w:t>Berrocal, M.C., Serrano, E., Valentin, F., Tsang, C.-h., Gorostiza, A., Campoy, E., Pereira, R., Ma</w:t>
      </w:r>
      <w:r>
        <w:t>rtı́n, A.G., Bracker, K., 2020. The study of European migration in Asia-Pacific during the early modern period: San Salvador de Isla Hermosa (Keelung, Taiwan). International Journal of Historical Archaeology 1–51.</w:t>
      </w:r>
    </w:p>
    <w:p w:rsidR="00E9318A" w:rsidRDefault="00877FD8">
      <w:pPr>
        <w:pStyle w:val="Bibliography"/>
      </w:pPr>
      <w:bookmarkStart w:id="21" w:name="ref-Birch2019"/>
      <w:bookmarkEnd w:id="20"/>
      <w:r>
        <w:t>Birch, T., Martinón-Torres, M., 2019. Shap</w:t>
      </w:r>
      <w:r>
        <w:t>e as a measure of weapon standardisation: From metric to geometric morphometric analysis of the Iron Age “Havor” lance from Southern Scandinavia. Journal of Archaeological Science 101, 34–51.</w:t>
      </w:r>
    </w:p>
    <w:p w:rsidR="00E9318A" w:rsidRDefault="00877FD8">
      <w:pPr>
        <w:pStyle w:val="Bibliography"/>
      </w:pPr>
      <w:bookmarkStart w:id="22" w:name="ref-Blackman1993"/>
      <w:bookmarkEnd w:id="21"/>
      <w:r>
        <w:t>Blackman, M.J., Stein, G.J., Vandiver, P.B., 1993. The standardi</w:t>
      </w:r>
      <w:r>
        <w:t>zation hypothesis and ceramic mass production: Technological, compositional, and metric indices of craft specialization at Tell Leilan, Syria. American Antiquity 58, 60–80.</w:t>
      </w:r>
    </w:p>
    <w:p w:rsidR="00E9318A" w:rsidRDefault="00877FD8">
      <w:pPr>
        <w:pStyle w:val="Bibliography"/>
      </w:pPr>
      <w:bookmarkStart w:id="23" w:name="ref-Blanton1996"/>
      <w:bookmarkEnd w:id="22"/>
      <w:r>
        <w:t>Blanton, R.E., Feinman, G.M., Kowalewski, S.A., Peregrine, P.N., 1996. A dual-proce</w:t>
      </w:r>
      <w:r>
        <w:t>ssual theory for the evolution of Mesoamerican civilization. Current anthropology 37, 1–14.</w:t>
      </w:r>
    </w:p>
    <w:p w:rsidR="00E9318A" w:rsidRDefault="00877FD8">
      <w:pPr>
        <w:pStyle w:val="Bibliography"/>
      </w:pPr>
      <w:bookmarkStart w:id="24" w:name="ref-Boness2015"/>
      <w:bookmarkEnd w:id="23"/>
      <w:r>
        <w:t xml:space="preserve">Boness, D., Clarke, J., Goren, Y., 2015. Ceramic Neolithic pottery in Cyprus—origin, technology and possible implications for social structure and identity. Levant </w:t>
      </w:r>
      <w:r>
        <w:t>47, 233–254.</w:t>
      </w:r>
    </w:p>
    <w:p w:rsidR="00E9318A" w:rsidRDefault="00877FD8">
      <w:pPr>
        <w:pStyle w:val="Bibliography"/>
      </w:pPr>
      <w:bookmarkStart w:id="25" w:name="ref-Bonhomme2014"/>
      <w:bookmarkEnd w:id="24"/>
      <w:r>
        <w:t>Bonhomme, V., Picq, S., Gaucherel, C., Claude, J., others, 2014. Momocs: Outline analysis using R. Journal of Statistical Software 56, 1–24.</w:t>
      </w:r>
    </w:p>
    <w:p w:rsidR="00E9318A" w:rsidRDefault="00877FD8">
      <w:pPr>
        <w:pStyle w:val="Bibliography"/>
      </w:pPr>
      <w:bookmarkStart w:id="26" w:name="ref-Bookstein1997"/>
      <w:bookmarkEnd w:id="25"/>
      <w:r>
        <w:t>Bookstein, F.L., 1997. Landmark methods for forms without landmarks: Morphometrics of group difference</w:t>
      </w:r>
      <w:r>
        <w:t>s in outline shape. Medical Image Analysis 1, 225–243.</w:t>
      </w:r>
    </w:p>
    <w:p w:rsidR="00E9318A" w:rsidRDefault="00877FD8">
      <w:pPr>
        <w:pStyle w:val="Bibliography"/>
      </w:pPr>
      <w:bookmarkStart w:id="27" w:name="ref-Bookstein1991"/>
      <w:bookmarkEnd w:id="26"/>
      <w:r>
        <w:lastRenderedPageBreak/>
        <w:t>Bookstein, F.L., 1991. Morphometric tools for landmark data: Geometry and biology. Cambridge University Press.</w:t>
      </w:r>
    </w:p>
    <w:p w:rsidR="00E9318A" w:rsidRDefault="00877FD8">
      <w:pPr>
        <w:pStyle w:val="Bibliography"/>
      </w:pPr>
      <w:bookmarkStart w:id="28" w:name="ref-Buchanan2018"/>
      <w:bookmarkEnd w:id="27"/>
      <w:r>
        <w:t xml:space="preserve">Buchanan, B., Andrews, B., O’Brien, M.J., Eren, M.I., 2018. An assessment of stone weapon </w:t>
      </w:r>
      <w:r>
        <w:t>tip standardization during the Clovis–Folsom Transition in the Western United States. American Antiquity 83, 721–734.</w:t>
      </w:r>
    </w:p>
    <w:p w:rsidR="00E9318A" w:rsidRDefault="00877FD8">
      <w:pPr>
        <w:pStyle w:val="Bibliography"/>
      </w:pPr>
      <w:bookmarkStart w:id="29" w:name="ref-Cardillo2010"/>
      <w:bookmarkEnd w:id="28"/>
      <w:r>
        <w:t>Cardillo, M., 2010. Some applications of geometric morphometrics to archaeology, in: Elewa, A.M.T. (Ed.), Morphometrics for Nonmorphometri</w:t>
      </w:r>
      <w:r>
        <w:t>cians. Springer, pp. 325–341.</w:t>
      </w:r>
    </w:p>
    <w:p w:rsidR="00E9318A" w:rsidRDefault="00877FD8">
      <w:pPr>
        <w:pStyle w:val="Bibliography"/>
      </w:pPr>
      <w:bookmarkStart w:id="30" w:name="ref-Chen1963"/>
      <w:bookmarkEnd w:id="29"/>
      <w:r>
        <w:t>Chen, S., 1963. Kavalan ting zhi [Kavalen culture history], Taiwan wen xian cong kan di 106 zhong [Taiwan literature series: 106]. Economic Research Office, Bank of Taiwan, Taipei.</w:t>
      </w:r>
    </w:p>
    <w:p w:rsidR="00E9318A" w:rsidRDefault="00877FD8">
      <w:pPr>
        <w:pStyle w:val="Bibliography"/>
      </w:pPr>
      <w:bookmarkStart w:id="31" w:name="ref-Chen2016"/>
      <w:bookmarkEnd w:id="30"/>
      <w:r>
        <w:t xml:space="preserve">Chen, W.-S., 2016. Taiwan di zhi gai lun [An </w:t>
      </w:r>
      <w:r>
        <w:t>introduction to the geology of Taiwan]. Geological Society Located in Taipei.</w:t>
      </w:r>
    </w:p>
    <w:p w:rsidR="00E9318A" w:rsidRDefault="00877FD8">
      <w:pPr>
        <w:pStyle w:val="Bibliography"/>
      </w:pPr>
      <w:bookmarkStart w:id="32" w:name="ref-Chen2007"/>
      <w:bookmarkEnd w:id="31"/>
      <w:r>
        <w:t>Chen, Y.-p., 2007. Qi wu lan yi zhi qiang jiu fa jue bao gao [Report on the archaeological excavations at Ki-Wu-Lan site]. Lanyang museum, Yilan, Taiwan.</w:t>
      </w:r>
    </w:p>
    <w:p w:rsidR="00E9318A" w:rsidRDefault="00877FD8">
      <w:pPr>
        <w:pStyle w:val="Bibliography"/>
      </w:pPr>
      <w:bookmarkStart w:id="33" w:name="ref-Cheng2008"/>
      <w:bookmarkEnd w:id="32"/>
      <w:r>
        <w:t>Cheng, C.-f., 2008. Qi w</w:t>
      </w:r>
      <w:r>
        <w:t>u lan yi zhi yu she nei yi zhi chu tu bo li zhu de xiang guan yan jiu [Studies of glass beads excavated from Kivulan and Shenei site, Taiwan] (Master’s thesis).</w:t>
      </w:r>
    </w:p>
    <w:p w:rsidR="00E9318A" w:rsidRDefault="00877FD8">
      <w:pPr>
        <w:pStyle w:val="Bibliography"/>
      </w:pPr>
      <w:bookmarkStart w:id="34" w:name="ref-Chiu2004"/>
      <w:bookmarkEnd w:id="33"/>
      <w:r>
        <w:t>Chiu, H.-l., 2004. Investigations of mortuary behaviors and cultural change of the Kivulan site</w:t>
      </w:r>
      <w:r>
        <w:t xml:space="preserve"> in I-Lan county, Taiwan (Dissertation).</w:t>
      </w:r>
    </w:p>
    <w:p w:rsidR="00E9318A" w:rsidRDefault="00877FD8">
      <w:pPr>
        <w:pStyle w:val="Bibliography"/>
      </w:pPr>
      <w:bookmarkStart w:id="35" w:name="ref-Claude2008"/>
      <w:bookmarkEnd w:id="34"/>
      <w:r>
        <w:t>Claude, J., 2008. Morphometrics with R. Springer Science &amp; Business Media.</w:t>
      </w:r>
    </w:p>
    <w:p w:rsidR="00E9318A" w:rsidRDefault="00877FD8">
      <w:pPr>
        <w:pStyle w:val="Bibliography"/>
      </w:pPr>
      <w:bookmarkStart w:id="36" w:name="ref-Costin2001"/>
      <w:bookmarkEnd w:id="35"/>
      <w:r>
        <w:t>Costin, C.L., 2001. Craft production systems, in: Archaeology at the Millennium. Springer, pp. 273–327.</w:t>
      </w:r>
    </w:p>
    <w:p w:rsidR="00E9318A" w:rsidRDefault="00877FD8">
      <w:pPr>
        <w:pStyle w:val="Bibliography"/>
      </w:pPr>
      <w:bookmarkStart w:id="37" w:name="ref-Costin1991"/>
      <w:bookmarkEnd w:id="36"/>
      <w:r>
        <w:t>Costin, C.L., 1991. Craft specialization: Issues in defining, documenting, and explaining the organization of production. Archaeological Method and Theory 3, 1–56.</w:t>
      </w:r>
    </w:p>
    <w:p w:rsidR="00E9318A" w:rsidRDefault="00877FD8">
      <w:pPr>
        <w:pStyle w:val="Bibliography"/>
      </w:pPr>
      <w:bookmarkStart w:id="38" w:name="ref-Costin1995"/>
      <w:bookmarkEnd w:id="37"/>
      <w:r>
        <w:t>Costin, C.L., Hagstrum, M.B., 1995. Standardization, labor investment, skill, and the organi</w:t>
      </w:r>
      <w:r>
        <w:t>zation of ceramic production in late prehispanic highland Peru. American Antiquity 619–639.</w:t>
      </w:r>
    </w:p>
    <w:p w:rsidR="00E9318A" w:rsidRDefault="00877FD8">
      <w:pPr>
        <w:pStyle w:val="Bibliography"/>
      </w:pPr>
      <w:bookmarkStart w:id="39" w:name="ref-Courtenay2019"/>
      <w:bookmarkEnd w:id="38"/>
      <w:r>
        <w:t>Courtenay, L.A., Yravedra, J., Mate-González, M.Á., Aramendi, J., González-Aguilera, D., 2019. 3D analysis of cut marks using a new geometric morphometric methodolo</w:t>
      </w:r>
      <w:r>
        <w:t>gical approach. Archaeological and Anthropological Sciences 11, 651–665.</w:t>
      </w:r>
    </w:p>
    <w:p w:rsidR="00E9318A" w:rsidRDefault="00877FD8">
      <w:pPr>
        <w:pStyle w:val="Bibliography"/>
      </w:pPr>
      <w:bookmarkStart w:id="40" w:name="ref-Dietler2015"/>
      <w:bookmarkEnd w:id="39"/>
      <w:r>
        <w:t>Dietler, M., 2015. Archaeologies of colonialism: Consumption, entanglement, and violence in ancient Mediterranean France. Univ of California Press.</w:t>
      </w:r>
    </w:p>
    <w:p w:rsidR="00E9318A" w:rsidRDefault="00877FD8">
      <w:pPr>
        <w:pStyle w:val="Bibliography"/>
      </w:pPr>
      <w:bookmarkStart w:id="41" w:name="ref-Dietler2005"/>
      <w:bookmarkEnd w:id="40"/>
      <w:r>
        <w:t xml:space="preserve">Dietler, M., 2005. The archaeology </w:t>
      </w:r>
      <w:r>
        <w:t>of colonization and the colonization of archaeology: Theoretical challenges from an ancient Mediterranean colonial encounter, in: Stein, G. (Ed.), The Archaeology of Colonial Encounters: Comparative Perspectives. NM: Sch. Am. Res. Press, Santa Fe, pp. 33–6</w:t>
      </w:r>
      <w:r>
        <w:t>8.</w:t>
      </w:r>
    </w:p>
    <w:p w:rsidR="00E9318A" w:rsidRDefault="00877FD8">
      <w:pPr>
        <w:pStyle w:val="Bibliography"/>
      </w:pPr>
      <w:bookmarkStart w:id="42" w:name="ref-Dietler1997"/>
      <w:bookmarkEnd w:id="41"/>
      <w:r>
        <w:lastRenderedPageBreak/>
        <w:t>Dietler, M., 1997. The Iron Age in Mediterranean France: Colonial encounters, entanglements, and transformations. Journal of World Prehistory 11, 269–358.</w:t>
      </w:r>
    </w:p>
    <w:p w:rsidR="00E9318A" w:rsidRDefault="00877FD8">
      <w:pPr>
        <w:pStyle w:val="Bibliography"/>
      </w:pPr>
      <w:bookmarkStart w:id="43" w:name="ref-Doyon2019"/>
      <w:bookmarkEnd w:id="42"/>
      <w:r>
        <w:t>Doyon, L., 2019. On the shape of things: A geometric morphometrics approach to investigate Aurigna</w:t>
      </w:r>
      <w:r>
        <w:t>cian group membership. Journal of Archaeological Science 101, 99–114.</w:t>
      </w:r>
    </w:p>
    <w:p w:rsidR="00E9318A" w:rsidRDefault="00877FD8">
      <w:pPr>
        <w:pStyle w:val="Bibliography"/>
      </w:pPr>
      <w:bookmarkStart w:id="44" w:name="ref-Eerkens2000"/>
      <w:bookmarkEnd w:id="43"/>
      <w:r>
        <w:t>Eerkens, J.W., 2000. Practice makes within 5% of perfect: Visual perception, motor skills, and memory in artifact variation. Current Anthropology 41, 663–668.</w:t>
      </w:r>
    </w:p>
    <w:p w:rsidR="00E9318A" w:rsidRDefault="00877FD8">
      <w:pPr>
        <w:pStyle w:val="Bibliography"/>
      </w:pPr>
      <w:bookmarkStart w:id="45" w:name="ref-Eerkens2001"/>
      <w:bookmarkEnd w:id="44"/>
      <w:r>
        <w:t>Eerkens, J.W., Bettinger, R</w:t>
      </w:r>
      <w:r>
        <w:t>.L., 2001. Techniques for assessing standardization in artifact assemblages: Can we scale material variability? American Antiquity 66, 493–504.</w:t>
      </w:r>
    </w:p>
    <w:p w:rsidR="00E9318A" w:rsidRDefault="00877FD8">
      <w:pPr>
        <w:pStyle w:val="Bibliography"/>
      </w:pPr>
      <w:bookmarkStart w:id="46" w:name="ref-Eren2015"/>
      <w:bookmarkEnd w:id="45"/>
      <w:r>
        <w:t>Eren, M.I., Buchanan, B., O’Brien, M.J., 2015. Social learning and technological evolution during the Clovis col</w:t>
      </w:r>
      <w:r>
        <w:t>onization of the New World. Journal of Human Evolution 80, 159–170.</w:t>
      </w:r>
    </w:p>
    <w:p w:rsidR="00E9318A" w:rsidRDefault="00877FD8">
      <w:pPr>
        <w:pStyle w:val="Bibliography"/>
      </w:pPr>
      <w:bookmarkStart w:id="47" w:name="ref-Evershed2008"/>
      <w:bookmarkEnd w:id="46"/>
      <w:r>
        <w:t>Evershed, R.P., 2008. Organic residue analysis in archaeology: The archaeological biomarker revolution. Archaeometry 50, 895–924.</w:t>
      </w:r>
    </w:p>
    <w:p w:rsidR="00E9318A" w:rsidRDefault="00877FD8">
      <w:pPr>
        <w:pStyle w:val="Bibliography"/>
      </w:pPr>
      <w:bookmarkStart w:id="48" w:name="ref-Feinman2010"/>
      <w:bookmarkEnd w:id="47"/>
      <w:r>
        <w:t xml:space="preserve">Feinman, G.M., 2010. A dual-processual perspective on the </w:t>
      </w:r>
      <w:r>
        <w:t>power and inequality in the contemporary United States: Framing political economy for the present and the past, in: Price, T.D., Feinman, G.M. (Eds.), Pathways to Power: New Perspectives on the Emergence of Social Inequality. Springer, pp. 255–275.</w:t>
      </w:r>
    </w:p>
    <w:p w:rsidR="00E9318A" w:rsidRDefault="00877FD8">
      <w:pPr>
        <w:pStyle w:val="Bibliography"/>
      </w:pPr>
      <w:bookmarkStart w:id="49" w:name="ref-Feinman2000"/>
      <w:bookmarkEnd w:id="48"/>
      <w:r>
        <w:t>Feinman</w:t>
      </w:r>
      <w:r>
        <w:t>, G.M., 2000. Corporate/network: New perspectives on models of political action and the Puebloan Southwest, in: Schiffer, M.B. (Ed.), Social Theory in Archaeology. University of Utah Press, pp. 31–51.</w:t>
      </w:r>
    </w:p>
    <w:p w:rsidR="00E9318A" w:rsidRDefault="00877FD8">
      <w:pPr>
        <w:pStyle w:val="Bibliography"/>
      </w:pPr>
      <w:bookmarkStart w:id="50" w:name="ref-Feinman1995"/>
      <w:bookmarkEnd w:id="49"/>
      <w:r>
        <w:t>Feinman, G.M., 1995. The emergence of inequality: A foc</w:t>
      </w:r>
      <w:r>
        <w:t>us on strategies and processes, in: Price, T.D., Feinman, G.M. (Eds.), Foundations of Social Inequality. Springer Science &amp; Business Media, New York: Plenum Press, pp. 255–275.</w:t>
      </w:r>
    </w:p>
    <w:p w:rsidR="00E9318A" w:rsidRDefault="00877FD8">
      <w:pPr>
        <w:pStyle w:val="Bibliography"/>
      </w:pPr>
      <w:bookmarkStart w:id="51" w:name="ref-Feinman2000political"/>
      <w:bookmarkEnd w:id="50"/>
      <w:r>
        <w:t>Feinman, G.M., Lightfoot, K.G., Upham, S., 2000. Political hierarchies and orga</w:t>
      </w:r>
      <w:r>
        <w:t>nizational strategies in the Puebloan Southwest. American Antiquity 65, 449–470.</w:t>
      </w:r>
    </w:p>
    <w:p w:rsidR="00E9318A" w:rsidRDefault="00877FD8">
      <w:pPr>
        <w:pStyle w:val="Bibliography"/>
      </w:pPr>
      <w:bookmarkStart w:id="52" w:name="ref-Feltz1996"/>
      <w:bookmarkEnd w:id="51"/>
      <w:r>
        <w:t>Feltz, C.J., Miller, G.E., 1996. An asymptotic test for the equality of coefficients of variation from k populations. Statistics in Medicine 15, 647–658.</w:t>
      </w:r>
    </w:p>
    <w:p w:rsidR="00E9318A" w:rsidRDefault="00877FD8">
      <w:pPr>
        <w:pStyle w:val="Bibliography"/>
      </w:pPr>
      <w:bookmarkStart w:id="53" w:name="ref-Fox2015"/>
      <w:bookmarkEnd w:id="52"/>
      <w:r>
        <w:t>Fox, A.N., 2015. A st</w:t>
      </w:r>
      <w:r>
        <w:t>udy of late woodland projectile point typology in New York using elliptical Fourier outline analysis. Journal of Archaeological Science: Reports 4, 501–509.</w:t>
      </w:r>
    </w:p>
    <w:p w:rsidR="00E9318A" w:rsidRDefault="00877FD8">
      <w:pPr>
        <w:pStyle w:val="Bibliography"/>
      </w:pPr>
      <w:bookmarkStart w:id="54" w:name="ref-Gero1984"/>
      <w:bookmarkEnd w:id="53"/>
      <w:r>
        <w:t>Gero, J., Mazzullo, J., 1984. Analysis of artifact shape using Fourier series in closed form. Journ</w:t>
      </w:r>
      <w:r>
        <w:t>al of Field Archaeology 11, 315–322.</w:t>
      </w:r>
    </w:p>
    <w:p w:rsidR="00E9318A" w:rsidRDefault="00877FD8">
      <w:pPr>
        <w:pStyle w:val="Bibliography"/>
      </w:pPr>
      <w:bookmarkStart w:id="55" w:name="ref-Given2004"/>
      <w:bookmarkEnd w:id="54"/>
      <w:r>
        <w:t>Given, M., 2004. The archaeology of the colonized. Routledge, London; New York.</w:t>
      </w:r>
    </w:p>
    <w:p w:rsidR="00E9318A" w:rsidRDefault="00877FD8">
      <w:pPr>
        <w:pStyle w:val="Bibliography"/>
      </w:pPr>
      <w:bookmarkStart w:id="56" w:name="ref-Haruda2019"/>
      <w:bookmarkEnd w:id="55"/>
      <w:r>
        <w:t>Haruda, A., Varfolomeev, V., Goriachev, A., Yermolayeva, A., Outram, A., 2019. A new zooarchaeological application for geometric morphometr</w:t>
      </w:r>
      <w:r>
        <w:t>ic methods: Distinguishing Ovis aries morphotypes to address connectivity and mobility of prehistoric Central Asian pastoralists. Journal of Archaeological Science 107, 50–57.</w:t>
      </w:r>
    </w:p>
    <w:p w:rsidR="00E9318A" w:rsidRDefault="00877FD8">
      <w:pPr>
        <w:pStyle w:val="Bibliography"/>
      </w:pPr>
      <w:bookmarkStart w:id="57" w:name="ref-Hoggard2017"/>
      <w:bookmarkEnd w:id="56"/>
      <w:r>
        <w:lastRenderedPageBreak/>
        <w:t>Hoggard, C.S., 2017. Considering the function of Middle Palaeolithic blade techn</w:t>
      </w:r>
      <w:r>
        <w:t>ologies through an examination of experimental blade edge angles. Journal of Archaeological Science: Reports 16, 233–239.</w:t>
      </w:r>
    </w:p>
    <w:p w:rsidR="00E9318A" w:rsidRDefault="00877FD8">
      <w:pPr>
        <w:pStyle w:val="Bibliography"/>
      </w:pPr>
      <w:bookmarkStart w:id="58" w:name="ref-Hoggard2019"/>
      <w:bookmarkEnd w:id="57"/>
      <w:r>
        <w:t>Hoggard, C.S., McNabb, J., Cole, J.N., 2019. The application of elliptic Fourier analysis in understanding biface shape and symmetry t</w:t>
      </w:r>
      <w:r>
        <w:t>hrough the British Acheulean. Journal of Paleolithic Archaeology 2, 115–133.</w:t>
      </w:r>
    </w:p>
    <w:p w:rsidR="00E9318A" w:rsidRDefault="00877FD8">
      <w:pPr>
        <w:pStyle w:val="Bibliography"/>
      </w:pPr>
      <w:bookmarkStart w:id="59" w:name="ref-Holland"/>
      <w:bookmarkEnd w:id="58"/>
      <w:r>
        <w:t>Holland-Lulewicz, J., Thompson, V.D., Wettstaed, J., Williams, M., 2020. Enduring traditions and the (im) materiality of early colonial encounters in the southeastern United State</w:t>
      </w:r>
      <w:r>
        <w:t>s. American Antiquity 1–21.</w:t>
      </w:r>
    </w:p>
    <w:p w:rsidR="00E9318A" w:rsidRDefault="00877FD8">
      <w:pPr>
        <w:pStyle w:val="Bibliography"/>
      </w:pPr>
      <w:bookmarkStart w:id="60" w:name="ref-hopkins2017morphological"/>
      <w:bookmarkEnd w:id="59"/>
      <w:r>
        <w:t>Hopkins, M.J., Gerber, S., 2017. Morphological disparity. Nuño de la Rosa L, Müller GB, editors. Evolutionary Developmental Biology. Springer International Publishing 1–12.</w:t>
      </w:r>
    </w:p>
    <w:p w:rsidR="00E9318A" w:rsidRDefault="00877FD8">
      <w:pPr>
        <w:pStyle w:val="Bibliography"/>
      </w:pPr>
      <w:bookmarkStart w:id="61" w:name="ref-Hsieh2009"/>
      <w:bookmarkEnd w:id="60"/>
      <w:r>
        <w:t xml:space="preserve">Hsieh, E., 2009. Yilan qi wu lan yi zhi chu tu wai lai </w:t>
      </w:r>
      <w:r>
        <w:t>tao ci qi zhi xiang guan yan jiu [The study of imported ceramics excavated at the Ki-Wu-Lan site, I-lan] (Master’s thesis).</w:t>
      </w:r>
    </w:p>
    <w:p w:rsidR="00E9318A" w:rsidRDefault="00877FD8">
      <w:pPr>
        <w:pStyle w:val="Bibliography"/>
      </w:pPr>
      <w:bookmarkStart w:id="62" w:name="ref-Iovictua2009"/>
      <w:bookmarkEnd w:id="61"/>
      <w:r>
        <w:t>Ioviţă, R., 2009. Ontogenetic scaling and lithic systematics: Method and application. Journal of Archaeological Science 36, 1447–145</w:t>
      </w:r>
      <w:r>
        <w:t>7.</w:t>
      </w:r>
    </w:p>
    <w:p w:rsidR="00E9318A" w:rsidRDefault="00877FD8">
      <w:pPr>
        <w:pStyle w:val="Bibliography"/>
      </w:pPr>
      <w:bookmarkStart w:id="63" w:name="ref-Ivanovaite2020"/>
      <w:bookmarkEnd w:id="62"/>
      <w:r>
        <w:t>Ivanovaitė, L., Serwatka, K., Hoggard, C.S., Sauer, F., Riede, F., 2020. All these fantastic cultures? Research history and regionalization in the late Palaeolithic tanged point cultures of Eastern Europe. European Journal of Archaeology 23, 162–185.</w:t>
      </w:r>
    </w:p>
    <w:p w:rsidR="00E9318A" w:rsidRDefault="00877FD8">
      <w:pPr>
        <w:pStyle w:val="Bibliography"/>
      </w:pPr>
      <w:bookmarkStart w:id="64" w:name="ref-Junker1999"/>
      <w:bookmarkEnd w:id="63"/>
      <w:r>
        <w:t>Junke</w:t>
      </w:r>
      <w:r>
        <w:t>r, L.L., 1999. Raiding, trading, and feasting: The political economy of Philippine chiefdoms. University of Hawaii Press.</w:t>
      </w:r>
    </w:p>
    <w:p w:rsidR="00E9318A" w:rsidRDefault="00877FD8">
      <w:pPr>
        <w:pStyle w:val="Bibliography"/>
      </w:pPr>
      <w:bookmarkStart w:id="65" w:name="ref-Junker1993"/>
      <w:bookmarkEnd w:id="64"/>
      <w:r>
        <w:t>Junker, L.L., 1993. Craft goods specialization and prestige goods exchange in Philippine chiefdoms of the fifteenth and sixteenth cent</w:t>
      </w:r>
      <w:r>
        <w:t>uries. Asian Perspectives 32, 1–35.</w:t>
      </w:r>
    </w:p>
    <w:p w:rsidR="00E9318A" w:rsidRDefault="00877FD8">
      <w:pPr>
        <w:pStyle w:val="Bibliography"/>
      </w:pPr>
      <w:bookmarkStart w:id="66" w:name="ref-Ke1993"/>
      <w:bookmarkEnd w:id="65"/>
      <w:r>
        <w:t>Ke, P., 1993. Kavalan zhi lue [Record of Kavalen]. Historical Records Committee of Taiwan Provincial Government, Nantou.</w:t>
      </w:r>
    </w:p>
    <w:p w:rsidR="00E9318A" w:rsidRDefault="00877FD8">
      <w:pPr>
        <w:pStyle w:val="Bibliography"/>
      </w:pPr>
      <w:bookmarkStart w:id="67" w:name="ref-Krishnamoorthy2014"/>
      <w:bookmarkEnd w:id="66"/>
      <w:r>
        <w:t>Krishnamoorthy, K., Lee, M., 2014. Improved tests for the equality of normal coefficients of variation. Computational Statistics 29, 21</w:t>
      </w:r>
      <w:r>
        <w:t>5–232.</w:t>
      </w:r>
    </w:p>
    <w:p w:rsidR="00E9318A" w:rsidRDefault="00877FD8">
      <w:pPr>
        <w:pStyle w:val="Bibliography"/>
      </w:pPr>
      <w:bookmarkStart w:id="68" w:name="ref-Kubler1962"/>
      <w:bookmarkEnd w:id="67"/>
      <w:r>
        <w:t>Kubler, G., 1962. The shape of time: Remarks on the history of things. Yale University Press, New Haven.</w:t>
      </w:r>
    </w:p>
    <w:p w:rsidR="00E9318A" w:rsidRDefault="00877FD8">
      <w:pPr>
        <w:pStyle w:val="Bibliography"/>
      </w:pPr>
      <w:bookmarkStart w:id="69" w:name="ref-Kuhl1982"/>
      <w:bookmarkEnd w:id="68"/>
      <w:r>
        <w:t>Kuhl, F.P., Giardina, C.R., 1982. Elliptic Fourier features of a closed contour. Computer Graphics and Image Processing 18, 236–258.</w:t>
      </w:r>
    </w:p>
    <w:p w:rsidR="00E9318A" w:rsidRDefault="00877FD8">
      <w:pPr>
        <w:pStyle w:val="Bibliography"/>
      </w:pPr>
      <w:bookmarkStart w:id="70" w:name="ref-Kuzminsky2016"/>
      <w:bookmarkEnd w:id="69"/>
      <w:r>
        <w:t xml:space="preserve">Kuzminsky, </w:t>
      </w:r>
      <w:r>
        <w:t>S.C., Tung, T.A., Hubbe, M., Villaseñor-Marchal, A., 2016. The application of 3D geometric morphometrics and laser surface scanning to investigate the standardization of cranial vault modification in the Andes. Journal of Archaeological Science: Reports 10</w:t>
      </w:r>
      <w:r>
        <w:t>, 507–513.</w:t>
      </w:r>
    </w:p>
    <w:p w:rsidR="00E9318A" w:rsidRDefault="00877FD8">
      <w:pPr>
        <w:pStyle w:val="Bibliography"/>
      </w:pPr>
      <w:bookmarkStart w:id="71" w:name="ref-Kwak2015"/>
      <w:bookmarkEnd w:id="70"/>
      <w:r>
        <w:lastRenderedPageBreak/>
        <w:t>Kwak, S., Marwick, B., 2015. What did they cook? A preliminary investigation into culinary practices and pottery use in the central part of the Korean Peninsula during the mid to late Holocene. Journal of Indo-Pacific Archaeology 37, 25–32.</w:t>
      </w:r>
    </w:p>
    <w:p w:rsidR="00E9318A" w:rsidRDefault="00877FD8">
      <w:pPr>
        <w:pStyle w:val="Bibliography"/>
      </w:pPr>
      <w:bookmarkStart w:id="72" w:name="ref-Lawing2010"/>
      <w:bookmarkEnd w:id="71"/>
      <w:r>
        <w:t>Lawi</w:t>
      </w:r>
      <w:r>
        <w:t>ng, A.M., Polly, P.D., 2010. Geometric morphometrics: Recent applications to the study of evolution and development. Journal of Zoology 280, 1–7.</w:t>
      </w:r>
    </w:p>
    <w:p w:rsidR="00E9318A" w:rsidRDefault="00877FD8">
      <w:pPr>
        <w:pStyle w:val="Bibliography"/>
      </w:pPr>
      <w:bookmarkStart w:id="73" w:name="ref-Lipo2016"/>
      <w:bookmarkEnd w:id="72"/>
      <w:r>
        <w:t>Lipo, C.P., Hunt, T.L., Horneman, R., Bonhomme, V., 2016. Weapons of war? Rapa nui mata’a morphometric analyse</w:t>
      </w:r>
      <w:r>
        <w:t>s. Antiquity 90, 172–187.</w:t>
      </w:r>
    </w:p>
    <w:p w:rsidR="00E9318A" w:rsidRDefault="00877FD8">
      <w:pPr>
        <w:pStyle w:val="Bibliography"/>
      </w:pPr>
      <w:bookmarkStart w:id="74" w:name="ref-Lycett2013"/>
      <w:bookmarkEnd w:id="73"/>
      <w:r>
        <w:t>Lycett, S.J., Cramon-Taubadel, N. von, 2013. A 3D morphometric analysis of surface geometry in levallois cores: Patterns of stability and variability across regions and their implications. Journal of Archaeological Science 40, 150</w:t>
      </w:r>
      <w:r>
        <w:t>8–1517.</w:t>
      </w:r>
    </w:p>
    <w:p w:rsidR="00E9318A" w:rsidRDefault="00877FD8">
      <w:pPr>
        <w:pStyle w:val="Bibliography"/>
      </w:pPr>
      <w:bookmarkStart w:id="75" w:name="ref-Lycett2008"/>
      <w:bookmarkEnd w:id="74"/>
      <w:r>
        <w:t>Lycett, S.J., Gowlett, J.A., 2008. On questions surrounding the Acheulean “tradition”. World Archaeology 40, 295–315.</w:t>
      </w:r>
    </w:p>
    <w:p w:rsidR="00E9318A" w:rsidRDefault="00877FD8">
      <w:pPr>
        <w:pStyle w:val="Bibliography"/>
      </w:pPr>
      <w:bookmarkStart w:id="76" w:name="ref-Marwick2017"/>
      <w:bookmarkEnd w:id="75"/>
      <w:r>
        <w:t>Marwick, B., 2017. Computational reproducibility in archaeological research: Basic principles and a case study of their implementa</w:t>
      </w:r>
      <w:r>
        <w:t xml:space="preserve">tion. Journal of Archaeological Method and Theory 24, 424–450. </w:t>
      </w:r>
      <w:hyperlink r:id="rId17">
        <w:r>
          <w:rPr>
            <w:rStyle w:val="Hyperlink"/>
          </w:rPr>
          <w:t>https://doi.org/10.1007/s10816-015-9272-9</w:t>
        </w:r>
      </w:hyperlink>
    </w:p>
    <w:p w:rsidR="00E9318A" w:rsidRDefault="00877FD8">
      <w:pPr>
        <w:pStyle w:val="Bibliography"/>
      </w:pPr>
      <w:bookmarkStart w:id="77" w:name="ref-Marwick2018"/>
      <w:bookmarkEnd w:id="76"/>
      <w:r>
        <w:t xml:space="preserve">Marwick, B., Boettiger, C., Mullen, L., 2018. Packaging data analytical work reproducibly </w:t>
      </w:r>
      <w:r>
        <w:t>using R (and friends). The American Statistician 72, 80–88.</w:t>
      </w:r>
    </w:p>
    <w:p w:rsidR="00E9318A" w:rsidRDefault="00877FD8">
      <w:pPr>
        <w:pStyle w:val="Bibliography"/>
      </w:pPr>
      <w:bookmarkStart w:id="78" w:name="ref-Marwick2019"/>
      <w:bookmarkEnd w:id="77"/>
      <w:r>
        <w:t>Marwick, B., Krishnamoorthy, K., 2019. Cvequality: Tests for the equality of coefficients of variation from multiple groups.</w:t>
      </w:r>
    </w:p>
    <w:p w:rsidR="00E9318A" w:rsidRDefault="00877FD8">
      <w:pPr>
        <w:pStyle w:val="Bibliography"/>
      </w:pPr>
      <w:bookmarkStart w:id="79" w:name="ref-Meloro2015"/>
      <w:bookmarkEnd w:id="78"/>
      <w:r>
        <w:t>Meloro, C., Hudson, A., Rook, L., 2015. Feeding habits of extant and fo</w:t>
      </w:r>
      <w:r>
        <w:t>ssil canids as determined by their skull geometry. Journal of Zoology 295, 178–188.</w:t>
      </w:r>
    </w:p>
    <w:p w:rsidR="00E9318A" w:rsidRDefault="00877FD8">
      <w:pPr>
        <w:pStyle w:val="Bibliography"/>
      </w:pPr>
      <w:bookmarkStart w:id="80" w:name="ref-Mullins2011"/>
      <w:bookmarkEnd w:id="79"/>
      <w:r>
        <w:t>Mullins, P.R., 2011. The archaeology of consumption. Annual Review of Anthropology 40, 133–144.</w:t>
      </w:r>
    </w:p>
    <w:p w:rsidR="00E9318A" w:rsidRDefault="00877FD8">
      <w:pPr>
        <w:pStyle w:val="Bibliography"/>
      </w:pPr>
      <w:bookmarkStart w:id="81" w:name="ref-Nakamura1938"/>
      <w:bookmarkEnd w:id="80"/>
      <w:r>
        <w:t>Nakamura, 1938. Ranzin zidai no genbasya hoxukou biyao [The Dutch cencus rec</w:t>
      </w:r>
      <w:r>
        <w:t>ord for Indigenous peoples in Taiwan]. Southern Anthropological Studies 4, 12.</w:t>
      </w:r>
    </w:p>
    <w:p w:rsidR="00E9318A" w:rsidRDefault="00877FD8">
      <w:pPr>
        <w:pStyle w:val="Bibliography"/>
      </w:pPr>
      <w:bookmarkStart w:id="82" w:name="ref-Natahi2019"/>
      <w:bookmarkEnd w:id="81"/>
      <w:r>
        <w:t>Natahi, S., Coquerelle, M., Pereira, G., Bayle, P., 2019. Neurocranial shape variation among Tarascan populations: Evidence for varying degrees in artificially modified crania i</w:t>
      </w:r>
      <w:r>
        <w:t>n pre-Hispanic West Mexico (1200–1400 AD). American Journal of Physical Anthropology 170, 418–432.</w:t>
      </w:r>
    </w:p>
    <w:p w:rsidR="00E9318A" w:rsidRDefault="00877FD8">
      <w:pPr>
        <w:pStyle w:val="Bibliography"/>
      </w:pPr>
      <w:bookmarkStart w:id="83" w:name="ref-NMTH2005"/>
      <w:bookmarkEnd w:id="82"/>
      <w:r>
        <w:t>National Musuem of Taiwan History, A. group in, 2005. Taiwan under Dutch and Spanish: A report of historical archaeological research in northern Taiwan. Nati</w:t>
      </w:r>
      <w:r>
        <w:t>onal Musuem of Taiwan History, Taipei.</w:t>
      </w:r>
    </w:p>
    <w:p w:rsidR="00E9318A" w:rsidRDefault="00877FD8">
      <w:pPr>
        <w:pStyle w:val="Bibliography"/>
      </w:pPr>
      <w:bookmarkStart w:id="84" w:name="ref-Okumura2014"/>
      <w:bookmarkEnd w:id="83"/>
      <w:r>
        <w:t xml:space="preserve">Okumura, M., Araujo, A.G., 2014. Long-term cultural stability in hunter–gatherers: A case study using traditional and geometric morphometric analysis of lithic stemmed bifacial points from Southern Brazil. Journal of </w:t>
      </w:r>
      <w:r>
        <w:t>Archaeological Science 45, 59–71.</w:t>
      </w:r>
    </w:p>
    <w:p w:rsidR="00E9318A" w:rsidRDefault="00877FD8">
      <w:pPr>
        <w:pStyle w:val="Bibliography"/>
      </w:pPr>
      <w:bookmarkStart w:id="85" w:name="ref-Owen2014"/>
      <w:bookmarkEnd w:id="84"/>
      <w:r>
        <w:lastRenderedPageBreak/>
        <w:t>Owen, J., Dobney, K., Evin, A., Cucchi, T., Larson, G., Vidarsdottir, U.S., 2014. The zooarchaeological application of quantifying cranial shape differences in wild boar and domestic pigs (sus scrofa) using 3D geometric mo</w:t>
      </w:r>
      <w:r>
        <w:t>rphometrics. Journal of Archaeological Science 43, 159–167.</w:t>
      </w:r>
    </w:p>
    <w:p w:rsidR="00E9318A" w:rsidRDefault="00877FD8">
      <w:pPr>
        <w:pStyle w:val="Bibliography"/>
      </w:pPr>
      <w:bookmarkStart w:id="86" w:name="ref-Perez2007"/>
      <w:bookmarkEnd w:id="85"/>
      <w:r>
        <w:t>Perez, S.I., 2007. Artificial cranial deformation in South America: A geometric morphometrics approximation. Journal of Archaeological Science 34, 1649–1658.</w:t>
      </w:r>
    </w:p>
    <w:p w:rsidR="00E9318A" w:rsidRDefault="00877FD8">
      <w:pPr>
        <w:pStyle w:val="Bibliography"/>
      </w:pPr>
      <w:bookmarkStart w:id="87" w:name="ref-Presnyakova2018"/>
      <w:bookmarkEnd w:id="86"/>
      <w:r>
        <w:t xml:space="preserve">Presnyakova, D., Braun, D.R., Conard, </w:t>
      </w:r>
      <w:r>
        <w:t>N.J., Feibel, C., Harris, J.W., Pop, C.M., Schlager, S., Archer, W., 2018. Site fragmentation, hominin mobility and LCT variability reflected in the early Acheulean record of the Okote Member, at Koobi Fora, Kenya. Journal of human evolution 125, 159–180.</w:t>
      </w:r>
    </w:p>
    <w:p w:rsidR="00E9318A" w:rsidRDefault="00877FD8">
      <w:pPr>
        <w:pStyle w:val="Bibliography"/>
      </w:pPr>
      <w:bookmarkStart w:id="88" w:name="ref-Rlanguage2019"/>
      <w:bookmarkEnd w:id="87"/>
      <w:r>
        <w:t>R Core Team, 2019. R: A language and environment for statistical computing. R Foundation for Statistical Computing, Vienna, Austria.</w:t>
      </w:r>
    </w:p>
    <w:p w:rsidR="00E9318A" w:rsidRDefault="00877FD8">
      <w:pPr>
        <w:pStyle w:val="Bibliography"/>
      </w:pPr>
      <w:bookmarkStart w:id="89" w:name="ref-Rice1991"/>
      <w:bookmarkEnd w:id="88"/>
      <w:r>
        <w:t>Rice, P.M., 1991. Specialization, standardization, and diversity: A retrospective, in: Bishop, R.L., Lange, F.W. (Eds.), Th</w:t>
      </w:r>
      <w:r>
        <w:t>e Ceramic Legacy of Anna O. Shepard. University Press of Colorado Boulder, pp. 257–279.</w:t>
      </w:r>
    </w:p>
    <w:p w:rsidR="00E9318A" w:rsidRDefault="00877FD8">
      <w:pPr>
        <w:pStyle w:val="Bibliography"/>
      </w:pPr>
      <w:bookmarkStart w:id="90" w:name="ref-Roux2015"/>
      <w:bookmarkEnd w:id="89"/>
      <w:r>
        <w:t>Roux, V., 2015. Standardization of ceramic assemblages: Transmission mechanisms and diffusion of morpho-functional traits across social boundaries. Journal of Anthropol</w:t>
      </w:r>
      <w:r>
        <w:t>ogical Archaeology 40, 1–9.</w:t>
      </w:r>
    </w:p>
    <w:p w:rsidR="00E9318A" w:rsidRDefault="00877FD8">
      <w:pPr>
        <w:pStyle w:val="Bibliography"/>
      </w:pPr>
      <w:bookmarkStart w:id="91" w:name="ref-Roux2003"/>
      <w:bookmarkEnd w:id="90"/>
      <w:r>
        <w:t>Roux, V., 2003. Ceramic standardization and intensity of production: Quantifying degrees of specialization. American Antiquity 68, 768–782.</w:t>
      </w:r>
    </w:p>
    <w:p w:rsidR="00E9318A" w:rsidRDefault="00877FD8">
      <w:pPr>
        <w:pStyle w:val="Bibliography"/>
      </w:pPr>
      <w:bookmarkStart w:id="92" w:name="ref-Saragusti2005"/>
      <w:bookmarkEnd w:id="91"/>
      <w:r>
        <w:t>Saragusti, I., Karasik, A., Sharon, I., Smilansky, U., 2005. Quantitative analysis of sh</w:t>
      </w:r>
      <w:r>
        <w:t>ape attributes based on contours and section profiles in artifact analysis. Journal of Archaeological Science 32, 841–853.</w:t>
      </w:r>
    </w:p>
    <w:p w:rsidR="00E9318A" w:rsidRDefault="00877FD8">
      <w:pPr>
        <w:pStyle w:val="Bibliography"/>
      </w:pPr>
      <w:bookmarkStart w:id="93" w:name="ref-Scaramelli2005"/>
      <w:bookmarkEnd w:id="92"/>
      <w:r>
        <w:t>Scaramelli, F., Scaramelli, K.T. de, 2005. The roles of material culture in the colonization of the Orinoco, Venezuela. Journal of So</w:t>
      </w:r>
      <w:r>
        <w:t>cial Archaeology 5, 135–168.</w:t>
      </w:r>
    </w:p>
    <w:p w:rsidR="00E9318A" w:rsidRDefault="00877FD8">
      <w:pPr>
        <w:pStyle w:val="Bibliography"/>
      </w:pPr>
      <w:bookmarkStart w:id="94" w:name="ref-Selden2018lithic"/>
      <w:bookmarkEnd w:id="93"/>
      <w:r>
        <w:t>Selden, R.Z., Dockall, J.E., Shafer, H.J., 2018. Lithic morphological organisation: Gahagan bifaces from the Southern Caddo Area. Digital Applications in Archaeology and Cultural Heritage 10, e00080.</w:t>
      </w:r>
    </w:p>
    <w:p w:rsidR="00E9318A" w:rsidRDefault="00877FD8">
      <w:pPr>
        <w:pStyle w:val="Bibliography"/>
      </w:pPr>
      <w:bookmarkStart w:id="95" w:name="ref-Selden2019"/>
      <w:bookmarkEnd w:id="94"/>
      <w:r>
        <w:t>Selden Jr, R.Z., 2019. Ceramic morphological organisation in the Southern Caddo Area: The Clarence H. Webb collections. Journal of Cultural Heritage 35, 41–55.</w:t>
      </w:r>
    </w:p>
    <w:p w:rsidR="00E9318A" w:rsidRDefault="00877FD8">
      <w:pPr>
        <w:pStyle w:val="Bibliography"/>
      </w:pPr>
      <w:bookmarkStart w:id="96" w:name="ref-Selden2018ceramic2"/>
      <w:bookmarkEnd w:id="95"/>
      <w:r>
        <w:t>Selden Jr, R.Z., 2018. Ceramic morphological organisation in the Southern Caddo Area: Quiddity o</w:t>
      </w:r>
      <w:r>
        <w:t>f shape for Hickory Engraved bottles. Journal of Archaeological Science: Reports 21, 884–896.</w:t>
      </w:r>
    </w:p>
    <w:p w:rsidR="00E9318A" w:rsidRDefault="00877FD8">
      <w:pPr>
        <w:pStyle w:val="Bibliography"/>
      </w:pPr>
      <w:bookmarkStart w:id="97" w:name="ref-Selden2020"/>
      <w:bookmarkEnd w:id="96"/>
      <w:r>
        <w:t>Selden Jr, R.Z., Dockall, J.E., Dubied, M., 2020. A quantitative assessment of intraspecific morphological variation in Gahagan bifaces from the southern Caddo ar</w:t>
      </w:r>
      <w:r>
        <w:t>ea and central Texas. Southeastern Archaeology 39, 125–145.</w:t>
      </w:r>
    </w:p>
    <w:p w:rsidR="00E9318A" w:rsidRDefault="00877FD8">
      <w:pPr>
        <w:pStyle w:val="Bibliography"/>
      </w:pPr>
      <w:bookmarkStart w:id="98" w:name="ref-Silliman2001"/>
      <w:bookmarkEnd w:id="97"/>
      <w:r>
        <w:lastRenderedPageBreak/>
        <w:t>Silliman, S., 2001. Agency, practical politics and the archaeology of culture contact. Journal of Social Archaeology 1, 190–209.</w:t>
      </w:r>
    </w:p>
    <w:p w:rsidR="00E9318A" w:rsidRDefault="00877FD8">
      <w:pPr>
        <w:pStyle w:val="Bibliography"/>
      </w:pPr>
      <w:bookmarkStart w:id="99" w:name="ref-Silliman2005"/>
      <w:bookmarkEnd w:id="98"/>
      <w:r>
        <w:t>Silliman, S.W., 2005. Culture contact or colonialism? Challenges in</w:t>
      </w:r>
      <w:r>
        <w:t xml:space="preserve"> the archaeology of native North America. American Antiquity 70, 55–74.</w:t>
      </w:r>
    </w:p>
    <w:p w:rsidR="00E9318A" w:rsidRDefault="00877FD8">
      <w:pPr>
        <w:pStyle w:val="Bibliography"/>
      </w:pPr>
      <w:bookmarkStart w:id="100" w:name="ref-Slice2007"/>
      <w:bookmarkEnd w:id="99"/>
      <w:r>
        <w:t>Slice, D.E., 2007. Geometric morphometrics. Annu. Rev. Anthropol. 36, 261–281.</w:t>
      </w:r>
    </w:p>
    <w:p w:rsidR="00E9318A" w:rsidRDefault="00877FD8">
      <w:pPr>
        <w:pStyle w:val="Bibliography"/>
      </w:pPr>
      <w:bookmarkStart w:id="101" w:name="ref-Smith2016"/>
      <w:bookmarkEnd w:id="100"/>
      <w:r>
        <w:t>Smith, H.L., DeWitt, T.J., 2016. The northern fluted point complex: Technological and morphological evide</w:t>
      </w:r>
      <w:r>
        <w:t>nce of adaptation and risk in the late Pleistocene-early Holocene Arctic. Archaeological and Anthropological Sciences 9, 1799–1823.</w:t>
      </w:r>
    </w:p>
    <w:p w:rsidR="00E9318A" w:rsidRDefault="00877FD8">
      <w:pPr>
        <w:pStyle w:val="Bibliography"/>
      </w:pPr>
      <w:bookmarkStart w:id="102" w:name="ref-Stark1995"/>
      <w:bookmarkEnd w:id="101"/>
      <w:r>
        <w:t>Stark, B.L., 1995. Problems in analysis of standardization and specialization in pottery, in: Mills, B.J., Crown, P.L. (Eds.</w:t>
      </w:r>
      <w:r>
        <w:t>), Ceramic Production in the American Southwest. The University of Arizona Press, Tucson, pp. 231–267.</w:t>
      </w:r>
    </w:p>
    <w:p w:rsidR="00E9318A" w:rsidRDefault="00877FD8">
      <w:pPr>
        <w:pStyle w:val="Bibliography"/>
      </w:pPr>
      <w:bookmarkStart w:id="103" w:name="ref-Tite1999"/>
      <w:bookmarkEnd w:id="102"/>
      <w:r>
        <w:t>Tite, M.S., 1999. Pottery production, distribution, and consumption—the contribution of the physical sciences. Journal of Archaeological Method and Theor</w:t>
      </w:r>
      <w:r>
        <w:t>y 6, 181–233.</w:t>
      </w:r>
    </w:p>
    <w:p w:rsidR="00E9318A" w:rsidRDefault="00877FD8">
      <w:pPr>
        <w:pStyle w:val="Bibliography"/>
      </w:pPr>
      <w:bookmarkStart w:id="104" w:name="ref-Topi2017"/>
      <w:bookmarkEnd w:id="103"/>
      <w:r>
        <w:t>Topi, J.R., VanPool, C.S., Waller, K.D., VanPool, T.L., 2017. The economy of specialized ceramic craft production in the Casas Grandes region. Latin American Antiquity 29, 122–142.</w:t>
      </w:r>
    </w:p>
    <w:p w:rsidR="00E9318A" w:rsidRDefault="00877FD8">
      <w:pPr>
        <w:pStyle w:val="Bibliography"/>
      </w:pPr>
      <w:bookmarkStart w:id="105" w:name="ref-TorrenceandClarke2000"/>
      <w:bookmarkEnd w:id="104"/>
      <w:r>
        <w:t>Torrence, R., Clarke, A., 2000a. Negotiating difference: Prac</w:t>
      </w:r>
      <w:r>
        <w:t>tice makes theory for contemporary archaeology in Oceania, in: Torrence, R., Clarke, A. (Eds.), The Archaeology of Difference : Negotiating Cross-Cultural Engagements in Oceania. Routledge, London; New York, pp. 1–31.</w:t>
      </w:r>
    </w:p>
    <w:p w:rsidR="00E9318A" w:rsidRDefault="00877FD8">
      <w:pPr>
        <w:pStyle w:val="Bibliography"/>
      </w:pPr>
      <w:bookmarkStart w:id="106" w:name="ref-Torrence2000"/>
      <w:bookmarkEnd w:id="105"/>
      <w:r>
        <w:t xml:space="preserve">Torrence, R., Clarke, A., 2000b. Just </w:t>
      </w:r>
      <w:r>
        <w:t>another trader? An archaeological perspective on european barter with admiralty islanders, Papua New Guinea, in: Torrence, R. (Ed.), The Archaeology of Difference : Negotiating Cross-Cultural Engagements in Oceania. Routledge, London; New York, pp. 107–145</w:t>
      </w:r>
      <w:r>
        <w:t>.</w:t>
      </w:r>
    </w:p>
    <w:p w:rsidR="00E9318A" w:rsidRDefault="00877FD8">
      <w:pPr>
        <w:pStyle w:val="Bibliography"/>
      </w:pPr>
      <w:bookmarkStart w:id="107" w:name="ref-Trabert2017"/>
      <w:bookmarkEnd w:id="106"/>
      <w:r>
        <w:t>Trabert, S., 2017. Considering the indirect effects of colonialism: Example from a Great Plains middle ground. Journal of Anthropological Archaeology 48, 17–27.</w:t>
      </w:r>
    </w:p>
    <w:p w:rsidR="00E9318A" w:rsidRDefault="00877FD8">
      <w:pPr>
        <w:pStyle w:val="Bibliography"/>
      </w:pPr>
      <w:bookmarkStart w:id="108" w:name="ref-Voss2008"/>
      <w:bookmarkEnd w:id="107"/>
      <w:r>
        <w:t>Voss, B.L., 2008. Between the household and the world system: Social collectivity and communi</w:t>
      </w:r>
      <w:r>
        <w:t>ty agency in Overseas Chinese archaeology. Historical Archaeology 42, 37–52.</w:t>
      </w:r>
    </w:p>
    <w:p w:rsidR="00E9318A" w:rsidRDefault="00877FD8">
      <w:pPr>
        <w:pStyle w:val="Bibliography"/>
      </w:pPr>
      <w:bookmarkStart w:id="109" w:name="ref-Voss2005"/>
      <w:bookmarkEnd w:id="108"/>
      <w:r>
        <w:t>Voss, B.L., 2005. From Casta to Californio: Social identity and the archaeology of culture contact. American Anthropologist 107, 461–474.</w:t>
      </w:r>
    </w:p>
    <w:p w:rsidR="00E9318A" w:rsidRDefault="00877FD8">
      <w:pPr>
        <w:pStyle w:val="Bibliography"/>
      </w:pPr>
      <w:bookmarkStart w:id="110" w:name="ref-Wang2011"/>
      <w:bookmarkEnd w:id="109"/>
      <w:r>
        <w:t>Wang, L.-Y., 2011. Yilan qi wu lan yi zhi chu tu zhuang shi pin zhi xiang guan yan jiu [A research of ornaments excava</w:t>
      </w:r>
      <w:r>
        <w:t>ted at Ki-Wu-Lan site, I-lan] (Master’s thesis).</w:t>
      </w:r>
    </w:p>
    <w:p w:rsidR="00E9318A" w:rsidRDefault="00877FD8">
      <w:pPr>
        <w:pStyle w:val="Bibliography"/>
      </w:pPr>
      <w:bookmarkStart w:id="111" w:name="ref-WangandMarwick2020"/>
      <w:bookmarkEnd w:id="110"/>
      <w:r>
        <w:t>Wang, L.-Y., Marwick, B., 2020. Dataset and R code for "Investigating social change during cultural contact period using geometric morphometry of pottery shapes from Iron Age northeastern Taiwan," https://do</w:t>
      </w:r>
      <w:r>
        <w:t>i.org/10.17605/osf.io/abvgf.</w:t>
      </w:r>
    </w:p>
    <w:p w:rsidR="00E9318A" w:rsidRDefault="00877FD8">
      <w:pPr>
        <w:pStyle w:val="Bibliography"/>
      </w:pPr>
      <w:bookmarkStart w:id="112" w:name="ref-Wilczek2014"/>
      <w:bookmarkEnd w:id="111"/>
      <w:r>
        <w:lastRenderedPageBreak/>
        <w:t>Wilczek, J., Monna, F., Barral, P., Burlet, L., Chateau, C., Navarro, N., 2014. Morphometrics of Second Iron Age ceramics–strengths, weaknesses, and comparison with traditional typology. Journal of Archaeological Science 50, 39</w:t>
      </w:r>
      <w:r>
        <w:t>–50.</w:t>
      </w:r>
    </w:p>
    <w:p w:rsidR="00E9318A" w:rsidRDefault="00877FD8">
      <w:pPr>
        <w:pStyle w:val="Bibliography"/>
      </w:pPr>
      <w:bookmarkStart w:id="113" w:name="ref-Wills2001"/>
      <w:bookmarkEnd w:id="112"/>
      <w:r>
        <w:t>Wills, M.A., 2001. Morphological disparity: A primer, in: Adrain, E., Jonathan M. (Ed.), Fossils, Phylogeny, and Form. Springer, pp. 55–144.</w:t>
      </w:r>
    </w:p>
    <w:p w:rsidR="00E9318A" w:rsidRDefault="00877FD8">
      <w:pPr>
        <w:pStyle w:val="Bibliography"/>
      </w:pPr>
      <w:bookmarkStart w:id="114" w:name="ref-Wu2019"/>
      <w:bookmarkEnd w:id="113"/>
      <w:r>
        <w:t>Wu, X., Hein, A., Zhang, X., Jin, Z., Wei, D., Huang, F., Yin, X., 2019. Resettlement strategies and Han imper</w:t>
      </w:r>
      <w:r>
        <w:t>ial expansion into southwest China: A multimethod approach to colonialism and migration. Archaeological and Anthropological Sciences 11, 6751–6781.</w:t>
      </w:r>
    </w:p>
    <w:p w:rsidR="00E9318A" w:rsidRDefault="00877FD8">
      <w:pPr>
        <w:pStyle w:val="Heading5"/>
      </w:pPr>
      <w:bookmarkStart w:id="115" w:name="pagebreak-1"/>
      <w:bookmarkEnd w:id="14"/>
      <w:bookmarkEnd w:id="114"/>
      <w:r>
        <w:lastRenderedPageBreak/>
        <w:t>pagebreak</w:t>
      </w:r>
      <w:bookmarkEnd w:id="115"/>
    </w:p>
    <w:p w:rsidR="00E9318A" w:rsidRDefault="00877FD8">
      <w:pPr>
        <w:pStyle w:val="Heading3"/>
      </w:pPr>
      <w:bookmarkStart w:id="116" w:name="colophon"/>
      <w:r>
        <w:t>Colophon</w:t>
      </w:r>
      <w:bookmarkEnd w:id="116"/>
    </w:p>
    <w:p w:rsidR="00E9318A" w:rsidRDefault="00877FD8">
      <w:pPr>
        <w:pStyle w:val="FirstParagraph"/>
      </w:pPr>
      <w:r>
        <w:t>This report was generated on 2020-08-22 20:03:00 using the following computational enviro</w:t>
      </w:r>
      <w:r>
        <w:t>nment and dependencies:</w:t>
      </w:r>
    </w:p>
    <w:p w:rsidR="00E9318A" w:rsidRDefault="00877FD8">
      <w:pPr>
        <w:pStyle w:val="SourceCode"/>
      </w:pPr>
      <w:r>
        <w:rPr>
          <w:rStyle w:val="VerbatimChar"/>
        </w:rPr>
        <w:t>#&gt; ─ Session info ───────────────────────────────────────────────────────────────</w:t>
      </w:r>
      <w:r>
        <w:br/>
      </w:r>
      <w:r>
        <w:rPr>
          <w:rStyle w:val="VerbatimChar"/>
        </w:rPr>
        <w:t xml:space="preserve">#&gt;  setting  value                       </w:t>
      </w:r>
      <w:r>
        <w:br/>
      </w:r>
      <w:r>
        <w:rPr>
          <w:rStyle w:val="VerbatimChar"/>
        </w:rPr>
        <w:t>#&gt;  version  R version 4.0.2 (2020-06-22)</w:t>
      </w:r>
      <w:r>
        <w:br/>
      </w:r>
      <w:r>
        <w:rPr>
          <w:rStyle w:val="VerbatimChar"/>
        </w:rPr>
        <w:t xml:space="preserve">#&gt;  os       macOS Catalina 10.15.6      </w:t>
      </w:r>
      <w:r>
        <w:br/>
      </w:r>
      <w:r>
        <w:rPr>
          <w:rStyle w:val="VerbatimChar"/>
        </w:rPr>
        <w:t>#&gt;  system   x86_64, dar</w:t>
      </w:r>
      <w:r>
        <w:rPr>
          <w:rStyle w:val="VerbatimChar"/>
        </w:rPr>
        <w:t xml:space="preserve">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2020-08-22     </w:t>
      </w:r>
      <w:r>
        <w:rPr>
          <w:rStyle w:val="VerbatimChar"/>
        </w:rPr>
        <w:t xml:space="preserve">             </w:t>
      </w:r>
      <w:r>
        <w:br/>
      </w:r>
      <w:r>
        <w:rPr>
          <w:rStyle w:val="VerbatimChar"/>
        </w:rPr>
        <w:t xml:space="preserve">#&gt; </w:t>
      </w:r>
      <w:r>
        <w:br/>
      </w:r>
      <w:r>
        <w:rPr>
          <w:rStyle w:val="VerbatimChar"/>
        </w:rPr>
        <w:t>#&gt; ─ Packages ───────────────────────────────────────────────────────────────────</w:t>
      </w:r>
      <w:r>
        <w:br/>
      </w:r>
      <w:r>
        <w:rPr>
          <w:rStyle w:val="VerbatimChar"/>
        </w:rPr>
        <w:t>#&gt;  package           * version    date       lib</w:t>
      </w:r>
      <w:r>
        <w:br/>
      </w:r>
      <w:r>
        <w:rPr>
          <w:rStyle w:val="VerbatimChar"/>
        </w:rPr>
        <w:t>#&gt;  abind               1.4-5      2016-07-21 [1]</w:t>
      </w:r>
      <w:r>
        <w:br/>
      </w:r>
      <w:r>
        <w:rPr>
          <w:rStyle w:val="VerbatimChar"/>
        </w:rPr>
        <w:t>#&gt;  ade4                1.7-15     2020-02-13 [1]</w:t>
      </w:r>
      <w:r>
        <w:br/>
      </w:r>
      <w:r>
        <w:rPr>
          <w:rStyle w:val="VerbatimChar"/>
        </w:rPr>
        <w:t>#&gt;  an</w:t>
      </w:r>
      <w:r>
        <w:rPr>
          <w:rStyle w:val="VerbatimChar"/>
        </w:rPr>
        <w:t>imation           2.6        2018-12-11 [1]</w:t>
      </w:r>
      <w:r>
        <w:br/>
      </w:r>
      <w:r>
        <w:rPr>
          <w:rStyle w:val="VerbatimChar"/>
        </w:rPr>
        <w:t>#&gt;  ape               * 5.4        2020-06-03 [1]</w:t>
      </w:r>
      <w:r>
        <w:br/>
      </w:r>
      <w:r>
        <w:rPr>
          <w:rStyle w:val="VerbatimChar"/>
        </w:rPr>
        <w:t>#&gt;  assertthat          0.2.1      2019-03-21 [1]</w:t>
      </w:r>
      <w:r>
        <w:br/>
      </w:r>
      <w:r>
        <w:rPr>
          <w:rStyle w:val="VerbatimChar"/>
        </w:rPr>
        <w:t>#&gt;  backports           1.1.8      2020-06-17 [1]</w:t>
      </w:r>
      <w:r>
        <w:br/>
      </w:r>
      <w:r>
        <w:rPr>
          <w:rStyle w:val="VerbatimChar"/>
        </w:rPr>
        <w:t>#&gt;  blob                1.2.1      2020-01-20 [1]</w:t>
      </w:r>
      <w:r>
        <w:br/>
      </w:r>
      <w:r>
        <w:rPr>
          <w:rStyle w:val="VerbatimChar"/>
        </w:rPr>
        <w:t>#&gt;  bookdown</w:t>
      </w:r>
      <w:r>
        <w:rPr>
          <w:rStyle w:val="VerbatimChar"/>
        </w:rPr>
        <w:t xml:space="preserve">            0.20       2020-06-23 [1]</w:t>
      </w:r>
      <w:r>
        <w:br/>
      </w:r>
      <w:r>
        <w:rPr>
          <w:rStyle w:val="VerbatimChar"/>
        </w:rPr>
        <w:t>#&gt;  broom               0.7.0      2020-07-09 [1]</w:t>
      </w:r>
      <w:r>
        <w:br/>
      </w:r>
      <w:r>
        <w:rPr>
          <w:rStyle w:val="VerbatimChar"/>
        </w:rPr>
        <w:t>#&gt;  callr               3.4.3      2020-03-28 [1]</w:t>
      </w:r>
      <w:r>
        <w:br/>
      </w:r>
      <w:r>
        <w:rPr>
          <w:rStyle w:val="VerbatimChar"/>
        </w:rPr>
        <w:t>#&gt;  car                 3.0-9      2020-08-11 [1]</w:t>
      </w:r>
      <w:r>
        <w:br/>
      </w:r>
      <w:r>
        <w:rPr>
          <w:rStyle w:val="VerbatimChar"/>
        </w:rPr>
        <w:t>#&gt;  carData             3.0-4      2020-05-22 [1]</w:t>
      </w:r>
      <w:r>
        <w:br/>
      </w:r>
      <w:r>
        <w:rPr>
          <w:rStyle w:val="VerbatimChar"/>
        </w:rPr>
        <w:t xml:space="preserve">#&gt;  castor        </w:t>
      </w:r>
      <w:r>
        <w:rPr>
          <w:rStyle w:val="VerbatimChar"/>
        </w:rPr>
        <w:t xml:space="preserve">      1.6.2      2020-07-19 [1]</w:t>
      </w:r>
      <w:r>
        <w:br/>
      </w:r>
      <w:r>
        <w:rPr>
          <w:rStyle w:val="VerbatimChar"/>
        </w:rPr>
        <w:t>#&gt;  cellranger          1.1.0      2016-07-27 [1]</w:t>
      </w:r>
      <w:r>
        <w:br/>
      </w:r>
      <w:r>
        <w:rPr>
          <w:rStyle w:val="VerbatimChar"/>
        </w:rPr>
        <w:t>#&gt;  Claddis             0.3.4      2019-12-05 [1]</w:t>
      </w:r>
      <w:r>
        <w:br/>
      </w:r>
      <w:r>
        <w:rPr>
          <w:rStyle w:val="VerbatimChar"/>
        </w:rPr>
        <w:t>#&gt;  class               7.3-17     2020-04-26 [1]</w:t>
      </w:r>
      <w:r>
        <w:br/>
      </w:r>
      <w:r>
        <w:rPr>
          <w:rStyle w:val="VerbatimChar"/>
        </w:rPr>
        <w:t>#&gt;  classInt            0.4-3      2020-04-07 [1]</w:t>
      </w:r>
      <w:r>
        <w:br/>
      </w:r>
      <w:r>
        <w:rPr>
          <w:rStyle w:val="VerbatimChar"/>
        </w:rPr>
        <w:t xml:space="preserve">#&gt;  cli                 </w:t>
      </w:r>
      <w:r>
        <w:rPr>
          <w:rStyle w:val="VerbatimChar"/>
        </w:rPr>
        <w:t>2.0.2      2020-02-28 [1]</w:t>
      </w:r>
      <w:r>
        <w:br/>
      </w:r>
      <w:r>
        <w:rPr>
          <w:rStyle w:val="VerbatimChar"/>
        </w:rPr>
        <w:t>#&gt;  clipr               0.7.0      2019-07-23 [1]</w:t>
      </w:r>
      <w:r>
        <w:br/>
      </w:r>
      <w:r>
        <w:rPr>
          <w:rStyle w:val="VerbatimChar"/>
        </w:rPr>
        <w:t>#&gt;  cluster             2.1.0      2019-06-19 [1]</w:t>
      </w:r>
      <w:r>
        <w:br/>
      </w:r>
      <w:r>
        <w:rPr>
          <w:rStyle w:val="VerbatimChar"/>
        </w:rPr>
        <w:t>#&gt;  clusterGeneration   1.3.4      2015-02-18 [1]</w:t>
      </w:r>
      <w:r>
        <w:br/>
      </w:r>
      <w:r>
        <w:rPr>
          <w:rStyle w:val="VerbatimChar"/>
        </w:rPr>
        <w:t>#&gt;  coda                0.19-3     2019-07-05 [1]</w:t>
      </w:r>
      <w:r>
        <w:br/>
      </w:r>
      <w:r>
        <w:rPr>
          <w:rStyle w:val="VerbatimChar"/>
        </w:rPr>
        <w:t>#&gt;  codetools           0.2-16</w:t>
      </w:r>
      <w:r>
        <w:rPr>
          <w:rStyle w:val="VerbatimChar"/>
        </w:rPr>
        <w:t xml:space="preserve">     2018-12-24 [1]</w:t>
      </w:r>
      <w:r>
        <w:br/>
      </w:r>
      <w:r>
        <w:rPr>
          <w:rStyle w:val="VerbatimChar"/>
        </w:rPr>
        <w:t>#&gt;  colorspace          1.4-1      2019-03-18 [1]</w:t>
      </w:r>
      <w:r>
        <w:br/>
      </w:r>
      <w:r>
        <w:rPr>
          <w:rStyle w:val="VerbatimChar"/>
        </w:rPr>
        <w:t>#&gt;  combinat            0.0-8      2012-10-29 [1]</w:t>
      </w:r>
      <w:r>
        <w:br/>
      </w:r>
      <w:r>
        <w:rPr>
          <w:rStyle w:val="VerbatimChar"/>
        </w:rPr>
        <w:t>#&gt;  cowplot           * 1.0.0      2019-07-11 [1]</w:t>
      </w:r>
      <w:r>
        <w:br/>
      </w:r>
      <w:r>
        <w:rPr>
          <w:rStyle w:val="VerbatimChar"/>
        </w:rPr>
        <w:t>#&gt;  crayon              1.3.4      2017-09-16 [1]</w:t>
      </w:r>
      <w:r>
        <w:br/>
      </w:r>
      <w:r>
        <w:rPr>
          <w:rStyle w:val="VerbatimChar"/>
        </w:rPr>
        <w:t>#&gt;  curl                4.3        2019-12-02 [1]</w:t>
      </w:r>
      <w:r>
        <w:br/>
      </w:r>
      <w:r>
        <w:rPr>
          <w:rStyle w:val="VerbatimChar"/>
        </w:rPr>
        <w:lastRenderedPageBreak/>
        <w:t>#&gt;  cvequality        * 0.2.0      2019-01-07 [1]</w:t>
      </w:r>
      <w:r>
        <w:br/>
      </w:r>
      <w:r>
        <w:rPr>
          <w:rStyle w:val="VerbatimChar"/>
        </w:rPr>
        <w:t>#&gt;  data.table          1.13.0     2020-07-24 [1]</w:t>
      </w:r>
      <w:r>
        <w:br/>
      </w:r>
      <w:r>
        <w:rPr>
          <w:rStyle w:val="VerbatimChar"/>
        </w:rPr>
        <w:t>#&gt;  DBI                 1.1.0      2019-12-15 [1]</w:t>
      </w:r>
      <w:r>
        <w:br/>
      </w:r>
      <w:r>
        <w:rPr>
          <w:rStyle w:val="VerbatimChar"/>
        </w:rPr>
        <w:t>#&gt;  db</w:t>
      </w:r>
      <w:r>
        <w:rPr>
          <w:rStyle w:val="VerbatimChar"/>
        </w:rPr>
        <w:t>plyr              1.4.4      2020-05-27 [1]</w:t>
      </w:r>
      <w:r>
        <w:br/>
      </w:r>
      <w:r>
        <w:rPr>
          <w:rStyle w:val="VerbatimChar"/>
        </w:rPr>
        <w:t>#&gt;  desc                1.2.0      2018-05-01 [1]</w:t>
      </w:r>
      <w:r>
        <w:br/>
      </w:r>
      <w:r>
        <w:rPr>
          <w:rStyle w:val="VerbatimChar"/>
        </w:rPr>
        <w:t>#&gt;  deSolve             1.28       2020-03-08 [1]</w:t>
      </w:r>
      <w:r>
        <w:br/>
      </w:r>
      <w:r>
        <w:rPr>
          <w:rStyle w:val="VerbatimChar"/>
        </w:rPr>
        <w:t>#&gt;  devtools            2.3.1      2020-07-21 [1]</w:t>
      </w:r>
      <w:r>
        <w:br/>
      </w:r>
      <w:r>
        <w:rPr>
          <w:rStyle w:val="VerbatimChar"/>
        </w:rPr>
        <w:t>#&gt;  digest              0.6.25     2020-02-23 [1]</w:t>
      </w:r>
      <w:r>
        <w:br/>
      </w:r>
      <w:r>
        <w:rPr>
          <w:rStyle w:val="VerbatimChar"/>
        </w:rPr>
        <w:t>#&gt;  dispRity</w:t>
      </w:r>
      <w:r>
        <w:rPr>
          <w:rStyle w:val="VerbatimChar"/>
        </w:rPr>
        <w:t xml:space="preserve">          * 1.4.1      2020-06-03 [1]</w:t>
      </w:r>
      <w:r>
        <w:br/>
      </w:r>
      <w:r>
        <w:rPr>
          <w:rStyle w:val="VerbatimChar"/>
        </w:rPr>
        <w:t>#&gt;  dplyr             * 1.0.2      2020-08-18 [1]</w:t>
      </w:r>
      <w:r>
        <w:br/>
      </w:r>
      <w:r>
        <w:rPr>
          <w:rStyle w:val="VerbatimChar"/>
        </w:rPr>
        <w:t>#&gt;  e1071               1.7-3      2019-11-26 [1]</w:t>
      </w:r>
      <w:r>
        <w:br/>
      </w:r>
      <w:r>
        <w:rPr>
          <w:rStyle w:val="VerbatimChar"/>
        </w:rPr>
        <w:t>#&gt;  ellipsis            0.3.1      2020-05-15 [1]</w:t>
      </w:r>
      <w:r>
        <w:br/>
      </w:r>
      <w:r>
        <w:rPr>
          <w:rStyle w:val="VerbatimChar"/>
        </w:rPr>
        <w:t>#&gt;  evaluate            0.14       2019-05-28 [1]</w:t>
      </w:r>
      <w:r>
        <w:br/>
      </w:r>
      <w:r>
        <w:rPr>
          <w:rStyle w:val="VerbatimChar"/>
        </w:rPr>
        <w:t xml:space="preserve">#&gt;  expm          </w:t>
      </w:r>
      <w:r>
        <w:rPr>
          <w:rStyle w:val="VerbatimChar"/>
        </w:rPr>
        <w:t xml:space="preserve">      0.999-5    2020-07-20 [1]</w:t>
      </w:r>
      <w:r>
        <w:br/>
      </w:r>
      <w:r>
        <w:rPr>
          <w:rStyle w:val="VerbatimChar"/>
        </w:rPr>
        <w:t>#&gt;  fansi               0.4.1      2020-01-08 [1]</w:t>
      </w:r>
      <w:r>
        <w:br/>
      </w:r>
      <w:r>
        <w:rPr>
          <w:rStyle w:val="VerbatimChar"/>
        </w:rPr>
        <w:t>#&gt;  farver              2.0.3      2020-01-16 [1]</w:t>
      </w:r>
      <w:r>
        <w:br/>
      </w:r>
      <w:r>
        <w:rPr>
          <w:rStyle w:val="VerbatimChar"/>
        </w:rPr>
        <w:t>#&gt;  fastmatch           1.1-0      2017-01-28 [1]</w:t>
      </w:r>
      <w:r>
        <w:br/>
      </w:r>
      <w:r>
        <w:rPr>
          <w:rStyle w:val="VerbatimChar"/>
        </w:rPr>
        <w:t>#&gt;  forcats           * 0.5.0      2020-03-01 [1]</w:t>
      </w:r>
      <w:r>
        <w:br/>
      </w:r>
      <w:r>
        <w:rPr>
          <w:rStyle w:val="VerbatimChar"/>
        </w:rPr>
        <w:t xml:space="preserve">#&gt;  foreign             </w:t>
      </w:r>
      <w:r>
        <w:rPr>
          <w:rStyle w:val="VerbatimChar"/>
        </w:rPr>
        <w:t>0.8-80     2020-05-24 [1]</w:t>
      </w:r>
      <w:r>
        <w:br/>
      </w:r>
      <w:r>
        <w:rPr>
          <w:rStyle w:val="VerbatimChar"/>
        </w:rPr>
        <w:t>#&gt;  fs                  1.5.0      2020-07-31 [1]</w:t>
      </w:r>
      <w:r>
        <w:br/>
      </w:r>
      <w:r>
        <w:rPr>
          <w:rStyle w:val="VerbatimChar"/>
        </w:rPr>
        <w:t>#&gt;  gdata               2.18.0     2017-06-06 [1]</w:t>
      </w:r>
      <w:r>
        <w:br/>
      </w:r>
      <w:r>
        <w:rPr>
          <w:rStyle w:val="VerbatimChar"/>
        </w:rPr>
        <w:t>#&gt;  geiger              2.0.7      2020-06-02 [1]</w:t>
      </w:r>
      <w:r>
        <w:br/>
      </w:r>
      <w:r>
        <w:rPr>
          <w:rStyle w:val="VerbatimChar"/>
        </w:rPr>
        <w:t>#&gt;  generics            0.0.2      2018-11-29 [1]</w:t>
      </w:r>
      <w:r>
        <w:br/>
      </w:r>
      <w:r>
        <w:rPr>
          <w:rStyle w:val="VerbatimChar"/>
        </w:rPr>
        <w:t xml:space="preserve">#&gt;  geometry            0.4.5 </w:t>
      </w:r>
      <w:r>
        <w:rPr>
          <w:rStyle w:val="VerbatimChar"/>
        </w:rPr>
        <w:t xml:space="preserve">     2019-12-04 [1]</w:t>
      </w:r>
      <w:r>
        <w:br/>
      </w:r>
      <w:r>
        <w:rPr>
          <w:rStyle w:val="VerbatimChar"/>
        </w:rPr>
        <w:t>#&gt;  geoscale            2.0        2015-05-14 [1]</w:t>
      </w:r>
      <w:r>
        <w:br/>
      </w:r>
      <w:r>
        <w:rPr>
          <w:rStyle w:val="VerbatimChar"/>
        </w:rPr>
        <w:t>#&gt;  ggforce             0.3.2      2020-06-23 [1]</w:t>
      </w:r>
      <w:r>
        <w:br/>
      </w:r>
      <w:r>
        <w:rPr>
          <w:rStyle w:val="VerbatimChar"/>
        </w:rPr>
        <w:t>#&gt;  ggplot2           * 3.3.2      2020-06-19 [1]</w:t>
      </w:r>
      <w:r>
        <w:br/>
      </w:r>
      <w:r>
        <w:rPr>
          <w:rStyle w:val="VerbatimChar"/>
        </w:rPr>
        <w:t>#&gt;  ggpubr            * 0.4.0      2020-06-27 [1]</w:t>
      </w:r>
      <w:r>
        <w:br/>
      </w:r>
      <w:r>
        <w:rPr>
          <w:rStyle w:val="VerbatimChar"/>
        </w:rPr>
        <w:t>#&gt;  ggrepel           * 0.8.2      2</w:t>
      </w:r>
      <w:r>
        <w:rPr>
          <w:rStyle w:val="VerbatimChar"/>
        </w:rPr>
        <w:t>020-03-08 [1]</w:t>
      </w:r>
      <w:r>
        <w:br/>
      </w:r>
      <w:r>
        <w:rPr>
          <w:rStyle w:val="VerbatimChar"/>
        </w:rPr>
        <w:t>#&gt;  ggsignif            0.6.0      2019-08-08 [1]</w:t>
      </w:r>
      <w:r>
        <w:br/>
      </w:r>
      <w:r>
        <w:rPr>
          <w:rStyle w:val="VerbatimChar"/>
        </w:rPr>
        <w:t>#&gt;  glue                1.4.1      2020-05-13 [1]</w:t>
      </w:r>
      <w:r>
        <w:br/>
      </w:r>
      <w:r>
        <w:rPr>
          <w:rStyle w:val="VerbatimChar"/>
        </w:rPr>
        <w:t>#&gt;  gridExtra           2.3        2017-09-09 [1]</w:t>
      </w:r>
      <w:r>
        <w:br/>
      </w:r>
      <w:r>
        <w:rPr>
          <w:rStyle w:val="VerbatimChar"/>
        </w:rPr>
        <w:t>#&gt;  gtable              0.3.0      2019-03-25 [1]</w:t>
      </w:r>
      <w:r>
        <w:br/>
      </w:r>
      <w:r>
        <w:rPr>
          <w:rStyle w:val="VerbatimChar"/>
        </w:rPr>
        <w:t>#&gt;  gtools              3.8.2      2020-03</w:t>
      </w:r>
      <w:r>
        <w:rPr>
          <w:rStyle w:val="VerbatimChar"/>
        </w:rPr>
        <w:t>-31 [1]</w:t>
      </w:r>
      <w:r>
        <w:br/>
      </w:r>
      <w:r>
        <w:rPr>
          <w:rStyle w:val="VerbatimChar"/>
        </w:rPr>
        <w:t>#&gt;  haven               2.3.1      2020-06-01 [1]</w:t>
      </w:r>
      <w:r>
        <w:br/>
      </w:r>
      <w:r>
        <w:rPr>
          <w:rStyle w:val="VerbatimChar"/>
        </w:rPr>
        <w:t>#&gt;  here              * 0.1        2017-05-28 [1]</w:t>
      </w:r>
      <w:r>
        <w:br/>
      </w:r>
      <w:r>
        <w:rPr>
          <w:rStyle w:val="VerbatimChar"/>
        </w:rPr>
        <w:t>#&gt;  highr               0.8        2019-03-20 [1]</w:t>
      </w:r>
      <w:r>
        <w:br/>
      </w:r>
      <w:r>
        <w:rPr>
          <w:rStyle w:val="VerbatimChar"/>
        </w:rPr>
        <w:t>#&gt;  hms                 0.5.3      2020-01-08 [1]</w:t>
      </w:r>
      <w:r>
        <w:br/>
      </w:r>
      <w:r>
        <w:rPr>
          <w:rStyle w:val="VerbatimChar"/>
        </w:rPr>
        <w:t>#&gt;  htmltools           0.5.0      2020-06-16 [1</w:t>
      </w:r>
      <w:r>
        <w:rPr>
          <w:rStyle w:val="VerbatimChar"/>
        </w:rPr>
        <w:t>]</w:t>
      </w:r>
      <w:r>
        <w:br/>
      </w:r>
      <w:r>
        <w:rPr>
          <w:rStyle w:val="VerbatimChar"/>
        </w:rPr>
        <w:t>#&gt;  httr                1.4.2      2020-07-20 [1]</w:t>
      </w:r>
      <w:r>
        <w:br/>
      </w:r>
      <w:r>
        <w:rPr>
          <w:rStyle w:val="VerbatimChar"/>
        </w:rPr>
        <w:t>#&gt;  igraph              1.2.5      2020-03-19 [1]</w:t>
      </w:r>
      <w:r>
        <w:br/>
      </w:r>
      <w:r>
        <w:rPr>
          <w:rStyle w:val="VerbatimChar"/>
        </w:rPr>
        <w:t>#&gt;  jpeg                0.1-8.1    2019-10-24 [1]</w:t>
      </w:r>
      <w:r>
        <w:br/>
      </w:r>
      <w:r>
        <w:rPr>
          <w:rStyle w:val="VerbatimChar"/>
        </w:rPr>
        <w:t>#&gt;  jsonlite            1.7.0      2020-06-25 [1]</w:t>
      </w:r>
      <w:r>
        <w:br/>
      </w:r>
      <w:r>
        <w:rPr>
          <w:rStyle w:val="VerbatimChar"/>
        </w:rPr>
        <w:t>#&gt;  KernSmooth          2.23-17    2020-04-26 [1]</w:t>
      </w:r>
      <w:r>
        <w:br/>
      </w:r>
      <w:r>
        <w:rPr>
          <w:rStyle w:val="VerbatimChar"/>
        </w:rPr>
        <w:t xml:space="preserve">#&gt;  </w:t>
      </w:r>
      <w:r>
        <w:rPr>
          <w:rStyle w:val="VerbatimChar"/>
        </w:rPr>
        <w:t>knitr               1.29       2020-06-23 [1]</w:t>
      </w:r>
      <w:r>
        <w:br/>
      </w:r>
      <w:r>
        <w:rPr>
          <w:rStyle w:val="VerbatimChar"/>
        </w:rPr>
        <w:t>#&gt;  labeling            0.3        2014-08-23 [1]</w:t>
      </w:r>
      <w:r>
        <w:br/>
      </w:r>
      <w:r>
        <w:rPr>
          <w:rStyle w:val="VerbatimChar"/>
        </w:rPr>
        <w:t>#&gt;  lattice             0.20-41    2020-04-02 [1]</w:t>
      </w:r>
      <w:r>
        <w:br/>
      </w:r>
      <w:r>
        <w:rPr>
          <w:rStyle w:val="VerbatimChar"/>
        </w:rPr>
        <w:t>#&gt;  lifecycle           0.2.0      2020-03-06 [1]</w:t>
      </w:r>
      <w:r>
        <w:br/>
      </w:r>
      <w:r>
        <w:rPr>
          <w:rStyle w:val="VerbatimChar"/>
        </w:rPr>
        <w:t>#&gt;  lubridate           1.7.9      2020-06-08 [1]</w:t>
      </w:r>
      <w:r>
        <w:br/>
      </w:r>
      <w:r>
        <w:rPr>
          <w:rStyle w:val="VerbatimChar"/>
        </w:rPr>
        <w:t>#&gt;  magic               1.5-9      2018-09-17 [1]</w:t>
      </w:r>
      <w:r>
        <w:br/>
      </w:r>
      <w:r>
        <w:rPr>
          <w:rStyle w:val="VerbatimChar"/>
        </w:rPr>
        <w:lastRenderedPageBreak/>
        <w:t>#&gt;  magick            * 2.4.0      2020-06-23 [1]</w:t>
      </w:r>
      <w:r>
        <w:br/>
      </w:r>
      <w:r>
        <w:rPr>
          <w:rStyle w:val="VerbatimChar"/>
        </w:rPr>
        <w:t>#&gt;  magrittr            1.5        2014-11-22 [1]</w:t>
      </w:r>
      <w:r>
        <w:br/>
      </w:r>
      <w:r>
        <w:rPr>
          <w:rStyle w:val="VerbatimChar"/>
        </w:rPr>
        <w:t>#&gt;  maps                3.3.0      2018-04-03 [1]</w:t>
      </w:r>
      <w:r>
        <w:br/>
      </w:r>
      <w:r>
        <w:rPr>
          <w:rStyle w:val="VerbatimChar"/>
        </w:rPr>
        <w:t>#&gt;  MA</w:t>
      </w:r>
      <w:r>
        <w:rPr>
          <w:rStyle w:val="VerbatimChar"/>
        </w:rPr>
        <w:t>SS                7.3-51.6   2020-04-26 [1]</w:t>
      </w:r>
      <w:r>
        <w:br/>
      </w:r>
      <w:r>
        <w:rPr>
          <w:rStyle w:val="VerbatimChar"/>
        </w:rPr>
        <w:t>#&gt;  Matrix              1.2-18     2019-11-27 [1]</w:t>
      </w:r>
      <w:r>
        <w:br/>
      </w:r>
      <w:r>
        <w:rPr>
          <w:rStyle w:val="VerbatimChar"/>
        </w:rPr>
        <w:t>#&gt;  memoise             1.1.0      2017-04-21 [1]</w:t>
      </w:r>
      <w:r>
        <w:br/>
      </w:r>
      <w:r>
        <w:rPr>
          <w:rStyle w:val="VerbatimChar"/>
        </w:rPr>
        <w:t>#&gt;  mgcv                1.8-31     2019-11-09 [1]</w:t>
      </w:r>
      <w:r>
        <w:br/>
      </w:r>
      <w:r>
        <w:rPr>
          <w:rStyle w:val="VerbatimChar"/>
        </w:rPr>
        <w:t>#&gt;  mnormt              2.0.1      2020-06-29 [1]</w:t>
      </w:r>
      <w:r>
        <w:br/>
      </w:r>
      <w:r>
        <w:rPr>
          <w:rStyle w:val="VerbatimChar"/>
        </w:rPr>
        <w:t xml:space="preserve">#&gt;  modelr  </w:t>
      </w:r>
      <w:r>
        <w:rPr>
          <w:rStyle w:val="VerbatimChar"/>
        </w:rPr>
        <w:t xml:space="preserve">            0.1.8      2020-05-19 [1]</w:t>
      </w:r>
      <w:r>
        <w:br/>
      </w:r>
      <w:r>
        <w:rPr>
          <w:rStyle w:val="VerbatimChar"/>
        </w:rPr>
        <w:t>#&gt;  Momocs            * 1.3.0      2020-04-15 [1]</w:t>
      </w:r>
      <w:r>
        <w:br/>
      </w:r>
      <w:r>
        <w:rPr>
          <w:rStyle w:val="VerbatimChar"/>
        </w:rPr>
        <w:t>#&gt;  munsell             0.5.0      2018-06-12 [1]</w:t>
      </w:r>
      <w:r>
        <w:br/>
      </w:r>
      <w:r>
        <w:rPr>
          <w:rStyle w:val="VerbatimChar"/>
        </w:rPr>
        <w:t>#&gt;  mvtnorm             1.1-1      2020-06-09 [1]</w:t>
      </w:r>
      <w:r>
        <w:br/>
      </w:r>
      <w:r>
        <w:rPr>
          <w:rStyle w:val="VerbatimChar"/>
        </w:rPr>
        <w:t>#&gt;  naturalsort         0.1.3      2016-08-30 [1]</w:t>
      </w:r>
      <w:r>
        <w:br/>
      </w:r>
      <w:r>
        <w:rPr>
          <w:rStyle w:val="VerbatimChar"/>
        </w:rPr>
        <w:t xml:space="preserve">#&gt;  nlme          </w:t>
      </w:r>
      <w:r>
        <w:rPr>
          <w:rStyle w:val="VerbatimChar"/>
        </w:rPr>
        <w:t xml:space="preserve">      3.1-148    2020-05-24 [1]</w:t>
      </w:r>
      <w:r>
        <w:br/>
      </w:r>
      <w:r>
        <w:rPr>
          <w:rStyle w:val="VerbatimChar"/>
        </w:rPr>
        <w:t>#&gt;  numDeriv            2016.8-1.1 2019-06-06 [1]</w:t>
      </w:r>
      <w:r>
        <w:br/>
      </w:r>
      <w:r>
        <w:rPr>
          <w:rStyle w:val="VerbatimChar"/>
        </w:rPr>
        <w:t>#&gt;  openxlsx            4.1.5      2020-05-06 [1]</w:t>
      </w:r>
      <w:r>
        <w:br/>
      </w:r>
      <w:r>
        <w:rPr>
          <w:rStyle w:val="VerbatimChar"/>
        </w:rPr>
        <w:t>#&gt;  permute             0.9-5      2019-03-12 [1]</w:t>
      </w:r>
      <w:r>
        <w:br/>
      </w:r>
      <w:r>
        <w:rPr>
          <w:rStyle w:val="VerbatimChar"/>
        </w:rPr>
        <w:t>#&gt;  phangorn            2.5.5      2019-06-19 [1]</w:t>
      </w:r>
      <w:r>
        <w:br/>
      </w:r>
      <w:r>
        <w:rPr>
          <w:rStyle w:val="VerbatimChar"/>
        </w:rPr>
        <w:t xml:space="preserve">#&gt;  phyclust            </w:t>
      </w:r>
      <w:r>
        <w:rPr>
          <w:rStyle w:val="VerbatimChar"/>
        </w:rPr>
        <w:t>0.1-29     2020-05-11 [1]</w:t>
      </w:r>
      <w:r>
        <w:br/>
      </w:r>
      <w:r>
        <w:rPr>
          <w:rStyle w:val="VerbatimChar"/>
        </w:rPr>
        <w:t>#&gt;  phytools            0.7-47     2020-06-01 [1]</w:t>
      </w:r>
      <w:r>
        <w:br/>
      </w:r>
      <w:r>
        <w:rPr>
          <w:rStyle w:val="VerbatimChar"/>
        </w:rPr>
        <w:t>#&gt;  pillar              1.4.6      2020-07-10 [1]</w:t>
      </w:r>
      <w:r>
        <w:br/>
      </w:r>
      <w:r>
        <w:rPr>
          <w:rStyle w:val="VerbatimChar"/>
        </w:rPr>
        <w:t>#&gt;  pkgbuild            1.1.0      2020-07-13 [1]</w:t>
      </w:r>
      <w:r>
        <w:br/>
      </w:r>
      <w:r>
        <w:rPr>
          <w:rStyle w:val="VerbatimChar"/>
        </w:rPr>
        <w:t>#&gt;  pkgconfig           2.0.3      2019-09-22 [1]</w:t>
      </w:r>
      <w:r>
        <w:br/>
      </w:r>
      <w:r>
        <w:rPr>
          <w:rStyle w:val="VerbatimChar"/>
        </w:rPr>
        <w:t xml:space="preserve">#&gt;  pkgload             1.1.0 </w:t>
      </w:r>
      <w:r>
        <w:rPr>
          <w:rStyle w:val="VerbatimChar"/>
        </w:rPr>
        <w:t xml:space="preserve">     2020-05-29 [1]</w:t>
      </w:r>
      <w:r>
        <w:br/>
      </w:r>
      <w:r>
        <w:rPr>
          <w:rStyle w:val="VerbatimChar"/>
        </w:rPr>
        <w:t>#&gt;  plotrix             3.7-8      2020-04-16 [1]</w:t>
      </w:r>
      <w:r>
        <w:br/>
      </w:r>
      <w:r>
        <w:rPr>
          <w:rStyle w:val="VerbatimChar"/>
        </w:rPr>
        <w:t>#&gt;  png                 0.1-7      2013-12-03 [1]</w:t>
      </w:r>
      <w:r>
        <w:br/>
      </w:r>
      <w:r>
        <w:rPr>
          <w:rStyle w:val="VerbatimChar"/>
        </w:rPr>
        <w:t>#&gt;  polyclip            1.10-0     2019-03-14 [1]</w:t>
      </w:r>
      <w:r>
        <w:br/>
      </w:r>
      <w:r>
        <w:rPr>
          <w:rStyle w:val="VerbatimChar"/>
        </w:rPr>
        <w:t>#&gt;  prettyunits         1.1.1      2020-01-24 [1]</w:t>
      </w:r>
      <w:r>
        <w:br/>
      </w:r>
      <w:r>
        <w:rPr>
          <w:rStyle w:val="VerbatimChar"/>
        </w:rPr>
        <w:t>#&gt;  processx            3.4.3      2</w:t>
      </w:r>
      <w:r>
        <w:rPr>
          <w:rStyle w:val="VerbatimChar"/>
        </w:rPr>
        <w:t>020-07-05 [1]</w:t>
      </w:r>
      <w:r>
        <w:br/>
      </w:r>
      <w:r>
        <w:rPr>
          <w:rStyle w:val="VerbatimChar"/>
        </w:rPr>
        <w:t>#&gt;  ps                  1.3.4      2020-08-11 [1]</w:t>
      </w:r>
      <w:r>
        <w:br/>
      </w:r>
      <w:r>
        <w:rPr>
          <w:rStyle w:val="VerbatimChar"/>
        </w:rPr>
        <w:t>#&gt;  purrr             * 0.3.4      2020-04-17 [1]</w:t>
      </w:r>
      <w:r>
        <w:br/>
      </w:r>
      <w:r>
        <w:rPr>
          <w:rStyle w:val="VerbatimChar"/>
        </w:rPr>
        <w:t>#&gt;  quadprog            1.5-8      2019-11-20 [1]</w:t>
      </w:r>
      <w:r>
        <w:br/>
      </w:r>
      <w:r>
        <w:rPr>
          <w:rStyle w:val="VerbatimChar"/>
        </w:rPr>
        <w:t>#&gt;  R6                  2.4.1      2019-11-12 [1]</w:t>
      </w:r>
      <w:r>
        <w:br/>
      </w:r>
      <w:r>
        <w:rPr>
          <w:rStyle w:val="VerbatimChar"/>
        </w:rPr>
        <w:t>#&gt;  raster              3.3-13     2020-07</w:t>
      </w:r>
      <w:r>
        <w:rPr>
          <w:rStyle w:val="VerbatimChar"/>
        </w:rPr>
        <w:t>-17 [1]</w:t>
      </w:r>
      <w:r>
        <w:br/>
      </w:r>
      <w:r>
        <w:rPr>
          <w:rStyle w:val="VerbatimChar"/>
        </w:rPr>
        <w:t>#&gt;  RColorBrewer        1.1-2      2014-12-07 [1]</w:t>
      </w:r>
      <w:r>
        <w:br/>
      </w:r>
      <w:r>
        <w:rPr>
          <w:rStyle w:val="VerbatimChar"/>
        </w:rPr>
        <w:t>#&gt;  Rcpp                1.0.5      2020-07-06 [1]</w:t>
      </w:r>
      <w:r>
        <w:br/>
      </w:r>
      <w:r>
        <w:rPr>
          <w:rStyle w:val="VerbatimChar"/>
        </w:rPr>
        <w:t>#&gt;  readr             * 1.3.1      2018-12-21 [1]</w:t>
      </w:r>
      <w:r>
        <w:br/>
      </w:r>
      <w:r>
        <w:rPr>
          <w:rStyle w:val="VerbatimChar"/>
        </w:rPr>
        <w:t>#&gt;  readxl            * 1.3.1      2019-03-13 [1]</w:t>
      </w:r>
      <w:r>
        <w:br/>
      </w:r>
      <w:r>
        <w:rPr>
          <w:rStyle w:val="VerbatimChar"/>
        </w:rPr>
        <w:t>#&gt;  remotes             2.2.0      2020-07-21 [1</w:t>
      </w:r>
      <w:r>
        <w:rPr>
          <w:rStyle w:val="VerbatimChar"/>
        </w:rPr>
        <w:t>]</w:t>
      </w:r>
      <w:r>
        <w:br/>
      </w:r>
      <w:r>
        <w:rPr>
          <w:rStyle w:val="VerbatimChar"/>
        </w:rPr>
        <w:t>#&gt;  reprex              0.3.0      2019-05-16 [1]</w:t>
      </w:r>
      <w:r>
        <w:br/>
      </w:r>
      <w:r>
        <w:rPr>
          <w:rStyle w:val="VerbatimChar"/>
        </w:rPr>
        <w:t>#&gt;  rio                 0.5.16     2018-11-26 [1]</w:t>
      </w:r>
      <w:r>
        <w:br/>
      </w:r>
      <w:r>
        <w:rPr>
          <w:rStyle w:val="VerbatimChar"/>
        </w:rPr>
        <w:t>#&gt;  rlang               0.4.7      2020-07-09 [1]</w:t>
      </w:r>
      <w:r>
        <w:br/>
      </w:r>
      <w:r>
        <w:rPr>
          <w:rStyle w:val="VerbatimChar"/>
        </w:rPr>
        <w:t>#&gt;  rmarkdown           2.3        2020-06-18 [1]</w:t>
      </w:r>
      <w:r>
        <w:br/>
      </w:r>
      <w:r>
        <w:rPr>
          <w:rStyle w:val="VerbatimChar"/>
        </w:rPr>
        <w:t>#&gt;  rprojroot           1.3-2      2018-01-03 [1]</w:t>
      </w:r>
      <w:r>
        <w:br/>
      </w:r>
      <w:r>
        <w:rPr>
          <w:rStyle w:val="VerbatimChar"/>
        </w:rPr>
        <w:t xml:space="preserve">#&gt;  </w:t>
      </w:r>
      <w:r>
        <w:rPr>
          <w:rStyle w:val="VerbatimChar"/>
        </w:rPr>
        <w:t>rrtools             0.1.0      2020-06-24 [1]</w:t>
      </w:r>
      <w:r>
        <w:br/>
      </w:r>
      <w:r>
        <w:rPr>
          <w:rStyle w:val="VerbatimChar"/>
        </w:rPr>
        <w:t>#&gt;  rstatix             0.6.0      2020-06-18 [1]</w:t>
      </w:r>
      <w:r>
        <w:br/>
      </w:r>
      <w:r>
        <w:rPr>
          <w:rStyle w:val="VerbatimChar"/>
        </w:rPr>
        <w:t>#&gt;  rstudioapi          0.11       2020-02-07 [1]</w:t>
      </w:r>
      <w:r>
        <w:br/>
      </w:r>
      <w:r>
        <w:rPr>
          <w:rStyle w:val="VerbatimChar"/>
        </w:rPr>
        <w:t>#&gt;  rvest               0.3.6      2020-07-25 [1]</w:t>
      </w:r>
      <w:r>
        <w:br/>
      </w:r>
      <w:r>
        <w:rPr>
          <w:rStyle w:val="VerbatimChar"/>
        </w:rPr>
        <w:t>#&gt;  scales              1.1.1      2020-05-11 [1]</w:t>
      </w:r>
      <w:r>
        <w:br/>
      </w:r>
      <w:r>
        <w:rPr>
          <w:rStyle w:val="VerbatimChar"/>
        </w:rPr>
        <w:t>#&gt;  scatterplot3d       0.3-41     2018-03-14 [1]</w:t>
      </w:r>
      <w:r>
        <w:br/>
      </w:r>
      <w:r>
        <w:rPr>
          <w:rStyle w:val="VerbatimChar"/>
        </w:rPr>
        <w:lastRenderedPageBreak/>
        <w:t>#&gt;  sessioninfo         1.1.1      2018-11-05 [1]</w:t>
      </w:r>
      <w:r>
        <w:br/>
      </w:r>
      <w:r>
        <w:rPr>
          <w:rStyle w:val="VerbatimChar"/>
        </w:rPr>
        <w:t>#&gt;  sf                * 0.9-5      2020-07-14 [1]</w:t>
      </w:r>
      <w:r>
        <w:br/>
      </w:r>
      <w:r>
        <w:rPr>
          <w:rStyle w:val="VerbatimChar"/>
        </w:rPr>
        <w:t>#&gt;  sp                  1.4-2      2020-05-20 [1]</w:t>
      </w:r>
      <w:r>
        <w:br/>
      </w:r>
      <w:r>
        <w:rPr>
          <w:rStyle w:val="VerbatimChar"/>
        </w:rPr>
        <w:t>#&gt;  st</w:t>
      </w:r>
      <w:r>
        <w:rPr>
          <w:rStyle w:val="VerbatimChar"/>
        </w:rPr>
        <w:t>rap               1.4        2014-11-05 [1]</w:t>
      </w:r>
      <w:r>
        <w:br/>
      </w:r>
      <w:r>
        <w:rPr>
          <w:rStyle w:val="VerbatimChar"/>
        </w:rPr>
        <w:t>#&gt;  stringi             1.4.6      2020-02-17 [1]</w:t>
      </w:r>
      <w:r>
        <w:br/>
      </w:r>
      <w:r>
        <w:rPr>
          <w:rStyle w:val="VerbatimChar"/>
        </w:rPr>
        <w:t>#&gt;  stringr           * 1.4.0      2019-02-10 [1]</w:t>
      </w:r>
      <w:r>
        <w:br/>
      </w:r>
      <w:r>
        <w:rPr>
          <w:rStyle w:val="VerbatimChar"/>
        </w:rPr>
        <w:t>#&gt;  subplex             1.6        2020-02-23 [1]</w:t>
      </w:r>
      <w:r>
        <w:br/>
      </w:r>
      <w:r>
        <w:rPr>
          <w:rStyle w:val="VerbatimChar"/>
        </w:rPr>
        <w:t>#&gt;  testthat            2.3.2      2020-03-02 [1]</w:t>
      </w:r>
      <w:r>
        <w:br/>
      </w:r>
      <w:r>
        <w:rPr>
          <w:rStyle w:val="VerbatimChar"/>
        </w:rPr>
        <w:t xml:space="preserve">#&gt;  tibble  </w:t>
      </w:r>
      <w:r>
        <w:rPr>
          <w:rStyle w:val="VerbatimChar"/>
        </w:rPr>
        <w:t xml:space="preserve">          * 3.0.3      2020-07-10 [1]</w:t>
      </w:r>
      <w:r>
        <w:br/>
      </w:r>
      <w:r>
        <w:rPr>
          <w:rStyle w:val="VerbatimChar"/>
        </w:rPr>
        <w:t>#&gt;  tidyr             * 1.1.1      2020-07-31 [1]</w:t>
      </w:r>
      <w:r>
        <w:br/>
      </w:r>
      <w:r>
        <w:rPr>
          <w:rStyle w:val="VerbatimChar"/>
        </w:rPr>
        <w:t>#&gt;  tidyselect          1.1.0      2020-05-11 [1]</w:t>
      </w:r>
      <w:r>
        <w:br/>
      </w:r>
      <w:r>
        <w:rPr>
          <w:rStyle w:val="VerbatimChar"/>
        </w:rPr>
        <w:t>#&gt;  tidyverse         * 1.3.0      2019-11-21 [1]</w:t>
      </w:r>
      <w:r>
        <w:br/>
      </w:r>
      <w:r>
        <w:rPr>
          <w:rStyle w:val="VerbatimChar"/>
        </w:rPr>
        <w:t>#&gt;  tmvnsim             1.0-2      2016-12-15 [1]</w:t>
      </w:r>
      <w:r>
        <w:br/>
      </w:r>
      <w:r>
        <w:rPr>
          <w:rStyle w:val="VerbatimChar"/>
        </w:rPr>
        <w:t xml:space="preserve">#&gt;  tweenr        </w:t>
      </w:r>
      <w:r>
        <w:rPr>
          <w:rStyle w:val="VerbatimChar"/>
        </w:rPr>
        <w:t xml:space="preserve">      1.0.1      2018-12-14 [1]</w:t>
      </w:r>
      <w:r>
        <w:br/>
      </w:r>
      <w:r>
        <w:rPr>
          <w:rStyle w:val="VerbatimChar"/>
        </w:rPr>
        <w:t>#&gt;  units               0.6-7      2020-06-13 [1]</w:t>
      </w:r>
      <w:r>
        <w:br/>
      </w:r>
      <w:r>
        <w:rPr>
          <w:rStyle w:val="VerbatimChar"/>
        </w:rPr>
        <w:t>#&gt;  usethis             1.6.1      2020-04-29 [1]</w:t>
      </w:r>
      <w:r>
        <w:br/>
      </w:r>
      <w:r>
        <w:rPr>
          <w:rStyle w:val="VerbatimChar"/>
        </w:rPr>
        <w:t>#&gt;  vctrs               0.3.2      2020-07-15 [1]</w:t>
      </w:r>
      <w:r>
        <w:br/>
      </w:r>
      <w:r>
        <w:rPr>
          <w:rStyle w:val="VerbatimChar"/>
        </w:rPr>
        <w:t>#&gt;  vegan               2.5-6      2019-09-01 [1]</w:t>
      </w:r>
      <w:r>
        <w:br/>
      </w:r>
      <w:r>
        <w:rPr>
          <w:rStyle w:val="VerbatimChar"/>
        </w:rPr>
        <w:t xml:space="preserve">#&gt;  viridis           * </w:t>
      </w:r>
      <w:r>
        <w:rPr>
          <w:rStyle w:val="VerbatimChar"/>
        </w:rPr>
        <w:t>0.5.1      2018-03-29 [1]</w:t>
      </w:r>
      <w:r>
        <w:br/>
      </w:r>
      <w:r>
        <w:rPr>
          <w:rStyle w:val="VerbatimChar"/>
        </w:rPr>
        <w:t>#&gt;  viridisLite       * 0.3.0      2018-02-01 [1]</w:t>
      </w:r>
      <w:r>
        <w:br/>
      </w:r>
      <w:r>
        <w:rPr>
          <w:rStyle w:val="VerbatimChar"/>
        </w:rPr>
        <w:t>#&gt;  withr               2.2.0      2020-04-20 [1]</w:t>
      </w:r>
      <w:r>
        <w:br/>
      </w:r>
      <w:r>
        <w:rPr>
          <w:rStyle w:val="VerbatimChar"/>
        </w:rPr>
        <w:t>#&gt;  xfun                0.16       2020-07-24 [1]</w:t>
      </w:r>
      <w:r>
        <w:br/>
      </w:r>
      <w:r>
        <w:rPr>
          <w:rStyle w:val="VerbatimChar"/>
        </w:rPr>
        <w:t>#&gt;  xml2                1.3.2      2020-04-23 [1]</w:t>
      </w:r>
      <w:r>
        <w:br/>
      </w:r>
      <w:r>
        <w:rPr>
          <w:rStyle w:val="VerbatimChar"/>
        </w:rPr>
        <w:t xml:space="preserve">#&gt;  yaml                2.2.1 </w:t>
      </w:r>
      <w:r>
        <w:rPr>
          <w:rStyle w:val="VerbatimChar"/>
        </w:rPr>
        <w:t xml:space="preserve">     2020-02-01 [1]</w:t>
      </w:r>
      <w:r>
        <w:br/>
      </w:r>
      <w:r>
        <w:rPr>
          <w:rStyle w:val="VerbatimChar"/>
        </w:rPr>
        <w:t>#&gt;  zip                 2.0.4      2019-09-01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rPr>
          <w:rStyle w:val="VerbatimChar"/>
        </w:rPr>
        <w:t xml:space="preserve">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#&gt;</w:t>
      </w:r>
      <w:r>
        <w:rPr>
          <w:rStyle w:val="VerbatimChar"/>
        </w:rPr>
        <w:t xml:space="preserve">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#&gt;  CRAN (R 4.0.0)</w:t>
      </w:r>
      <w:r>
        <w:rPr>
          <w:rStyle w:val="VerbatimChar"/>
        </w:rPr>
        <w:t xml:space="preserve">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lastRenderedPageBreak/>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#&gt;  CRAN (R 4.0.</w:t>
      </w:r>
      <w:r>
        <w:rPr>
          <w:rStyle w:val="VerbatimChar"/>
        </w:rPr>
        <w:t xml:space="preserve">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rPr>
          <w:rStyle w:val="VerbatimChar"/>
        </w:rPr>
        <w:t xml:space="preserv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#&gt;  CRAN</w:t>
      </w:r>
      <w:r>
        <w:rPr>
          <w:rStyle w:val="VerbatimChar"/>
        </w:rPr>
        <w:t xml:space="preserve">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rPr>
          <w:rStyle w:val="VerbatimChar"/>
        </w:rPr>
        <w:t xml:space="preserve">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#&gt;  CRAN (R 4.0.</w:t>
      </w:r>
      <w:r>
        <w:rPr>
          <w:rStyle w:val="VerbatimChar"/>
        </w:rPr>
        <w:t xml:space="preserve">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rPr>
          <w:rStyle w:val="VerbatimChar"/>
        </w:rPr>
        <w:t xml:space="preserve">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lastRenderedPageBreak/>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#&gt;  CRAN (R 4.0.</w:t>
      </w:r>
      <w:r>
        <w:rPr>
          <w:rStyle w:val="VerbatimChar"/>
        </w:rPr>
        <w:t xml:space="preserve">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rPr>
          <w:rStyle w:val="VerbatimChar"/>
        </w:rPr>
        <w:t xml:space="preserve">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#&gt;  CRAN</w:t>
      </w:r>
      <w:r>
        <w:rPr>
          <w:rStyle w:val="VerbatimChar"/>
        </w:rPr>
        <w:t xml:space="preserve">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rPr>
          <w:rStyle w:val="VerbatimChar"/>
        </w:rPr>
        <w:t xml:space="preserve">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#&gt;  CRAN (R 4.0.</w:t>
      </w:r>
      <w:r>
        <w:rPr>
          <w:rStyle w:val="VerbatimChar"/>
        </w:rPr>
        <w:t xml:space="preserve">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rPr>
          <w:rStyle w:val="VerbatimChar"/>
        </w:rPr>
        <w:t xml:space="preserve">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#&gt;  Github (benmarwick/rrtools@f43aae1)</w:t>
      </w:r>
      <w:r>
        <w:br/>
      </w:r>
      <w:r>
        <w:rPr>
          <w:rStyle w:val="VerbatimChar"/>
        </w:rPr>
        <w:t xml:space="preserve">#&gt;  CRAN (R 4.0.0)                     </w:t>
      </w:r>
      <w:r>
        <w:br/>
      </w:r>
      <w:r>
        <w:rPr>
          <w:rStyle w:val="VerbatimChar"/>
        </w:rPr>
        <w:lastRenderedPageBreak/>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#&gt;  CRAN (R 4.0.</w:t>
      </w:r>
      <w:r>
        <w:rPr>
          <w:rStyle w:val="VerbatimChar"/>
        </w:rPr>
        <w:t xml:space="preserve">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rPr>
          <w:rStyle w:val="VerbatimChar"/>
        </w:rPr>
        <w:t xml:space="preserve">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#&gt;  CRAN</w:t>
      </w:r>
      <w:r>
        <w:rPr>
          <w:rStyle w:val="VerbatimChar"/>
        </w:rPr>
        <w:t xml:space="preserve">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rPr>
          <w:rStyle w:val="VerbatimChar"/>
        </w:rPr>
        <w:t xml:space="preserve">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#&gt; [1] /Library/Frameworks/R.framewo</w:t>
      </w:r>
      <w:r>
        <w:rPr>
          <w:rStyle w:val="VerbatimChar"/>
        </w:rPr>
        <w:t>rk/Versions/4.0/Resources/library</w:t>
      </w:r>
    </w:p>
    <w:p w:rsidR="00E9318A" w:rsidRDefault="00877FD8">
      <w:pPr>
        <w:pStyle w:val="FirstParagraph"/>
      </w:pPr>
      <w:r>
        <w:t>The current Git commit details are:</w:t>
      </w:r>
    </w:p>
    <w:p w:rsidR="00E9318A" w:rsidRDefault="00877FD8">
      <w:pPr>
        <w:pStyle w:val="SourceCode"/>
      </w:pPr>
      <w:r>
        <w:rPr>
          <w:rStyle w:val="VerbatimChar"/>
        </w:rPr>
        <w:t>#&gt; Local:    master /Users/EmilyWang/Desktop/School document/LW-Papers/kwl-pottery-2019</w:t>
      </w:r>
      <w:r>
        <w:br/>
      </w:r>
      <w:r>
        <w:rPr>
          <w:rStyle w:val="VerbatimChar"/>
        </w:rPr>
        <w:t>#&gt; Remote:   master @ origin (https://github.com/LiYingWang/kwl.pottery.git)</w:t>
      </w:r>
      <w:r>
        <w:br/>
      </w:r>
      <w:r>
        <w:rPr>
          <w:rStyle w:val="VerbatimChar"/>
        </w:rPr>
        <w:t>#&gt; Head:     [58ea6da</w:t>
      </w:r>
      <w:r>
        <w:rPr>
          <w:rStyle w:val="VerbatimChar"/>
        </w:rPr>
        <w:t>] 2020-08-22: knit and update the html for chronological modeling</w:t>
      </w:r>
    </w:p>
    <w:p w:rsidR="00E9318A" w:rsidRDefault="00877FD8">
      <w:pPr>
        <w:pStyle w:val="FirstParagraph"/>
      </w:pPr>
      <w:r>
        <w:t>Word count: 6233</w:t>
      </w:r>
    </w:p>
    <w:sectPr w:rsidR="00E9318A"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77FD8" w:rsidRDefault="00877FD8">
      <w:pPr>
        <w:spacing w:after="0"/>
      </w:pPr>
      <w:r>
        <w:separator/>
      </w:r>
    </w:p>
  </w:endnote>
  <w:endnote w:type="continuationSeparator" w:id="0">
    <w:p w:rsidR="00877FD8" w:rsidRDefault="00877F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77FD8" w:rsidRDefault="00877FD8">
      <w:r>
        <w:separator/>
      </w:r>
    </w:p>
  </w:footnote>
  <w:footnote w:type="continuationSeparator" w:id="0">
    <w:p w:rsidR="00877FD8" w:rsidRDefault="00877F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1AE401"/>
    <w:multiLevelType w:val="multilevel"/>
    <w:tmpl w:val="FDC62B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77FD8"/>
    <w:rsid w:val="008D6863"/>
    <w:rsid w:val="00A06958"/>
    <w:rsid w:val="00AD02AC"/>
    <w:rsid w:val="00B86B75"/>
    <w:rsid w:val="00BC48D5"/>
    <w:rsid w:val="00C36279"/>
    <w:rsid w:val="00E315A3"/>
    <w:rsid w:val="00E9318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E323AA9"/>
  <w15:docId w15:val="{4D9D64B2-320E-8344-AE98-0491E87E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doi.org/10.1007/s10816-015-9272-9" TargetMode="Externa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7605/OSF.IO/ABVGF"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inkscape.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35</Pages>
  <Words>12223</Words>
  <Characters>69677</Characters>
  <Application>Microsoft Office Word</Application>
  <DocSecurity>0</DocSecurity>
  <Lines>580</Lines>
  <Paragraphs>163</Paragraphs>
  <ScaleCrop>false</ScaleCrop>
  <Company>University of Wollongong</Company>
  <LinksUpToDate>false</LinksUpToDate>
  <CharactersWithSpaces>81737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from the Iron Age pottery from northeastern Taiwan</dc:title>
  <dc:creator>Li-Ying Wang; Ben Marwick</dc:creator>
  <cp:keywords/>
  <cp:lastModifiedBy>Li-Ying Wang</cp:lastModifiedBy>
  <cp:revision>3</cp:revision>
  <dcterms:created xsi:type="dcterms:W3CDTF">2020-08-23T03:03:00Z</dcterms:created>
  <dcterms:modified xsi:type="dcterms:W3CDTF">2020-08-26T10:07:00Z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22 August, 2020</vt:lpwstr>
  </property>
  <property fmtid="{D5CDD505-2E9C-101B-9397-08002B2CF9AE}" pid="6" name="highlights">
    <vt:lpwstr>Iron Age pottery shapes from Kiwulan, Taiwan, were analyzed using elliptical Fourier analysisStatistical tests for the equality of coefficients of variation of shape coefficients were appliedSignificant differences in pottery shape were identified between</vt:lpwstr>
  </property>
  <property fmtid="{D5CDD505-2E9C-101B-9397-08002B2CF9AE}" pid="7" name="output">
    <vt:lpwstr/>
  </property>
</Properties>
</file>