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上月测序技术开发 Top 文献汇总</w:t>
      </w:r>
    </w:p>
    <w:p>
      <w:r>
        <w:rPr>
          <w:i/>
          <w:sz w:val="19"/>
        </w:rPr>
        <w:t>检索时间范围：2026-07-27 至 2026-08-02（精选 10 篇，候选去重前 439 篇；按技术相关度 + 期刊影响因子排序）</w:t>
      </w:r>
    </w:p>
    <w:p>
      <w:r>
        <w:t>聚焦方向：测序技术开发（二代/三代/单分子测序新方法新平台、单细胞测序、空间转录组、表观基因组测序、蛋白质测序等），剔除纯生物学应用类文章。数据来源：PubMed（CNS 及子刊、主流生物/化学期刊）、bioRxiv 与 arXiv 预印本。摘要机器翻译为中文，仅供参考。</w:t>
      </w:r>
    </w:p>
    <w:p>
      <w:r>
        <w:rPr>
          <w:b/>
        </w:rPr>
        <w:t>数据质量校验：</w:t>
      </w:r>
      <w:r>
        <w:t>自动校验并修订——修正发布日期 0 条、标题 0 条、摘要 0 条；未能自动修订 0 条（多为无摘要的社论/通讯类短文）。</w:t>
      </w:r>
    </w:p>
    <w:p>
      <w:pPr>
        <w:pStyle w:val="Heading1"/>
      </w:pPr>
      <w:r>
        <w:t>1. Comparative metagenomic assessment of Illumina-compatible library preparation methods, short-read lengths, and PacBio HiFi sequencing reveals differences in microbial and functional diversity recovery from a complex environmental sample.</w:t>
      </w:r>
    </w:p>
    <w:p>
      <w:r>
        <w:rPr>
          <w:b/>
        </w:rPr>
        <w:t>来源：</w:t>
      </w:r>
      <w:r>
        <w:t xml:space="preserve">PubMed / 期刊  |  </w:t>
      </w:r>
      <w:r>
        <w:rPr>
          <w:b/>
        </w:rPr>
        <w:t>期刊/平台：</w:t>
      </w:r>
      <w:r>
        <w:t xml:space="preserve">Microbiol Spectr  |  </w:t>
      </w:r>
      <w:r>
        <w:rPr>
          <w:b/>
        </w:rPr>
        <w:t>影响因子(估)：</w:t>
      </w:r>
      <w:r>
        <w:t xml:space="preserve">3.8  |  </w:t>
      </w:r>
      <w:r>
        <w:rPr>
          <w:b/>
        </w:rPr>
        <w:t>技术相关度评分：</w:t>
      </w:r>
      <w:r>
        <w:t xml:space="preserve">42.48  |  </w:t>
      </w:r>
      <w:r>
        <w:rPr>
          <w:b/>
        </w:rPr>
        <w:t>发布日期：</w:t>
      </w:r>
      <w:r>
        <w:t>2026-07-27</w:t>
      </w:r>
    </w:p>
    <w:p>
      <w:r>
        <w:rPr>
          <w:b/>
        </w:rPr>
        <w:t>作者：</w:t>
      </w:r>
      <w:r>
        <w:t>Rubén Díaz-Rúa, Daniela I Drautz-Moses, Xiang Zhao, Sadhasivam Perumal, Luke Esau, Angel Angelov, Alexander Putra, Patrick Driguez 等</w:t>
      </w:r>
    </w:p>
    <w:p>
      <w:r>
        <w:rPr>
          <w:b/>
        </w:rPr>
        <w:t>原文链接：</w:t>
      </w:r>
      <w:hyperlink r:id="rId9">
        <w:r>
          <w:rPr>
            <w:color w:val="0563C1"/>
            <w:u w:val="single"/>
          </w:rPr>
          <w:t>https://doi.org/10.1128/spectrum.00013-26</w:t>
        </w:r>
      </w:hyperlink>
    </w:p>
    <w:p>
      <w:r>
        <w:rPr>
          <w:b/>
        </w:rPr>
        <w:t>摘要（原文）：</w:t>
      </w:r>
      <w:r>
        <w:br/>
        <w:t>UNLABELLED：Metagenomics enables comprehensive exploration of microbial communities but is influenced by library preparation and sequencing technologies, affecting recovery of microbial genomes and proteins. Here, we benchmarked six Illumina-compatible short-read library preparation conditions in triplicate at 2 × 150 bp and 2 × 250 bp read lengths alongside PacBio HiFi long-read sequencing using a composite environmental sample of marine mangrove sediment and terrestrial palm tree soil. Longer short reads (2 × 250 bp) combined with optimal library preparation approaches improved assembly quality, protein detection, and metagenome-assembled genome (MAG) recovery, achieving results approaching those of long-read sequencing. TruSeq libraries at 2 × 250 bp recovered more than sevenfold more unique proteins than the same kit at 2 × 150 bp (811,701 vs 110,108) using the same number of sequencing reads, while recovering a comparable number of high-quality MAGs to PacBio HiFi long-read sequencing (11 vs 18) and surpassing it in protein discovery by almost 10-fold (811,701 vs 87,745) at less than half of the sequencing cost. Furthermore, biosynthetic gene cluster analysis identified 46 biosynthetic gene clusters in TruSeq-250PE assemblies compared to 38 in PacBio HiFi, with several showing no close match in the MIBiG database. Although long reads yield more contiguity and complete genomes, longer short reads offer a cost-effective, scalable alternative for uncovering microbial and functional diversity. These findings provide critical guidance for metagenomic experimental design, demonstrating that strategic selection of library preparation chemistry and sequencing parameters can reveal more unknown microbial information in complex biomes without requiring additional sequencing depth.</w:t>
        <w:br/>
        <w:t>IMPORTANCE：Metagenomic outcomes are strongly influenced by library preparation and sequencing strategies, yet their combined effects in complex environmental samples remain poorly defined. Here, we provide the first direct comparison of Illumina NovaSeq short-read metagenomic sequencing at 2 × 150 bp and 2 × 250 bp across multiple library preparation kits, alongside PacBio HiFi long-read sequencing. We show that sequencing read length and library preparation critically shape assembly quality, protein recovery, and metagenome-assembled genome (MAG) reconstruction. These findings demonstrate that short-read sequencing at 2 × 250 bp, with appropriate library preparation, can match long-read technologies in MAG recovery while substantially surpassing them in protein discovery. With less than half of the sequencing price and a 3.5-fold reduction in cost per gigabase of usable data, this method facilitates more accessible large-scale metagenomic analysis within complex environmental systems.</w:t>
      </w:r>
    </w:p>
    <w:p>
      <w:r>
        <w:rPr>
          <w:b/>
        </w:rPr>
        <w:t>摘要（中文翻译）：</w:t>
      </w:r>
      <w:r>
        <w:br/>
        <w:t>UNLABELLED：宏基因组学能够对微生物群落进行全面探索，但受到文库制备和测序技术的影响，影响微生物基因组和蛋白质的回收。在这里，我们使用海洋红树林沉积物和陆地棕榈树土壤的复合环境样本，对 6 个 Illumina 兼容的短读长文库制备条件进行了基准测试，一式三份，读取长度为 2 × 150 bp 和 2 × 250 bp，以及 PacBio HiFi 长读长测序。较长的短读长 (2 × 250 bp) 与最佳文库制备方法相结合，提高了组装质量、蛋白质检测和宏基因组组装基因组 (MAG) 恢复，实现了接近长读长测序的结果。使用相同数量的测序读数，2 × 250 bp 的 TruSeq 文库比 2 × 150 bp 的同一试剂盒回收的独特蛋白质多七倍以上（811,701 比 110,108），同时回收的高质量 MAG 数量与 PacBio HiFi 长读长测序相当（11 比 18），并且在蛋白质发现方面超过其近 10 倍（811,701 比 110,108）。 87,745），测序成本不到一半。此外，生物合成基因簇分析在 TruSeq-250PE 组件中识别出 46 个生物合成基因簇，而 PacBio HiFi 中有 38 个，其中几个在 MIBiG 数据库中显示不紧密匹配。尽管长读长可以产生更多的连续性和完整的基因组，但更长的短读长为揭示微生物和功能多样性提供了一种经济高效、可扩展的替代方案。这些发现为宏基因组实验设计提供了关键指导，证明文库制备化学和测序参数的策略选择可以揭示复杂生物群落中更多未知的微生物信息，而无需额外的测序深度。</w:t>
        <w:br/>
        <w:t>重要性：宏基因组结果受到文库制备和测序策略的强烈影响，但它们在复杂环境样本中的综合影响仍不清楚。在这里，我们首次对多个文库制备试剂盒的 Illumina NovaSeq 短读长宏基因组测序（2 × 150 bp 和 2 × 250 bp）以及 PacBio HiFi 长读长测序进行了直接比较。我们表明，测序读长和文库制备对组装质量、蛋白质回收和宏基因组组装基因组 (MAG) 重建至关重要。这些发现表明，2 × 250 bp 的短读长测序，加上适当的文库制备，可以在 MAG 回收方面与长读长技术相媲美，同时在蛋白质发现方面大幅超越长读长技术。该方法的测序价格不到一半，每 GB 可用数据的成本降低了 3.5 倍，有助于在复杂的环境系统中更容易进行大规模宏基因组分析。</w:t>
      </w:r>
    </w:p>
    <w:p>
      <w:pPr>
        <w:pStyle w:val="Heading1"/>
      </w:pPr>
      <w:r>
        <w:t>2. Highly Accurate Sequencing Methods for Low-Frequency Variant Detection.</w:t>
      </w:r>
    </w:p>
    <w:p>
      <w:r>
        <w:rPr>
          <w:b/>
        </w:rPr>
        <w:t>来源：</w:t>
      </w:r>
      <w:r>
        <w:t xml:space="preserve">PubMed / 期刊  |  </w:t>
      </w:r>
      <w:r>
        <w:rPr>
          <w:b/>
        </w:rPr>
        <w:t>期刊/平台：</w:t>
      </w:r>
      <w:r>
        <w:t xml:space="preserve">Clin Chem  |  </w:t>
      </w:r>
      <w:r>
        <w:rPr>
          <w:b/>
        </w:rPr>
        <w:t>影响因子(估)：</w:t>
      </w:r>
      <w:r>
        <w:t xml:space="preserve">8.3  |  </w:t>
      </w:r>
      <w:r>
        <w:rPr>
          <w:b/>
        </w:rPr>
        <w:t>技术相关度评分：</w:t>
      </w:r>
      <w:r>
        <w:t xml:space="preserve">39.04  |  </w:t>
      </w:r>
      <w:r>
        <w:rPr>
          <w:b/>
        </w:rPr>
        <w:t>发布日期：</w:t>
      </w:r>
      <w:r>
        <w:t>2026-07-29</w:t>
      </w:r>
    </w:p>
    <w:p>
      <w:r>
        <w:rPr>
          <w:b/>
        </w:rPr>
        <w:t>作者：</w:t>
      </w:r>
      <w:r>
        <w:t>Farzaneh Darbeheshti, Azeet Narayan, Hayet Radia Zeggar, Viktor A Adalsteinsson, G Mike Makrigiorgos</w:t>
      </w:r>
    </w:p>
    <w:p>
      <w:r>
        <w:rPr>
          <w:b/>
        </w:rPr>
        <w:t>原文链接：</w:t>
      </w:r>
      <w:hyperlink r:id="rId10">
        <w:r>
          <w:rPr>
            <w:color w:val="0563C1"/>
            <w:u w:val="single"/>
          </w:rPr>
          <w:t>https://doi.org/10.1093/clinchem/hvag074</w:t>
        </w:r>
      </w:hyperlink>
    </w:p>
    <w:p>
      <w:r>
        <w:rPr>
          <w:b/>
        </w:rPr>
        <w:t>摘要（原文）：</w:t>
      </w:r>
      <w:r>
        <w:br/>
        <w:t>BACKGROUND：Next-generation sequencing (NGS), also known as massively parallel sequencing, has become an essential tool across many areas of the life sciences, yet its application to low-frequency variant detection remains constrained by intrinsic error rates and the high cost of ultra-deep sequencing. To overcome these limitations, a range of technologies has been developed at both the library preparation and sequencing strategy levels to improve accuracy and boost sequencing efficiency, complemented by increasingly sophisticated computational pipelines for reliable mutation calling. Sequencing errors arise from multiple sources, including DNA damage, end-repair-associated misincorporations, PCR-derived errors, and base-calling inaccuracies.</w:t>
        <w:br/>
        <w:t>CONTENT：Broadly, current highly accurate approaches fall into 2 conceptual categories: single-strand-consensus methods, which generate consensus from repeated observations of the same strand, and duplex-consensus methods, which require concordant evidence from both complementary strands of the original DNA molecule. This review summarizes the principles underlying these error correction strategies and highlights the methodological innovations that reduce errors at each step of the work flow.</w:t>
        <w:br/>
        <w:t>SUMMARY：Highly accurate sequencing approaches have substantially improved the detection of low-frequency variants by reducing technical artifacts and enhancing signal-to-noise ratios.</w:t>
      </w:r>
    </w:p>
    <w:p>
      <w:r>
        <w:rPr>
          <w:b/>
        </w:rPr>
        <w:t>摘要（中文翻译）：</w:t>
      </w:r>
      <w:r>
        <w:br/>
        <w:t>背景：下一代测序（NGS），也称为大规模并行测序，已成为生命科学许多领域的重要工具，但其在低频变异检测中的应用仍然受到固有错误率和超深度测序的高成本的限制。为了克服这些限制，在文库制备和测序策略层面开发了一系列技术，以提高准确性和提高测序效率，并辅以日益复杂的计算管道以实现可靠的突变识别。测序错误有多种来源，包括 DNA 损伤、末端修复相关的错误掺入、PCR 衍生的错误和碱基识别不准确。</w:t>
        <w:br/>
        <w:t>内容：总的来说，当前的高精度方法分为两个概念类别：单链共识方法，通过对同一链的重复观察产生共识；双链共识方法，需要来自原始DNA分子的两条互补链的一致证据。本综述总结了这些纠错策略的原理，并强调了减少工作流程每个步骤中错误的方法创新。</w:t>
        <w:br/>
        <w:t>摘要：高精度测序方法通过减少技术伪影和提高信噪比，显着改善了低频变异的检测。</w:t>
      </w:r>
    </w:p>
    <w:p>
      <w:pPr>
        <w:pStyle w:val="Heading1"/>
      </w:pPr>
      <w:r>
        <w:t>3. Applying PCR cycle autonormalization to PacBio full-length 16S rRNA library preparations: impacts on error rates and sequence distributions.</w:t>
      </w:r>
    </w:p>
    <w:p>
      <w:r>
        <w:rPr>
          <w:b/>
        </w:rPr>
        <w:t>来源：</w:t>
      </w:r>
      <w:r>
        <w:t xml:space="preserve">PubMed / 期刊  |  </w:t>
      </w:r>
      <w:r>
        <w:rPr>
          <w:b/>
        </w:rPr>
        <w:t>期刊/平台：</w:t>
      </w:r>
      <w:r>
        <w:t xml:space="preserve">mSphere  |  </w:t>
      </w:r>
      <w:r>
        <w:rPr>
          <w:b/>
        </w:rPr>
        <w:t>影响因子(估)：</w:t>
      </w:r>
      <w:r>
        <w:t xml:space="preserve">2.7  |  </w:t>
      </w:r>
      <w:r>
        <w:rPr>
          <w:b/>
        </w:rPr>
        <w:t>技术相关度评分：</w:t>
      </w:r>
      <w:r>
        <w:t xml:space="preserve">38.34  |  </w:t>
      </w:r>
      <w:r>
        <w:rPr>
          <w:b/>
        </w:rPr>
        <w:t>发布日期：</w:t>
      </w:r>
      <w:r>
        <w:t>2026-07-29</w:t>
      </w:r>
    </w:p>
    <w:p>
      <w:r>
        <w:rPr>
          <w:b/>
        </w:rPr>
        <w:t>作者：</w:t>
      </w:r>
      <w:r>
        <w:t>Charles J Mason, Mikinley Weaver, Karma R Kissinger, Melissa A Johnson, Duan C Copeland, Kirk E Anderson, Scott M Geib</w:t>
      </w:r>
    </w:p>
    <w:p>
      <w:r>
        <w:rPr>
          <w:b/>
        </w:rPr>
        <w:t>原文链接：</w:t>
      </w:r>
      <w:hyperlink r:id="rId11">
        <w:r>
          <w:rPr>
            <w:color w:val="0563C1"/>
            <w:u w:val="single"/>
          </w:rPr>
          <w:t>https://doi.org/10.1371/journal.pone.0309065</w:t>
        </w:r>
      </w:hyperlink>
    </w:p>
    <w:p>
      <w:r>
        <w:rPr>
          <w:b/>
        </w:rPr>
        <w:t>摘要（原文）：</w:t>
      </w:r>
      <w:r>
        <w:br/>
        <w:t>The bacterial 16S rRNA gene is widely used to characterize host-associated and environmental microbiomes, most commonly through sequencing short hypervariable regions. Recent improvements in PacBio sequencing chemistry and concatenation approaches can now enable high-throughput, full-length 16S rRNA gene sequencing with high accuracy and depth. However, errors introduced during library preparation remain a major limitation, particularly during PCR amplification of full-length amplicons, where error accumulation may be elevated due to longer sequence lengths. These challenges are amplified when samples vary widely in microbial biomass, making it difficult to select a single optimal number of PCR cycles. Here, we evaluated PCR cycle autonormalization for PacBio Kinnex full-length 16S rRNA gene sequencing across seven agriculturally relevant specimen types. We compared conventional fixed-cycle PCR protocols (20, 24, and 30 cycles) with an autonormalization approach in which individual reactions were terminated during exponential amplification based on real-time fluorescence thresholds. Under the workflow tested here, autonormalized libraries generally retained a high proportion of sequences following denoising and chimera removal, exhibited low residual error rates (&lt;0.005%), and yielded relatively even read distributions across heterogeneous sample inputs. Overamplified reactions (30 cycles) showed elevated residual error rates and greater sequence loss, particularly in samples with higher microbial biodiversity, whereas low-cycle libraries produced more variable read output among specimens. Importantly, the PCR protocol had relatively minor effects on overall community composition compared with specimen type. These results support PCR cycle autonormalization as a useful workflow strategy for heterogeneous full-length 16S library preparation, while also highlighting the importance of library design, pooling strategy, and downstream processing in shaping technical outcomes.IMPORTANCEAmplicon-based sequencing of the 16S rRNA gene is a foundational tool in microbiome research, yet PCR amplification remains a major source of library-preparation error. This challenge is magnified for full-length 16S rRNA sequencing and for workflows that process specimen types with widely varying microbial biomass. Selecting a single PCR cycle number can underamplify low-biomass samples or overamplify high-titer samples, increasing artifacts and sequence loss during downstream processing. Here, we show that PCR cycle autonormalization can be integrated into a PacBio full-length 16S rRNA workflow and, under the conditions tested, provides low residual error rates and relatively even sample representation across heterogeneous inputs. Autonormalization also enables blind pooling of amplicons without post-PCR quantification or equimolar normalization, reducing hands-on time and sample loss. These benefits make cycle autonormalization particularly valuable for high-throughput and production-scale library preparation applications handling diverse specimen types.</w:t>
      </w:r>
    </w:p>
    <w:p>
      <w:r>
        <w:rPr>
          <w:b/>
        </w:rPr>
        <w:t>摘要（中文翻译）：</w:t>
      </w:r>
      <w:r>
        <w:br/>
        <w:t>细菌 16S rRNA 基因广泛用于表征宿主相关微生物组和环境微生物组，最常见的是通过对短高变区进行测序。 PacBio 测序化学和串联方法的最新改进现在可以实现高精度和深度的高通量、全长 16S rRNA 基因测序。然而，文库制备过程中引入的错误仍然是一个主要限制，特别是在全长扩增子的 PCR 扩增过程中，由于序列长度较长，错误累积可能会增加。当样品的微生物生物量差异很大时，这些挑战就会加剧，因此很难选择单一的最佳 PCR 循环数。在这里，我们评估了七种农业相关样本类型的 PacBio Kinnex 全长 16S rRNA 基因测序的 PCR 循环自动标准化。我们将传统的固定循环 PCR 方案（20、24 和 30 个循环）与自动标准化方法进行了比较，其中根据实时荧光阈值在指数扩增期间终止各个反应。在此测试的工作流程下，自动归一化文库在去噪和嵌合体去除后通常保留高比例的序列，表现出较低的残留错误率（&lt;0.005%），并且在异质样本输入中产生相对均匀的读取分布。过度放大的反应（30 个循环）显示出较高的残留错误率和更大的序列丢失，特别是在具有较高微生物多样性的样本中，而低循环文库在样本之间产生更多可变的读取输出。重要的是，与样本类型相比，PCR 方案对整体群落组成的影响相对较小。这些结果支持 PCR 循环自动标准化作为异质全长 16S 文库制备的有用工作流程策略，同时也强调了文库设计、合并策略和下游处理在塑造技术成果方面的重要性。 重要性基于扩增子的 16S rRNA 基因测序是微生物组研究的基础工具，但 PCR 扩增仍然是文库制备错误的主要来源。对于全长 16S rRNA 测序以及处理具有广泛不同微生物量的样本类型的工作流程，这一挑战更加严峻。选择单个 PCR 循环数可能会导致低生物量样品扩增不足或高滴度样品过度扩增，从而增加下游处理过程中的伪影和序列丢失。在这里，我们展示了 PCR 循环自动归一化可以集成到 PacBio 全长 16S rRNA 工作流程中，并且在测试条件下，可提供较低的残留错误率和跨异质输入的相对均匀的样本表示。自动归一化还可以实现扩增子的盲合并，无需 PCR 后定量或等摩尔归一化，从而减少动手时间和样品损失。这些优点使得循环自动归一化对于处理不同样本类型的高通量和生产规模的文库制备应用特别有价值。</w:t>
      </w:r>
    </w:p>
    <w:p>
      <w:pPr>
        <w:pStyle w:val="Heading1"/>
      </w:pPr>
      <w:r>
        <w:t>4. Microbial single-cell sequencing technologies: Principles, applications, and spatial integration.</w:t>
      </w:r>
    </w:p>
    <w:p>
      <w:r>
        <w:rPr>
          <w:b/>
        </w:rPr>
        <w:t>来源：</w:t>
      </w:r>
      <w:r>
        <w:t xml:space="preserve">PubMed / 期刊  |  </w:t>
      </w:r>
      <w:r>
        <w:rPr>
          <w:b/>
        </w:rPr>
        <w:t>期刊/平台：</w:t>
      </w:r>
      <w:r>
        <w:t xml:space="preserve">Biotechnol Adv  |  </w:t>
      </w:r>
      <w:r>
        <w:rPr>
          <w:b/>
        </w:rPr>
        <w:t>影响因子(估)：</w:t>
      </w:r>
      <w:r>
        <w:t xml:space="preserve">14.1  |  </w:t>
      </w:r>
      <w:r>
        <w:rPr>
          <w:b/>
        </w:rPr>
        <w:t>技术相关度评分：</w:t>
      </w:r>
      <w:r>
        <w:t xml:space="preserve">37.76  |  </w:t>
      </w:r>
      <w:r>
        <w:rPr>
          <w:b/>
        </w:rPr>
        <w:t>发布日期：</w:t>
      </w:r>
      <w:r>
        <w:t>2026-07-31</w:t>
      </w:r>
    </w:p>
    <w:p>
      <w:r>
        <w:rPr>
          <w:b/>
        </w:rPr>
        <w:t>作者：</w:t>
      </w:r>
      <w:r>
        <w:t>Fei Xu, Fangyu Mo, Babatunde O Kehinde, Qinghong Qian, Longjiang Fan, Weiqin Jiang, Hongyu Chen</w:t>
      </w:r>
    </w:p>
    <w:p>
      <w:r>
        <w:rPr>
          <w:b/>
        </w:rPr>
        <w:t>原文链接：</w:t>
      </w:r>
      <w:hyperlink r:id="rId12">
        <w:r>
          <w:rPr>
            <w:color w:val="0563C1"/>
            <w:u w:val="single"/>
          </w:rPr>
          <w:t>https://doi.org/10.1016/j.biotechadv.2026.108996</w:t>
        </w:r>
      </w:hyperlink>
    </w:p>
    <w:p>
      <w:r>
        <w:rPr>
          <w:b/>
        </w:rPr>
        <w:t>摘要（原文）：</w:t>
      </w:r>
      <w:r>
        <w:br/>
        <w:t>The advent of microbial single-cell sequencing technology provides unprecedented resolution to study microbial ecosystems, revealing cellular heterogeneity, interactions, and genetic evolution of microorganisms. This review systematically compiles current microbial single-cell sequencing technologies, providing a detailed synthesis of their underlying technical principles, illuminating the strengths and limitations of various approaches. In-depth summaries of the technical challenges they encounter in different microbial domains and their practical applications are provided. Finally, we summarized the emerging field of microbial spatial omics, with a particular focus on advanced imaging techniques utilizing sequencing and fluorescence in situ hybridization.</w:t>
      </w:r>
    </w:p>
    <w:p>
      <w:r>
        <w:rPr>
          <w:b/>
        </w:rPr>
        <w:t>摘要（中文翻译）：</w:t>
      </w:r>
      <w:r>
        <w:br/>
        <w:t>微生物单细胞测序技术的出现为研究微生物生态系统提供了前所未有的分辨率，揭示了微生物的细胞异质性、相互作用和遗传进化。这篇综述系统地汇编了当前的微生物单细胞测序技术，详细综合了其基本技术原理，阐明了各种方法的优点和局限性。深入总结了他们在不同微生物领域遇到的技术挑战及其实际应用。最后，我们总结了微生物空间组学的新兴领域，特别关注利用测序和荧光原位杂交的先进成像技术。</w:t>
      </w:r>
    </w:p>
    <w:p>
      <w:pPr>
        <w:pStyle w:val="Heading1"/>
      </w:pPr>
      <w:r>
        <w:t>5. An end-to-end framework for single-cell-resolution, whole-transcriptomic spatial profiling in post-mortem human brain</w:t>
      </w:r>
    </w:p>
    <w:p>
      <w:r>
        <w:rPr>
          <w:b/>
        </w:rPr>
        <w:t>来源：</w:t>
      </w:r>
      <w:r>
        <w:t xml:space="preserve">bioRxiv 预印本  |  </w:t>
      </w:r>
      <w:r>
        <w:rPr>
          <w:b/>
        </w:rPr>
        <w:t>期刊/平台：</w:t>
      </w:r>
      <w:r>
        <w:t xml:space="preserve">bioRxiv  |  </w:t>
      </w:r>
      <w:r>
        <w:rPr>
          <w:b/>
        </w:rPr>
        <w:t>影响因子(估)：</w:t>
      </w:r>
      <w:r>
        <w:t xml:space="preserve">0.0  |  </w:t>
      </w:r>
      <w:r>
        <w:rPr>
          <w:b/>
        </w:rPr>
        <w:t>技术相关度评分：</w:t>
      </w:r>
      <w:r>
        <w:t xml:space="preserve">36.0  |  </w:t>
      </w:r>
      <w:r>
        <w:rPr>
          <w:b/>
        </w:rPr>
        <w:t>发布日期：</w:t>
      </w:r>
      <w:r>
        <w:t>2026-08-01</w:t>
      </w:r>
    </w:p>
    <w:p>
      <w:r>
        <w:rPr>
          <w:b/>
        </w:rPr>
        <w:t>作者：</w:t>
      </w:r>
      <w:r>
        <w:t>Castro Brant, A.; Aladyeva, E.; Nguyen-Hao, H.-T.; Alltop, K.; Sweeney, N.; Kim, T. Y.; D. de Souza, I.; D'Oliveira Albanus, R.; Bharani, K. L.; Fu, H.; Meares, G.; Sutherland, G. T.; Harari, O.</w:t>
      </w:r>
    </w:p>
    <w:p>
      <w:r>
        <w:rPr>
          <w:b/>
        </w:rPr>
        <w:t>原文链接：</w:t>
      </w:r>
      <w:hyperlink r:id="rId13">
        <w:r>
          <w:rPr>
            <w:color w:val="0563C1"/>
            <w:u w:val="single"/>
          </w:rPr>
          <w:t>https://doi.org/10.64898/2026.07.28.740610</w:t>
        </w:r>
      </w:hyperlink>
    </w:p>
    <w:p>
      <w:r>
        <w:rPr>
          <w:b/>
        </w:rPr>
        <w:t>摘要（原文）：</w:t>
      </w:r>
      <w:r>
        <w:br/>
        <w:t>Single-cell resolution spatial transcriptomics enables transcriptome-wide molecular profiling within intact tissue architecture, providing unprecedented opportunities to investigate cellular organization and disease-associated molecular states in the human brain. However, applying these technologies to post-mortem human brain tissue remains challenging due to RNA degradation, heterogeneity in tissue preservation, and a lack of standardized analytical workflows. These challenges are particularly pronounced for whole-transcriptome platforms, where successful implementation requires optimization of both experimental and computational procedures. Here, we present an end-to-end framework for single-cell-resolution, whole-transcriptome spatial transcriptomics of fresh-frozen (FF) and formalin-fixed paraffin-embedded (FFPE) post-mortem human brain tissue. The framework combines an optimized experimental workflow with a preservation-agnostic bioinformatics pipeline for data processing, integration, and annotation. Experimentally, we show that a condensed two-day Visium HD workflow provides improved library quality, lowered qPCR cycle thresholds, and more consistent fragment size distributions. Sequencing saturation analyses further identified cost-effective sequencing depths that maximize transcript recovery while minimizing redundant sequencing. Computationally, we established a scalable workflow incorporating DAPI-based nuclear segmentation, transcript assignment, quality control, reference-guided integration, clustering, and cell-type annotation. We implemented a reference-based highly variable gene selection strategy to enable robust cross-sample harmonization independent of tissue preservation method. Application of this framework to seven Alzheimers disease frontal cortex specimens (five FF and two FFPE) generated a unified single-cell spatial transcriptomic atlas comprising more than 530,000 spatially resolved cells. The integrated dataset resolved major neuronal, glial, and vascular cell populations, recapitulated expected cortical architecture, and enabled direct comparison of FF- and FFPE-derived spatial transcriptomic profiles. Together, this work provides a practical experimental and computational framework for single-cell resolution, whole-transcriptome spatial transcriptomics in post-mortem human brain tissue and delivers a publicly available resource that expands the utility of archived and frozen specimens for studies of neurodegeneration and other neurological disorders.</w:t>
        <w:br/>
        <w:br/>
        <w:t>ImportanceSpatial transcriptomics of human post-mortem brain tissue is limited by RNA degradation, preservation variability, and lack of standardized workflows. Here, we present an end-to-end framework combining an optimized two-day Visium HD protocol with a preservation-agnostic bioinformatics pipeline. This approach improves library quality, defines efficient sequencing strategies, and enables robust spatial profiling across both FF and FFPE samples. Applied to Alzheimers disease brain tissue, it generates high-resolution single-cell spatial data and expands the utility of archived and frozen specimens for studying neurodegenerative diseases.</w:t>
      </w:r>
    </w:p>
    <w:p>
      <w:r>
        <w:rPr>
          <w:b/>
        </w:rPr>
        <w:t>摘要（中文翻译）：</w:t>
      </w:r>
      <w:r>
        <w:br/>
        <w:t>单细胞分辨率空间转录组学能够在完整的组织结构内进行转录组范围的分子分析，为研究人脑中的细胞组织和疾病相关分子状态提供前所未有的机会。然而，由于 RNA 降解、组织保存的异质性以及缺乏标准化的分析工作流程，将这些技术应用于死后人类脑组织仍然具有挑战性。这些挑战对于全转录组平台尤其明显，其中的成功实施需要优化实验和计算程序。在这里，我们提出了新鲜冷冻（FF）和福尔马林固定石蜡包埋（FFPE）死后人脑组织的单细胞分辨率全转录组空间转录组学的端到端框架。该框架将优化的实验工作流程与保存不可知的生物信息学管道相结合，用于数据处理、集成和注释。通过实验，我们表明，浓缩的两天 Visium HD 工作流程可提高文库质量、降低 qPCR 循环阈值以及更一致的片段大小分布。测序饱和度分析进一步确定了具有成本效益的测序深度，可最大限度地提高转录本回收率，同时最大限度地减少冗余测序。通过计算，我们建立了一个可扩展的工作流程，结合了基于 DAPI 的核分割、转录本分配、质量控制、参考引导集成、聚类和细胞类型注释。我们实施了基于参考的高度可变的基因选择策略，以实现独立于组织保存方法的稳健的跨样本协调。将该框架应用于七个阿尔茨海默病额叶皮层样本（五个 FF 和两个 FFPE），生成了一个统一的单细胞空间转录组图谱，其中包含超过 530,000 个空间分辨细胞。集成的数据集解析了主要的神经元、神经胶质和血管细胞群，概括了预期的皮质结构，并能够直接比较 FF 和 FFPE 衍生的空间转录组图谱。总之，这项工作为死后人类脑组织中的单细胞分辨率、全转录组空间转录组学提供了一个实用的实验和计算框架，并提供了一个公开可用的资源，扩大了存档和冷冻样本在神经退行性疾病和其他神经系统疾病研究中的效用。</w:t>
        <w:br/>
        <w:br/>
        <w:t>人类死后脑组织的空间转录组学受到 RNA 降解、保存变异性和缺乏标准化工作流程的限制。在这里，我们提出了一个端到端框架，将优化的两天 Visium HD 协议与保存不可知的生物信息学管道相结合。这种方法提高了文库质量，定义了高效的测序策略，并能够跨 FF 和 FFPE 样本进行稳健的空间分析。应用于阿尔茨海默病的脑组织，它可以生成高分辨率的单细胞空间数据，并扩展存档和冷冻样本在研究神经退行性疾病中的效用。</w:t>
      </w:r>
    </w:p>
    <w:p>
      <w:pPr>
        <w:pStyle w:val="Heading1"/>
      </w:pPr>
      <w:r>
        <w:t>6. RKMR: A Rapid Kernel Machine Regression Framework for Optimal Marker Detection in Spatial Omics Data</w:t>
      </w:r>
    </w:p>
    <w:p>
      <w:r>
        <w:rPr>
          <w:b/>
        </w:rPr>
        <w:t>来源：</w:t>
      </w:r>
      <w:r>
        <w:t xml:space="preserve">bioRxiv 预印本  |  </w:t>
      </w:r>
      <w:r>
        <w:rPr>
          <w:b/>
        </w:rPr>
        <w:t>期刊/平台：</w:t>
      </w:r>
      <w:r>
        <w:t xml:space="preserve">bioRxiv  |  </w:t>
      </w:r>
      <w:r>
        <w:rPr>
          <w:b/>
        </w:rPr>
        <w:t>影响因子(估)：</w:t>
      </w:r>
      <w:r>
        <w:t xml:space="preserve">0.0  |  </w:t>
      </w:r>
      <w:r>
        <w:rPr>
          <w:b/>
        </w:rPr>
        <w:t>技术相关度评分：</w:t>
      </w:r>
      <w:r>
        <w:t xml:space="preserve">34.0  |  </w:t>
      </w:r>
      <w:r>
        <w:rPr>
          <w:b/>
        </w:rPr>
        <w:t>发布日期：</w:t>
      </w:r>
      <w:r>
        <w:t>2026-07-30</w:t>
      </w:r>
    </w:p>
    <w:p>
      <w:r>
        <w:rPr>
          <w:b/>
        </w:rPr>
        <w:t>作者：</w:t>
      </w:r>
      <w:r>
        <w:t>Seal, S.; Neelon, B.; Chakraborty, A.; Mattila, C.; Rubinstein, M.; Chung, D.; Angel, P.; Ghosh, D.</w:t>
      </w:r>
    </w:p>
    <w:p>
      <w:r>
        <w:rPr>
          <w:b/>
        </w:rPr>
        <w:t>原文链接：</w:t>
      </w:r>
      <w:hyperlink r:id="rId14">
        <w:r>
          <w:rPr>
            <w:color w:val="0563C1"/>
            <w:u w:val="single"/>
          </w:rPr>
          <w:t>https://doi.org/10.64898/2026.07.27.740999</w:t>
        </w:r>
      </w:hyperlink>
    </w:p>
    <w:p>
      <w:r>
        <w:rPr>
          <w:b/>
        </w:rPr>
        <w:t>摘要（原文）：</w:t>
      </w:r>
      <w:r>
        <w:br/>
        <w:t>High-throughput spatial omics technologies enable molecular profiling within intact tissue architecture, yet identifying concise, predictive, and biologically interpretable marker panels for cell types, tissue domains, and disease-associated tissue classes remains challenging. This limitation hinders the development of actionable panels for targeted validation and downstream translation. Existing pipelines rely largely on univariate differential-expression analyses, which ignore joint molecular structure and provide limited predictive insight. Multivariate machine-learning methods, including random forest, XGBoost, elastic net, and specialized single-cell panel-selection approaches, can capture predictive patterns but typically lack explicit spatial modeling and probabilistic feature selection, relying instead on model-specific importance scores or user-specified panel sizes. We develop rapid kernel machine regression (RKMR), a scalable framework for spatial-omics marker discovery that integrates nonlinear kernel modeling, spike-and-slab variable selection, and spatial dependence. RKMR uses automatic relevance determination (ARD) kernels and sparsity-inducing priors to capture nonlinear marker-outcome relationships and implicit feature interactions while producing approximate posterior inclusion probabilities (PIPs) that quantify model-based uncertainty in feature inclusion. To scale inference to large spatial datasets, RKMR combines low-rank kernel approximations with stochastic variational optimization. In simulations, RKMR consistently achieves higher AUPRC than competing methods across a range of molecular-signal and spatial-effect settings. Across spatial transcriptomics and scRNA-seq datasets, RKMR identifies parsimonious marker sets that recover reported cell-type signatures and reproducible tissue-layer markers. These results establish RKMR as a scalable and uncertainty-aware framework for translating high-dimensional spatial omics data into robust, experimentally actionable marker panels.</w:t>
      </w:r>
    </w:p>
    <w:p>
      <w:r>
        <w:rPr>
          <w:b/>
        </w:rPr>
        <w:t>摘要（中文翻译）：</w:t>
      </w:r>
      <w:r>
        <w:br/>
        <w:t>高通量空间组学技术能够在完整的组织结构内进行分子分析，但针对细胞类型、组织域和疾病相关组织类别识别简洁的、预测性的和生物学可解释的标记组仍然具有挑战性。这种限制阻碍了用于目标验证和下游翻译的可操作面板的开发。现有的流程在很大程度上依赖于单变量差异表达分析，它忽略了联合分子结构并提供有限的预测洞察力。多元机器学习方法，包括随机森林、XGBoost、弹性网络和专门的单细胞面板选择方法，可以捕获预测模式，但通常缺乏明确的空间建模和概率特征选择，而是依赖于模型特定的重要性分数或用户指定的面板大小。我们开发了快速核机器回归（RKMR），这是一个用于空间组学标记发现的可扩展框架，集成了非线性核建模、尖峰和平板变量选择以及空间依赖性。 RKMR 使用自动相关性确定 (ARD) 内核和稀疏性诱导先验来捕获非线性标记结果关系和隐式特征交互，同时生成近似后验包含概率 (PIP)，以量化特征包含中基于模型的不确定性。为了将推理扩展到大型空间数据集，RKMR 将低秩核近似与随机变分优化相结合。在模拟中，RKMR 在一系列分子信号和空间效应设置中始终获得比竞争方法更高的 AUPRC。在空间转录组学和 scRNA-seq 数据集中，RKMR 识别出简约的标记集，可恢复报告的细胞类型特征和可重复的组织层标记。这些结果将 RKMR 确立为一个可扩展且具有不确定性的框架，用于将高维空间组学数据转化为稳健的、可通过实验操作的标记组。</w:t>
      </w:r>
    </w:p>
    <w:p>
      <w:pPr>
        <w:pStyle w:val="Heading1"/>
      </w:pPr>
      <w:r>
        <w:t>7. Scalable single-cell isoform profiling with sequencing-by-expansion</w:t>
      </w:r>
    </w:p>
    <w:p>
      <w:r>
        <w:rPr>
          <w:b/>
        </w:rPr>
        <w:t>来源：</w:t>
      </w:r>
      <w:r>
        <w:t xml:space="preserve">bioRxiv 预印本  |  </w:t>
      </w:r>
      <w:r>
        <w:rPr>
          <w:b/>
        </w:rPr>
        <w:t>期刊/平台：</w:t>
      </w:r>
      <w:r>
        <w:t xml:space="preserve">bioRxiv  |  </w:t>
      </w:r>
      <w:r>
        <w:rPr>
          <w:b/>
        </w:rPr>
        <w:t>影响因子(估)：</w:t>
      </w:r>
      <w:r>
        <w:t xml:space="preserve">0.0  |  </w:t>
      </w:r>
      <w:r>
        <w:rPr>
          <w:b/>
        </w:rPr>
        <w:t>技术相关度评分：</w:t>
      </w:r>
      <w:r>
        <w:t xml:space="preserve">30.0  |  </w:t>
      </w:r>
      <w:r>
        <w:rPr>
          <w:b/>
        </w:rPr>
        <w:t>发布日期：</w:t>
      </w:r>
      <w:r>
        <w:t>2026-07-28</w:t>
      </w:r>
    </w:p>
    <w:p>
      <w:r>
        <w:rPr>
          <w:b/>
        </w:rPr>
        <w:t>作者：</w:t>
      </w:r>
      <w:r>
        <w:t>Georgescu, C. H.; Al-Eryani, G.; Brookhart, A.; Chandrasekar, J.; Yaung, S. J.; Rogers-Peckham, M.; Freer, M.; Kartje, M. E.; Yu, H.; Khorgade, A.; Yang, C.; McGee, L.; Berg, K.; Cech, C.; Barrett, S.; Arryman, A.; Bartlett, D. A.; Slamin, A.; Low, S.; Dubinsky, D.; Cipicchio, M.; Hacohen, N.; Lehmann, T.; Lennon, N. J.; Popic, V.; Zhao, C.; Prindle, M.; Mannion, J.; Nabavi, M.; Haas, B. J.; Kokoris, M.; AlKhafaji, A. M.</w:t>
      </w:r>
    </w:p>
    <w:p>
      <w:r>
        <w:rPr>
          <w:b/>
        </w:rPr>
        <w:t>原文链接：</w:t>
      </w:r>
      <w:hyperlink r:id="rId15">
        <w:r>
          <w:rPr>
            <w:color w:val="0563C1"/>
            <w:u w:val="single"/>
          </w:rPr>
          <w:t>https://doi.org/10.64898/2026.07.15.738809</w:t>
        </w:r>
      </w:hyperlink>
    </w:p>
    <w:p>
      <w:r>
        <w:rPr>
          <w:b/>
        </w:rPr>
        <w:t>摘要（原文）：</w:t>
      </w:r>
      <w:r>
        <w:br/>
        <w:t>Single-cell RNA sequencing has transformed our understanding of cellular systems, yet the reliance on short-read sequencing restricts analysis to gene-level quantification and obscures the immense biological diversity generated by alternative splicing. While long-read sequencing technologies can capture full-length RNA and resolve transcript isoforms, current platforms remain constrained by throughput and high per-base costs, rendering them impractical for modern million-cell applications. To address this critical limitation, we developed and optimized sequencing-by-expansion (SBX) chemistry for high-throughput single-cell RNA isoform profiling. Integrated within the AXELIOS 1 sequencing platform, SBX employs a unique biochemical conversion process that transforms complementary DNA into expanded surrogate high signal-to-noise polymers called Xpandomers which are sequenced via translocation through a dense nanopore array yielding over 9.5 billion reads in a two-hour run. To leverage this unique data type for long-read single-cell RNA isoform sequencing, we developed the Consensus UMI Deduplication using Longest Length (CUDLL) algorithm, which computationally consolidates variable-length raw SBX reads into single, high-fidelity consensus reads, elevating sequence accuracy to 99.83% and maximizing per transcript read length. We demonstrate that this consensus approach successfully captures the vast isoform diversity of single-cell libraries and enables the accurate measure of differential isoform expression across distinct cell types in peripheral blood mononuclear cells. Furthermore, SBX coupled with CUDLL efficiently resolves T-cell and B-cell receptor clonotypes directly from whole-transcriptome libraries without the need for VDJ-specific target enrichment. Ultimately, this work establishes SBX and the AXELIOS 1 as a transformative platform for high-scale single-cell isoform sequencing.</w:t>
      </w:r>
    </w:p>
    <w:p>
      <w:r>
        <w:rPr>
          <w:b/>
        </w:rPr>
        <w:t>摘要（中文翻译）：</w:t>
      </w:r>
      <w:r>
        <w:br/>
        <w:t>单细胞 RNA 测序改变了我们对细胞系统的理解，但对短读长测序的依赖将分析限制在基因水平定量，并掩盖了选择性剪接产生的巨大生物多样性。虽然长读长测序技术可以捕获全长 RNA 并解析转录亚型，但当前的平台仍然受到吞吐量和高每碱基成本的限制，这使得它们对于现代百万细胞应用来说不切实际。为了解决这一关键限制，我们开发并优化了扩展测序 (SBX) 化学方法，用于高通量单细胞 RNA 同工型分析。 SBX 集成在 AXELIOS 1 测序平台中，采用独特的生化转换过程，将互补 DNA 转化为扩展的替代高信噪比聚合物（称为 Xpandomer），通过密集纳米孔阵列易位进行测序，在两小时内产生超过 95 亿个读数。为了利用这种独特的数据类型进行长读长单细胞 RNA 同工型测序，我们开发了使用最长长度的一致性 UMI 重复数据删除 (CUDLL) 算法，该算法通过计算将可变长度的原始 SBX 读长合并为单个高保真一致读长，将序列准确性提高到 99.83%，并最大化每个转录本的读长。我们证明，这种共识方法成功捕获了单细胞文库的巨大亚型多样性，并能够准确测量外周血单核细胞中不同细胞类型的差异亚型表达。此外，SBX 与 CUDLL 相结合，可以直接从全转录组文库中有效解析 T 细胞和 B 细胞受体克隆型，无需进行 VDJ 特异性靶标富集。最终，这项工作将 SBX 和 AXELIOS 1 建立为大规模单细胞同种型测序的变革平台。</w:t>
      </w:r>
    </w:p>
    <w:p>
      <w:pPr>
        <w:pStyle w:val="Heading1"/>
      </w:pPr>
      <w:r>
        <w:t>8. Integrative multi-omics reveals a fibroblast-centered, ZFHX3-prioritized regulatory framework linking sick sinus syndrome and atrial fibrillation.</w:t>
      </w:r>
    </w:p>
    <w:p>
      <w:r>
        <w:rPr>
          <w:b/>
        </w:rPr>
        <w:t>来源：</w:t>
      </w:r>
      <w:r>
        <w:t xml:space="preserve">PubMed / 期刊  |  </w:t>
      </w:r>
      <w:r>
        <w:rPr>
          <w:b/>
        </w:rPr>
        <w:t>期刊/平台：</w:t>
      </w:r>
      <w:r>
        <w:t xml:space="preserve">Cell Signal  |  </w:t>
      </w:r>
      <w:r>
        <w:rPr>
          <w:b/>
        </w:rPr>
        <w:t>影响因子(估)：</w:t>
      </w:r>
      <w:r>
        <w:t xml:space="preserve">未知  |  </w:t>
      </w:r>
      <w:r>
        <w:rPr>
          <w:b/>
        </w:rPr>
        <w:t>技术相关度评分：</w:t>
      </w:r>
      <w:r>
        <w:t xml:space="preserve">28.0  |  </w:t>
      </w:r>
      <w:r>
        <w:rPr>
          <w:b/>
        </w:rPr>
        <w:t>发布日期：</w:t>
      </w:r>
      <w:r>
        <w:t>2026-08-03</w:t>
      </w:r>
    </w:p>
    <w:p>
      <w:r>
        <w:rPr>
          <w:b/>
        </w:rPr>
        <w:t>作者：</w:t>
      </w:r>
      <w:r>
        <w:t>Zhaoqi Yan, Xiangyi Pu, Yongyuan Cai, Qiaomin Wu, Xing Chang, Xinai Zhang, Yanli Wang, Jinfeng Liu 等</w:t>
      </w:r>
    </w:p>
    <w:p>
      <w:r>
        <w:rPr>
          <w:b/>
        </w:rPr>
        <w:t>原文链接：</w:t>
      </w:r>
      <w:hyperlink r:id="rId16">
        <w:r>
          <w:rPr>
            <w:color w:val="0563C1"/>
            <w:u w:val="single"/>
          </w:rPr>
          <w:t>https://doi.org/10.1016/j.cellsig.2026.112782</w:t>
        </w:r>
      </w:hyperlink>
    </w:p>
    <w:p>
      <w:r>
        <w:rPr>
          <w:b/>
        </w:rPr>
        <w:t>摘要（原文）：</w:t>
      </w:r>
      <w:r>
        <w:br/>
        <w:t>OBJECTIVE：To define shared genetic and multi-scale mechanisms underlying comorbidity between sick sinus syndrome (SSS) and atrial fibrillation (AF).</w:t>
        <w:br/>
        <w:t>METHODS：We integrated genome-wide association study (GWAS) summary statistics for SSS and AF with Genotype-Tissue Expression (GTEx) expression and splicing quantitative trait loci (eQTL/sQTL), atrial single-cell and spatial transcriptomics, and epigenomics. We identified trait-relevant tissues and pathways, prioritized shared cell types, quantified genome-wide and local genetic sharing, detected joint loci by cross-trait meta-analysis, and linked loci to regulatory programs via colocalization and cell-prioritized co-expression networks.</w:t>
        <w:br/>
        <w:t>RESULTS：Both traits showed strongest enrichment in cardiac tissue, especially Heart Atrial Appendage. Fibroblasts from the left atrial appendage were consistently prioritized as the key shared cell population. SSS and AF displayed significant positive genome-wide genetic correlation, with multiple locally shared regions, including six major loci. Cross-trait meta-analysis identified eight joint-phenotype SNPs implicating four susceptibility genes. ZFHX3 was the leading tissue-cell-gene candidate, acting as a hub in fibroblast co-expression modules and colocalizing with cardiac regulatory signals.</w:t>
        <w:br/>
        <w:t>CONCLUSION：Shared liability for SSS and AF is highly tissue- and cell-specific, converging on regulatory networks in atrial appendage fibroblasts, with ZFHX3 serving as a central mechanistic and biomarker node.</w:t>
      </w:r>
    </w:p>
    <w:p>
      <w:r>
        <w:rPr>
          <w:b/>
        </w:rPr>
        <w:t>摘要（中文翻译）：</w:t>
      </w:r>
      <w:r>
        <w:br/>
        <w:t>目的：明确病态窦房结综合征（SSS）和心房颤动（AF）之间共病的共同遗传和多尺度机制。</w:t>
        <w:br/>
        <w:t>方法：我们将 SSS 和 AF 的全基因组关联研究 (GWAS) 汇总统计数据与基因型组织表达 (GTEx) 表达和剪接数量性状位点 (eQTL/sQTL)、心房单细胞和空间转录组学以及表观基因组学相结合。我们确定了性状相关的组织和途径，优先考虑共享细胞类型，量化全基因组和局部遗传共享，通过跨性状荟萃分析检测联合基因座，并通过共定位和细胞优先的共表达网络将基因座与调控程序联系起来。</w:t>
        <w:br/>
        <w:t>结果：这两个性状在心脏组织中表现出最强的富集，尤其是心房附件。来自左心耳的成纤维细胞始终被优先考虑为关键共享细胞群。 SSS 和 AF 显示出显着的全基因组遗传相关性，具有多个局部共享区域，包括六个主要位点。跨性状荟萃分析确定了涉及 4 个易感基因的 8 个联合表型 SNP。 ZFHX3 是领先的组织细胞基因候选者，充当成纤维细胞共表达模块的中心，并与心脏调节信号共定位。</w:t>
        <w:br/>
        <w:t>结论：SSS 和 AF 的共同责任具有高度的组织和细胞特异性，汇聚于心耳成纤维细胞的调节网络中，其中 ZFHX3 充当中心机制和生物标志物节点。</w:t>
      </w:r>
    </w:p>
    <w:p>
      <w:pPr>
        <w:pStyle w:val="Heading1"/>
      </w:pPr>
      <w:r>
        <w:t>9. Spatial omics of immunity: Mapping cellular landscapes in tissue microenvironments.</w:t>
      </w:r>
    </w:p>
    <w:p>
      <w:r>
        <w:rPr>
          <w:b/>
        </w:rPr>
        <w:t>来源：</w:t>
      </w:r>
      <w:r>
        <w:t xml:space="preserve">PubMed / 期刊  |  </w:t>
      </w:r>
      <w:r>
        <w:rPr>
          <w:b/>
        </w:rPr>
        <w:t>期刊/平台：</w:t>
      </w:r>
      <w:r>
        <w:t xml:space="preserve">Curr Opin Immunol  |  </w:t>
      </w:r>
      <w:r>
        <w:rPr>
          <w:b/>
        </w:rPr>
        <w:t>影响因子(估)：</w:t>
      </w:r>
      <w:r>
        <w:t xml:space="preserve">未知  |  </w:t>
      </w:r>
      <w:r>
        <w:rPr>
          <w:b/>
        </w:rPr>
        <w:t>技术相关度评分：</w:t>
      </w:r>
      <w:r>
        <w:t xml:space="preserve">28.0  |  </w:t>
      </w:r>
      <w:r>
        <w:rPr>
          <w:b/>
        </w:rPr>
        <w:t>发布日期：</w:t>
      </w:r>
      <w:r>
        <w:t>2026-08-01</w:t>
      </w:r>
    </w:p>
    <w:p>
      <w:r>
        <w:rPr>
          <w:b/>
        </w:rPr>
        <w:t>作者：</w:t>
      </w:r>
      <w:r>
        <w:t>Ji-Eun See, Yuitian Liu, Jasmine Plummer</w:t>
      </w:r>
    </w:p>
    <w:p>
      <w:r>
        <w:rPr>
          <w:b/>
        </w:rPr>
        <w:t>原文链接：</w:t>
      </w:r>
      <w:hyperlink r:id="rId17">
        <w:r>
          <w:rPr>
            <w:color w:val="0563C1"/>
            <w:u w:val="single"/>
          </w:rPr>
          <w:t>https://doi.org/10.1016/j.coi.2026.102790</w:t>
        </w:r>
      </w:hyperlink>
    </w:p>
    <w:p>
      <w:r>
        <w:rPr>
          <w:b/>
        </w:rPr>
        <w:t>摘要（原文）：</w:t>
      </w:r>
      <w:r>
        <w:br/>
        <w:t>The tumor microenvironment (TME) is composed of diverse heterogeneous components and plays a crucial role in immune cell infiltration, immune evasion, and dynamic interactions between tumor cells and the immune system. A precise understanding of the TME is essential for tissue immunology research and the development of effective immunotherapies. Technologies that spatially dissect the TME and analyze it at the molecular level are increasingly important. Recently, cutting-edge, high-resolution, high-multiplex molecular profiling technologies capable of high-throughput RNA and protein profiling while incorporating spatial information have been rapidly developing. This review describes a variety of cutting-edge spatial transcriptomics and proteomics technologies, including sequencing-based spatial transcriptomics, multiplex in situ hybridization imaging-based spatial proteomics, and multiomics, which are particularly useful for tissue immunology research. Technological advances in computational tools are discussed, as well as how researchers have interpreted visualized data using our own results as examples. These technologies enable simultaneous analysis of the diverse types and functional states of immune cells in cancer tissues within the tissue architecture, providing a crucial foundation for understanding immune cell organization, function, and cell-to-cell interactions of tissue immune responses. Current spatial molecular profiling technologies still face technological limitations in resolution and analytical complexity. The lack of data standardization across diverse platforms and experimental conditions remains a significant issue, hindering the reproducibility and comparability of research results. To overcome these limitations, multiomics integrated research combining spatial transcriptomics, proteomics, and genomics data is expected to become more active in the future, which will enable a more multidimensional understanding of the TME and tissue immune environment. The introduction of artificial intelligence and machine learning technologies is expected to enable more precise interpretation of the functional status and interactions of immune cells within organizations, ultimately contributing to the development of next-generation immunotherapies.</w:t>
      </w:r>
    </w:p>
    <w:p>
      <w:r>
        <w:rPr>
          <w:b/>
        </w:rPr>
        <w:t>摘要（中文翻译）：</w:t>
      </w:r>
      <w:r>
        <w:br/>
        <w:t>肿瘤微环境（TME）由多种异质成分组成，在免疫细胞浸润、免疫逃避以及肿瘤细胞与免疫系统之间的动态相互作用中发挥着至关重要的作用。准确理解 TME 对于组织免疫学研究和有效免疫疗法的开发至关重要。对 TME 进行空间剖析并在分子水平上进行分析的技术变得越来越重要。最近，能够在整合空间信息的同时进行高通量 RNA 和蛋白质分析的尖端、高分辨率、高多重分子分析技术得到了迅速发展。这篇综述描述了各种前沿的空间转录组学和蛋白质组学技术，包括基于测序的空间转录组学、基于多重原位杂交成像的空间蛋白质组学和多组学，这些技术对于组织免疫学研究特别有用。讨论了计算工具的技术进步，以及研究人员如何使用我们自己的结果作为示例来解释可视化数据。这些技术能够同时分析组织结构内癌组织中免疫细胞的不同类型和功能状态，为理解组织免疫反应的免疫细胞组织、功能和细胞间相互作用提供了重要基础。当前的空间分子分析技术仍然面临分辨率和分析复杂性方面的技术限制。不同平台和实验条件之间缺乏数据标准化仍然是一个重大问题，阻碍了研究结果的可重复性和可比性。为了克服这些限制，结合空间转录组学、蛋白质组学和基因组学数据的多组学综合研究预计在未来将变得更加活跃，这将使人们对 TME 和组织免疫环境有更加多维的理解。人工智能和机器学习技术的引入预计将能够更精确地解释组织内免疫细胞的功能状态和相互作用，最终有助于下一代免疫疗法的开发。</w:t>
      </w:r>
    </w:p>
    <w:p>
      <w:pPr>
        <w:pStyle w:val="Heading1"/>
      </w:pPr>
      <w:r>
        <w:t>10. Epitranscriptomic circuits wiring the tumor microenvironment: A pharmacodynamic framework for clinical translation.</w:t>
      </w:r>
    </w:p>
    <w:p>
      <w:r>
        <w:rPr>
          <w:b/>
        </w:rPr>
        <w:t>来源：</w:t>
      </w:r>
      <w:r>
        <w:t xml:space="preserve">PubMed / 期刊  |  </w:t>
      </w:r>
      <w:r>
        <w:rPr>
          <w:b/>
        </w:rPr>
        <w:t>期刊/平台：</w:t>
      </w:r>
      <w:r>
        <w:t xml:space="preserve">Pharmacol Res  |  </w:t>
      </w:r>
      <w:r>
        <w:rPr>
          <w:b/>
        </w:rPr>
        <w:t>影响因子(估)：</w:t>
      </w:r>
      <w:r>
        <w:t xml:space="preserve">未知  |  </w:t>
      </w:r>
      <w:r>
        <w:rPr>
          <w:b/>
        </w:rPr>
        <w:t>技术相关度评分：</w:t>
      </w:r>
      <w:r>
        <w:t xml:space="preserve">26.0  |  </w:t>
      </w:r>
      <w:r>
        <w:rPr>
          <w:b/>
        </w:rPr>
        <w:t>发布日期：</w:t>
      </w:r>
      <w:r>
        <w:t>2026-08-01</w:t>
      </w:r>
    </w:p>
    <w:p>
      <w:r>
        <w:rPr>
          <w:b/>
        </w:rPr>
        <w:t>作者：</w:t>
      </w:r>
      <w:r>
        <w:t>Reza Izadpanah, Amin Izadpanah, Eckhard U Alt</w:t>
      </w:r>
    </w:p>
    <w:p>
      <w:r>
        <w:rPr>
          <w:b/>
        </w:rPr>
        <w:t>原文链接：</w:t>
      </w:r>
      <w:hyperlink r:id="rId18">
        <w:r>
          <w:rPr>
            <w:color w:val="0563C1"/>
            <w:u w:val="single"/>
          </w:rPr>
          <w:t>https://doi.org/10.1016/j.phrs.2026.108304</w:t>
        </w:r>
      </w:hyperlink>
    </w:p>
    <w:p>
      <w:r>
        <w:rPr>
          <w:b/>
        </w:rPr>
        <w:t>摘要（原文）：</w:t>
      </w:r>
      <w:r>
        <w:br/>
        <w:t>Epitranscriptomic RNA marks have moved from molecular footnotes to a control layer deciding which transcripts are translated, stored or discarded. In solid tumors, this layer sits directly upstream of how the tumor microenvironment behaves: it links oncogenic signaling to antigen visibility, interferon tone, myeloid recruitment, stromal architecture and vascular fitness through three recurrent "conduit circuits" centered on NF-κB-driven inflammation, Wnt/β-catenin-mediated immune exclusion and Dll4-NOTCH-patterned angiogenesis. Yet translation into clinical practice has lagged: mechanistic work is fragmented, pharmacodynamic rules for short lead-in windows and axis-aligned combinations are rarely shared, and assays range from semi-quantitative bulk measures to non-standardized spatial maps. This review brings mechanistic and clinical observations together into a single map of how epitranscriptomic circuits can be used in trials. It describes how m⁶A and related marks shape these conduit circuits and clinical programs spanning stemness, perivascular niches, angiogenesis, metastasis and treatment resistance, and links them to a bench-to-bedside pharmacodynamic workflow that combines LC-MS, direct RNA sequencing, spatial profiling, perfusion imaging and tumor-informed ctDNA. Finally, four practical operating principles for clinical use of this biology are outlined: pharmacodynamic-gated axis alignment, perfusion-gated vascular normalization, lineage-aware spatial pharmacodynamics and reader-level, compartment-selective control, together with a proposed conduit-circuit response score to judge and combine epitranscriptomic interventions on the basis of tissue-level pharmacodynamic readouts.</w:t>
      </w:r>
    </w:p>
    <w:p>
      <w:r>
        <w:rPr>
          <w:b/>
        </w:rPr>
        <w:t>摘要（中文翻译）：</w:t>
      </w:r>
      <w:r>
        <w:br/>
        <w:t>表观转录组 RNA 标记已从分子脚注转移到控制层，决定哪些转录本被翻译、存储或丢弃。在实体瘤中，这一层位于肿瘤微环境行为的直接上游：它通过以 NF-κB 驱动的炎症、Wnt/β-连环蛋白介导的免疫排斥和 Dll4-NOTCH 模式的血管生成为中心的三个循环“导管回路”，将致癌信号传导与抗原可见性、干扰素张力、骨髓募集、基质结构和血管适应性联系起来。然而，向临床实践的转化却滞后：机械工作分散，短导入窗口和轴对齐组合的药效学规则很少共享，检测范围从半定量批量测量到非标准化空间图。这篇综述将机制和临床观察结果整合到一张关于如何在试验中使用表观转录组电路的图谱中。它描述了 m⁶A 和相关标记如何塑造这些导管回路和临床程序，涵盖干性、血管周围生态位、血管生成、转移和治疗耐药性，并将它们与结合 LC-MS、直接 RNA 测序、空间分析、灌注成像和肿瘤信息 ctDNA 的实验室到临床药效学工作流程联系起来。最后，概述了该生物学临床应用的四个实用操作原则：药效门控轴对准、灌注门控血管正常化、谱系感知空间药效学和读取器水平、隔室选择性控制，以及拟议的导管回路反应评分，以根据组织水平药效读数判断和组合表观转录组干预措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28/spectrum.00013-26" TargetMode="External"/><Relationship Id="rId10" Type="http://schemas.openxmlformats.org/officeDocument/2006/relationships/hyperlink" Target="https://doi.org/10.1093/clinchem/hvag074" TargetMode="External"/><Relationship Id="rId11" Type="http://schemas.openxmlformats.org/officeDocument/2006/relationships/hyperlink" Target="https://doi.org/10.1371/journal.pone.0309065" TargetMode="External"/><Relationship Id="rId12" Type="http://schemas.openxmlformats.org/officeDocument/2006/relationships/hyperlink" Target="https://doi.org/10.1016/j.biotechadv.2026.108996" TargetMode="External"/><Relationship Id="rId13" Type="http://schemas.openxmlformats.org/officeDocument/2006/relationships/hyperlink" Target="https://doi.org/10.64898/2026.07.28.740610" TargetMode="External"/><Relationship Id="rId14" Type="http://schemas.openxmlformats.org/officeDocument/2006/relationships/hyperlink" Target="https://doi.org/10.64898/2026.07.27.740999" TargetMode="External"/><Relationship Id="rId15" Type="http://schemas.openxmlformats.org/officeDocument/2006/relationships/hyperlink" Target="https://doi.org/10.64898/2026.07.15.738809" TargetMode="External"/><Relationship Id="rId16" Type="http://schemas.openxmlformats.org/officeDocument/2006/relationships/hyperlink" Target="https://doi.org/10.1016/j.cellsig.2026.112782" TargetMode="External"/><Relationship Id="rId17" Type="http://schemas.openxmlformats.org/officeDocument/2006/relationships/hyperlink" Target="https://doi.org/10.1016/j.coi.2026.102790" TargetMode="External"/><Relationship Id="rId18" Type="http://schemas.openxmlformats.org/officeDocument/2006/relationships/hyperlink" Target="https://doi.org/10.1016/j.phrs.2026.108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