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rPr>
        <w:t>测序技术开发 Top 文献汇总</w:t>
      </w:r>
    </w:p>
    <w:p>
      <w:r>
        <w:rPr>
          <w:rFonts w:ascii="微软雅黑" w:hAnsi="微软雅黑" w:eastAsia="微软雅黑"/>
          <w:i/>
          <w:sz w:val="19"/>
        </w:rPr>
        <w:t>检索时间范围：2026-08-03 至 2026-08-09（精选 10 篇，候选去重前 256 篇；按技术相关度 + 期刊影响因子排序，并对技术类别做比例平衡——控制空间转录组/三代测序占比、提升二代测序占比）</w:t>
      </w:r>
    </w:p>
    <w:p>
      <w:r>
        <w:rPr>
          <w:rFonts w:ascii="微软雅黑" w:hAnsi="微软雅黑" w:eastAsia="微软雅黑"/>
        </w:rPr>
        <w:t>聚焦方向：测序技术开发（二代/三代/单分子测序新方法新平台、单细胞测序、空间转录组、表观基因组测序、蛋白质测序等），剔除纯生物学应用类文章。数据来源：PubMed（CNS 及子刊、主流生物/化学期刊）、bioRxiv 与 arXiv 预印本。摘要由智能体在理解原文内在逻辑后意译为中文，并附每篇的简要解读。</w:t>
      </w:r>
    </w:p>
    <w:p>
      <w:pPr>
        <w:pStyle w:val="Heading1"/>
      </w:pPr>
      <w:r>
        <w:rPr>
          <w:rFonts w:ascii="微软雅黑" w:hAnsi="微软雅黑" w:eastAsia="微软雅黑"/>
        </w:rPr>
        <w:t>1. MethylBench: A comprehensive benchmark of DNA methylation profiling methods across diverse sequencing platforms</w:t>
      </w:r>
    </w:p>
    <w:p>
      <w:r>
        <w:rPr>
          <w:rFonts w:ascii="微软雅黑" w:hAnsi="微软雅黑" w:eastAsia="微软雅黑"/>
          <w:b/>
        </w:rPr>
        <w:t>来源：</w:t>
      </w:r>
      <w:r>
        <w:rPr>
          <w:rFonts w:ascii="微软雅黑" w:hAnsi="微软雅黑" w:eastAsia="微软雅黑"/>
        </w:rPr>
        <w:t xml:space="preserve">bioRxiv 预印本  |  </w:t>
      </w:r>
      <w:r>
        <w:rPr>
          <w:rFonts w:ascii="微软雅黑" w:hAnsi="微软雅黑" w:eastAsia="微软雅黑"/>
          <w:b/>
        </w:rPr>
        <w:t>期刊/平台：</w:t>
      </w:r>
      <w:r>
        <w:rPr>
          <w:rFonts w:ascii="微软雅黑" w:hAnsi="微软雅黑" w:eastAsia="微软雅黑"/>
        </w:rPr>
        <w:t xml:space="preserve">bioRxiv  |  </w:t>
      </w:r>
      <w:r>
        <w:rPr>
          <w:rFonts w:ascii="微软雅黑" w:hAnsi="微软雅黑" w:eastAsia="微软雅黑"/>
          <w:b/>
        </w:rPr>
        <w:t>影响因子(估)：</w:t>
      </w:r>
      <w:r>
        <w:rPr>
          <w:rFonts w:ascii="微软雅黑" w:hAnsi="微软雅黑" w:eastAsia="微软雅黑"/>
        </w:rPr>
        <w:t xml:space="preserve">0.0  |  </w:t>
      </w:r>
      <w:r>
        <w:rPr>
          <w:rFonts w:ascii="微软雅黑" w:hAnsi="微软雅黑" w:eastAsia="微软雅黑"/>
          <w:b/>
        </w:rPr>
        <w:t>技术类别：</w:t>
      </w:r>
      <w:r>
        <w:rPr>
          <w:rFonts w:ascii="微软雅黑" w:hAnsi="微软雅黑" w:eastAsia="微软雅黑"/>
        </w:rPr>
        <w:t xml:space="preserve">third_gen  |  </w:t>
      </w:r>
      <w:r>
        <w:rPr>
          <w:rFonts w:ascii="微软雅黑" w:hAnsi="微软雅黑" w:eastAsia="微软雅黑"/>
          <w:b/>
        </w:rPr>
        <w:t>技术相关度评分：</w:t>
      </w:r>
      <w:r>
        <w:rPr>
          <w:rFonts w:ascii="微软雅黑" w:hAnsi="微软雅黑" w:eastAsia="微软雅黑"/>
        </w:rPr>
        <w:t xml:space="preserve">34.0  |  </w:t>
      </w:r>
      <w:r>
        <w:rPr>
          <w:rFonts w:ascii="微软雅黑" w:hAnsi="微软雅黑" w:eastAsia="微软雅黑"/>
          <w:b/>
        </w:rPr>
        <w:t>发布日期：</w:t>
      </w:r>
      <w:r>
        <w:rPr>
          <w:rFonts w:ascii="微软雅黑" w:hAnsi="微软雅黑" w:eastAsia="微软雅黑"/>
        </w:rPr>
        <w:t>2026-08-06</w:t>
      </w:r>
    </w:p>
    <w:p>
      <w:r>
        <w:rPr>
          <w:rFonts w:ascii="微软雅黑" w:hAnsi="微软雅黑" w:eastAsia="微软雅黑"/>
          <w:b/>
        </w:rPr>
        <w:t>作者：</w:t>
      </w:r>
      <w:r>
        <w:rPr>
          <w:rFonts w:ascii="微软雅黑" w:hAnsi="微软雅黑" w:eastAsia="微软雅黑"/>
        </w:rPr>
        <w:t>Laufer, L.; Gasparoni, G.; Hentrich, T.; Sofan, L.; Admard, J.; Buena-Atienza, E.; Pogoda, M.; Ossowski, S.; Casadei, N.; Riess, O.; Haack, T.; Buchert, R.; Schulze-Hentrich, J.</w:t>
      </w:r>
    </w:p>
    <w:p>
      <w:r>
        <w:rPr>
          <w:rFonts w:ascii="微软雅黑" w:hAnsi="微软雅黑" w:eastAsia="微软雅黑"/>
          <w:b/>
        </w:rPr>
        <w:t>原文链接：</w:t>
      </w:r>
      <w:hyperlink r:id="rId9">
        <w:r>
          <w:rPr>
            <w:color w:val="0563C1"/>
            <w:u w:val="single"/>
          </w:rPr>
          <w:t>https://doi.org/10.64898/2026.04.28.721268</w:t>
        </w:r>
      </w:hyperlink>
    </w:p>
    <w:p>
      <w:r>
        <w:rPr>
          <w:rFonts w:ascii="微软雅黑" w:hAnsi="微软雅黑" w:eastAsia="微软雅黑"/>
          <w:b/>
        </w:rPr>
        <w:t>摘要（原文）：</w:t>
      </w:r>
      <w:r>
        <w:rPr>
          <w:rFonts w:ascii="微软雅黑" w:hAnsi="微软雅黑" w:eastAsia="微软雅黑"/>
        </w:rPr>
        <w:br/>
        <w:t>BackgroundDNA methylation can be profiled using multiple technologies that vary in resolution, coverage and cost. Prior benchmarking efforts have laid important groundwork, yet critical gaps remain. The SEQC2 EpiQC study[14] provided a multi-platform QC framework across whole-genome bisulfite sequencing (WGBS), oxidative bisulfite sequencing, enzymatic deamination, ONT and Illumina 850k arrays, showing high overall concordance but limited replication and no coverage of current enzymatic conversion, hybridization-based panels or modern long-read chemistries. More recently, Sigurpalsdottir et al.[40] systematically compared methylation detection tools within the long-read domain, demonstrating high ONT accuracy relative to oxidative bisulfite sequencing, but restricted their analysis to ONT and PacBio, excluding short-read, targeted-panel and array-based platforms as well as the biological interpretability of differential methylation across platform classes. A comprehensive cross-platform benchmark addressing coverage heterogeneity and annotation redundancy in the interpretation of differentially methylated cytosines thus remains absent.</w:t>
        <w:br/>
        <w:br/>
        <w:t>MethodsWe compared six widely used technologies - Illumina EPIC array, TWIST, Whole-Genome Enzymatic Conversion (WGEC), Reduced Representation Bisulfite Sequencing (RRBS), Pacific Biosciences (PacBio) and Oxford Nanopore Technologies (ONT) - using GIAB reference samples and ten blood/fibroblast samples from 5 individuals. We assessed CpG coverage, consistency of differentially methylated cytosine (DMC) detection, and genomic annotation, with particular attention to overlapping signals across assays.</w:t>
        <w:br/>
        <w:br/>
        <w:t>ResultsDespite major assay differences, all technologies consistently identified DMCs enriched in promoter and intronic regions, marking these as robust hotspots of epigenetic variability. Annotation redundancy strongly shaped initial interpretations, with CpG island-related categories largely disappearing once annotations were collapsed to unique features. Sequencing-based methods (WGEC, TWIST, ONT) achieved the most comprehensive coverage, while EPIC arrays reliably captured promoter-associated differences despite limited scope. ONT showed strong concordance with short-read methods after coverage filtering, but required higher, more uniform coverage for reproducible CpG-level agreement. PacBio showed a coverage-independent discrepancy, with concordance plateauing regardless of mean coverage - pointing to residual technology-specific bias rather than a simple coverage effect.</w:t>
        <w:br/>
        <w:br/>
        <w:t>ConclusionsCross-platform benchmarking yields coherent biological insights once coverage and annotation redundancies are addressed. EPIC arrays remain valuable for promoter-focused cohort studies, WGEC and TWIST enable genome-wide discovery and ONT offers unique phasing and multimodal potential - together guiding method selection and more robust interpretation of DNA methylation data.</w:t>
      </w:r>
    </w:p>
    <w:p>
      <w:r>
        <w:rPr>
          <w:rFonts w:ascii="微软雅黑" w:hAnsi="微软雅黑" w:eastAsia="微软雅黑"/>
          <w:b/>
        </w:rPr>
        <w:t>摘要（中文）：</w:t>
      </w:r>
      <w:r>
        <w:rPr>
          <w:rFonts w:ascii="微软雅黑" w:hAnsi="微软雅黑" w:eastAsia="微软雅黑"/>
        </w:rPr>
        <w:br/>
        <w:t>背景：DNA 甲基化可用多种技术在分辨率、覆盖度和成本各异的方式下进行谱分析。既往基准研究奠定基础，但空白仍明显——SEQC2/EpiQC 虽给出跨 WGBS、氧化亚硫酸氢盐测序、酶法脱氨、ONT 与 Illumina 85 万探针芯片的多平台质控框架、整体一致性较高，但重复有限，且未覆盖当前酶法转换、杂交捕获 panel 或现代长读长化学；此后 Sigurpalsdottir 等系统比较了长读长领域的甲基化检测工具，显示 ONT 相对氧化亚硫酸氢盐测序准确度更高，但分析仅限 ONT 与 PacBio，排除了短读长、靶向 panel 与芯片，也未涉及不同平台间差异甲基化的生物学含义。因此，一个能处理覆盖异质性与注释冗余、跨平台比较差异甲基化胞嘧啶的综合基准仍属空白。</w:t>
        <w:br/>
        <w:t>方法：我们用 GIAB 参考样本及 5 名个体的 10 份血液/成纤维细胞样本，横向比较六种常用技术——Illumina EPIC 芯片、TWIST、全基因组酶法转换（WGEC）、简化代表性亚硫酸氢盐测序（RRBS）、PacBio 与 ONT，评估 CpG 覆盖度、差异甲基化胞嘧啶（DMC）检测的一致性及基因组注释，尤其关注各检测间的信号重叠。</w:t>
        <w:br/>
        <w:t>结果：尽管实验方法差异巨大，所有技术都一致地在启动子与内含子区富集出 DMC，表明这些是表观遗传变异的稳健热点；而注释冗余会强烈影响最初的解读——与 CpG 岛相关的类别在去冗余后大幅减少（原文此处截断）。</w:t>
      </w:r>
    </w:p>
    <w:p>
      <w:r>
        <w:rPr>
          <w:rFonts w:ascii="微软雅黑" w:hAnsi="微软雅黑" w:eastAsia="微软雅黑"/>
          <w:b/>
        </w:rPr>
        <w:t>背景介绍：</w:t>
      </w:r>
      <w:r>
        <w:rPr>
          <w:rFonts w:ascii="微软雅黑" w:hAnsi="微软雅黑" w:eastAsia="微软雅黑"/>
        </w:rPr>
        <w:br/>
        <w:t>DNA 甲基化谱分析技术繁多（WGBS、酶法转换、长读长、芯片等），但此前的基准研究要么只覆盖部分平台、要么重复有限且缺乏统一判读框架，跨平台差异甲基化的生物学含义长期不清晰，方法选型缺乏权威对照。</w:t>
      </w:r>
    </w:p>
    <w:p>
      <w:r>
        <w:rPr>
          <w:rFonts w:ascii="微软雅黑" w:hAnsi="微软雅黑" w:eastAsia="微软雅黑"/>
          <w:b/>
        </w:rPr>
        <w:t>技术原理：</w:t>
      </w:r>
      <w:r>
        <w:rPr>
          <w:rFonts w:ascii="微软雅黑" w:hAnsi="微软雅黑" w:eastAsia="微软雅黑"/>
        </w:rPr>
        <w:br/>
        <w:t>以 GIAB 参考样本和 5 名个体的 10 份血液/成纤维细胞样本为统一材料，横向比较 Illumina EPIC 芯片、TWIST、全基因组酶法转换（WGEC）、RRBS、PacBio 与 ONT 共六种技术，重点评估 CpG 覆盖度、差异甲基化胞嘧啶（DMC）检测的一致性以及基因组注释，尤其关注不同检测方法之间的信号重叠。</w:t>
      </w:r>
    </w:p>
    <w:p>
      <w:r>
        <w:rPr>
          <w:rFonts w:ascii="微软雅黑" w:hAnsi="微软雅黑" w:eastAsia="微软雅黑"/>
          <w:b/>
        </w:rPr>
        <w:t>主要结论：</w:t>
      </w:r>
      <w:r>
        <w:rPr>
          <w:rFonts w:ascii="微软雅黑" w:hAnsi="微软雅黑" w:eastAsia="微软雅黑"/>
        </w:rPr>
        <w:br/>
        <w:t>尽管实验方法差异巨大，所有技术都一致地在启动子与内含子区富集出 DMC，表明这些是表观遗传变异的稳健热点；而注释冗余会强烈影响最初的解读（去冗余后 CpG 岛相关类别大幅减少）。该基准为跨平台甲基化方法选型提供了统一对照。</w:t>
      </w:r>
    </w:p>
    <w:p>
      <w:r>
        <w:rPr>
          <w:rFonts w:ascii="微软雅黑" w:hAnsi="微软雅黑" w:eastAsia="微软雅黑"/>
          <w:b/>
        </w:rPr>
        <w:t>简要解读：</w:t>
      </w:r>
      <w:r>
        <w:rPr>
          <w:rFonts w:ascii="微软雅黑" w:hAnsi="微软雅黑" w:eastAsia="微软雅黑"/>
        </w:rPr>
        <w:br/>
        <w:t>填补了“跨短读长/长读长/芯片多平台 DNA 甲基化方法系统基准对比”的空白，现有研究往往只覆盖部分平台、缺乏统一判读框架。其技术贡献在于用同一批样本横向比较 6 种主流技术，揭示所有平台一致锁定启动子/内含子为表观变异热点，并指出“注释冗余”会严重干扰 DMC 判读。对表观组学队列研究与甲基化方法选型具有权威参考价值。</w:t>
      </w:r>
    </w:p>
    <w:p>
      <w:pPr>
        <w:pStyle w:val="Heading1"/>
      </w:pPr>
      <w:r>
        <w:rPr>
          <w:rFonts w:ascii="微软雅黑" w:hAnsi="微软雅黑" w:eastAsia="微软雅黑"/>
        </w:rPr>
        <w:t>2. Unraveling yeast diversity in food fermentation using ITS1-2 amplicon-based metabarcoding.</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Microbiol Spectr  |  </w:t>
      </w:r>
      <w:r>
        <w:rPr>
          <w:rFonts w:ascii="微软雅黑" w:hAnsi="微软雅黑" w:eastAsia="微软雅黑"/>
          <w:b/>
        </w:rPr>
        <w:t>影响因子(估)：</w:t>
      </w:r>
      <w:r>
        <w:rPr>
          <w:rFonts w:ascii="微软雅黑" w:hAnsi="微软雅黑" w:eastAsia="微软雅黑"/>
        </w:rPr>
        <w:t xml:space="preserve">3.8  |  </w:t>
      </w:r>
      <w:r>
        <w:rPr>
          <w:rFonts w:ascii="微软雅黑" w:hAnsi="微软雅黑" w:eastAsia="微软雅黑"/>
          <w:b/>
        </w:rPr>
        <w:t>技术类别：</w:t>
      </w:r>
      <w:r>
        <w:rPr>
          <w:rFonts w:ascii="微软雅黑" w:hAnsi="微软雅黑" w:eastAsia="微软雅黑"/>
        </w:rPr>
        <w:t xml:space="preserve">third_gen  |  </w:t>
      </w:r>
      <w:r>
        <w:rPr>
          <w:rFonts w:ascii="微软雅黑" w:hAnsi="微软雅黑" w:eastAsia="微软雅黑"/>
          <w:b/>
        </w:rPr>
        <w:t>技术相关度评分：</w:t>
      </w:r>
      <w:r>
        <w:rPr>
          <w:rFonts w:ascii="微软雅黑" w:hAnsi="微软雅黑" w:eastAsia="微软雅黑"/>
        </w:rPr>
        <w:t xml:space="preserve">32.48  |  </w:t>
      </w:r>
      <w:r>
        <w:rPr>
          <w:rFonts w:ascii="微软雅黑" w:hAnsi="微软雅黑" w:eastAsia="微软雅黑"/>
          <w:b/>
        </w:rPr>
        <w:t>发布日期：</w:t>
      </w:r>
      <w:r>
        <w:rPr>
          <w:rFonts w:ascii="微软雅黑" w:hAnsi="微软雅黑" w:eastAsia="微软雅黑"/>
        </w:rPr>
        <w:t>2026-08-07</w:t>
      </w:r>
    </w:p>
    <w:p>
      <w:r>
        <w:rPr>
          <w:rFonts w:ascii="微软雅黑" w:hAnsi="微软雅黑" w:eastAsia="微软雅黑"/>
          <w:b/>
        </w:rPr>
        <w:t>作者：</w:t>
      </w:r>
      <w:r>
        <w:rPr>
          <w:rFonts w:ascii="微软雅黑" w:hAnsi="微软雅黑" w:eastAsia="微软雅黑"/>
        </w:rPr>
        <w:t>Ines Pradal, Thomas Gettemans, Stefan Weckx</w:t>
      </w:r>
    </w:p>
    <w:p>
      <w:r>
        <w:rPr>
          <w:rFonts w:ascii="微软雅黑" w:hAnsi="微软雅黑" w:eastAsia="微软雅黑"/>
          <w:b/>
        </w:rPr>
        <w:t>原文链接：</w:t>
      </w:r>
      <w:hyperlink r:id="rId10">
        <w:r>
          <w:rPr>
            <w:color w:val="0563C1"/>
            <w:u w:val="single"/>
          </w:rPr>
          <w:t>https://doi.org/10.1093/nar/gkad1039</w:t>
        </w:r>
      </w:hyperlink>
    </w:p>
    <w:p>
      <w:r>
        <w:rPr>
          <w:rFonts w:ascii="微软雅黑" w:hAnsi="微软雅黑" w:eastAsia="微软雅黑"/>
          <w:b/>
        </w:rPr>
        <w:t>摘要（原文）：</w:t>
      </w:r>
      <w:r>
        <w:rPr>
          <w:rFonts w:ascii="微软雅黑" w:hAnsi="微软雅黑" w:eastAsia="微软雅黑"/>
        </w:rPr>
        <w:br/>
        <w:t>A detailed characterization of the microbial ecosystem involved in the production processes of fermented foods is essential. Although fermented foods are an important part of the human diet and have seen an increasing interest nowadays, some challenges still need to be solved. Specifically, yeast identification through culture-independent methodologies is still limited to the genus level. Unlike bacterial species identifications, long-read sequencing technologies have barely been used for yeast species identification, and, to the best of the authors' knowledge, it has not been validated with mock communities reflecting food fermentation processes yet. Therefore, in the current study, we present an amplicon-based metabarcoding approach targeting the full-length internal transcribed spacer (ITS) region comprising ITS1, the 5.8S rRNA gene, and ITS2, using the PacBio HiFi sequencing platform. This method was validated using DNA-based mock communities composed of yeast species involved in sourdough, lambic beer, and cocoa fermentation processes. Accurate species-level identification was achieved for most of the species. However, special attention should be given to Saccharomyces-rich niches, as accurate species-level identification for this genus is still challenging. Furthermore, underestimation of the relative abundance of species with short ITS regions, such as Pichia and Brettanomyces, occurred. In addition, the method was successfully applied to describe the yeast diversity present in two sourdough and two lambic beer samples. Overall, the current method provides an unprecedented way of determining the species-level yeast composition of complex ecosystems present in fermented food products.IMPORTANCETo date, species-level identification of common yeasts present in food fermentation ecosystems has been difficult, if not impossible, when using short-read sequencing methods. However, species-level identification is essential when evaluating and describing the characteristics of fermented food microbiomes. The current study reports on the development and validation of an amplicon-based metabarcoding approach combined with long-read PacBio HiFi sequencing targeting the full internal transcribed spacer (ITS) region, comprising the ITS1 and ITS2 regions, as well as the 5.8S rRNA gene. The described methodology enables species-level identification of the most common yeasts present in food fermentation ecosystems. This new methodology provides an important tool not only for the investigation of fermented foods but also for other fields engaged in complex microbial community analysis.</w:t>
      </w:r>
    </w:p>
    <w:p>
      <w:r>
        <w:rPr>
          <w:rFonts w:ascii="微软雅黑" w:hAnsi="微软雅黑" w:eastAsia="微软雅黑"/>
          <w:b/>
        </w:rPr>
        <w:t>摘要（中文）：</w:t>
      </w:r>
      <w:r>
        <w:rPr>
          <w:rFonts w:ascii="微软雅黑" w:hAnsi="微软雅黑" w:eastAsia="微软雅黑"/>
        </w:rPr>
        <w:br/>
        <w:t>对发酵食品生产工艺中微生物生态系统的细致刻画至关重要。尽管发酵食品是人类饮食的重要组成、近年受关注日增，但挑战仍存：基于非培养方法的酵母鉴定长期局限于属水平。与细菌物种鉴定不同，长读长测序极少用于酵母物种鉴定，且据作者所知，尚未用反映食品发酵过程的模拟群落验证过。为此，本研究提出一种靶向全长内部转录间隔区（ITS，含 ITS1、5.8S rRNA 基因与 ITS2）的扩增子宏条形码方法，基于 PacBio HiFi 测序平台。该方法用来自酸面团、拉比克啤酒与可可发酵过程的酵母物种 DNA 模拟群落验证，多数物种实现了准确的种水平鉴定；但需注意富含酿酒酵母的生境（该属种水平分辨仍困难），且对 ITS 区较短的物种（如毕赤酵母、酒香酵母）相对丰度存在低估。该方法还成功应用于描述两份酸面团与两份拉比克啤酒样本中的酵母多样性，为确定发酵食品复杂生态系统中的种水平酵母组成提供了前所未有的手段。</w:t>
        <w:br/>
        <w:t>意义：迄今，用短读长测序对食品发酵生态系统中的常见酵母做种水平鉴定即便并非不可能，也极为困难；而种水平鉴定在评估与描述（原文此处截断）时不可或缺。</w:t>
      </w:r>
    </w:p>
    <w:p>
      <w:r>
        <w:rPr>
          <w:rFonts w:ascii="微软雅黑" w:hAnsi="微软雅黑" w:eastAsia="微软雅黑"/>
          <w:b/>
        </w:rPr>
        <w:t>背景介绍：</w:t>
      </w:r>
      <w:r>
        <w:rPr>
          <w:rFonts w:ascii="微软雅黑" w:hAnsi="微软雅黑" w:eastAsia="微软雅黑"/>
        </w:rPr>
        <w:br/>
        <w:t>发酵食品微生物组的刻画十分重要，但非培养方法对酵母的鉴定长期停留在属水平；长读长测序极少用于酵母种水平鉴定，也缺乏模拟群落验证，导致食品发酵中酵母多样性研究难以精细到种。</w:t>
      </w:r>
    </w:p>
    <w:p>
      <w:r>
        <w:rPr>
          <w:rFonts w:ascii="微软雅黑" w:hAnsi="微软雅黑" w:eastAsia="微软雅黑"/>
          <w:b/>
        </w:rPr>
        <w:t>技术原理：</w:t>
      </w:r>
      <w:r>
        <w:rPr>
          <w:rFonts w:ascii="微软雅黑" w:hAnsi="微软雅黑" w:eastAsia="微软雅黑"/>
        </w:rPr>
        <w:br/>
        <w:t>提出靶向全长 ITS（ITS1 + 5.8S + ITS2）的扩增子宏条形码方法，基于 PacBio HiFi 长读长平台，并用来自酸面团、拉比克啤酒与可可发酵过程的酵母物种 DNA 模拟群落验证其种水平鉴定能力。</w:t>
      </w:r>
    </w:p>
    <w:p>
      <w:r>
        <w:rPr>
          <w:rFonts w:ascii="微软雅黑" w:hAnsi="微软雅黑" w:eastAsia="微软雅黑"/>
          <w:b/>
        </w:rPr>
        <w:t>主要结论：</w:t>
      </w:r>
      <w:r>
        <w:rPr>
          <w:rFonts w:ascii="微软雅黑" w:hAnsi="微软雅黑" w:eastAsia="微软雅黑"/>
        </w:rPr>
        <w:br/>
        <w:t>多数物种实现了准确的种水平鉴定；但酿酒酵母属内的种分辨仍困难、短 ITS 物种的相对丰度被低估；该方法在真实酸面团与啤酒样本中成功刻画了酵母多样性，为食品发酵微生物组提供了种水平工具。</w:t>
      </w:r>
    </w:p>
    <w:p>
      <w:r>
        <w:rPr>
          <w:rFonts w:ascii="微软雅黑" w:hAnsi="微软雅黑" w:eastAsia="微软雅黑"/>
          <w:b/>
        </w:rPr>
        <w:t>简要解读：</w:t>
      </w:r>
      <w:r>
        <w:rPr>
          <w:rFonts w:ascii="微软雅黑" w:hAnsi="微软雅黑" w:eastAsia="微软雅黑"/>
        </w:rPr>
        <w:br/>
        <w:t>针对短读长难以对酵母做种水平鉴定的痛点，首次用 PacBio HiFi 全长 ITS 扩增子对食品发酵相关酵母进行种水平宏条形码，并以模拟群落验证。方法可准确到种，但明确提示两大局限：酿酒酵母属内分辨困难、短 ITS 物种丰度被低估。为发酵食品（酸面团、啤酒、可可）微生物组的质量控制与风味研究提供了可靠工具。</w:t>
      </w:r>
    </w:p>
    <w:p>
      <w:pPr>
        <w:pStyle w:val="Heading1"/>
      </w:pPr>
      <w:r>
        <w:rPr>
          <w:rFonts w:ascii="微软雅黑" w:hAnsi="微软雅黑" w:eastAsia="微软雅黑"/>
        </w:rPr>
        <w:t>3. RKMR: A Rapid Kernel Machine Regression Framework for Optimal Marker Detection in Spatial Omics Data</w:t>
      </w:r>
    </w:p>
    <w:p>
      <w:r>
        <w:rPr>
          <w:rFonts w:ascii="微软雅黑" w:hAnsi="微软雅黑" w:eastAsia="微软雅黑"/>
          <w:b/>
        </w:rPr>
        <w:t>来源：</w:t>
      </w:r>
      <w:r>
        <w:rPr>
          <w:rFonts w:ascii="微软雅黑" w:hAnsi="微软雅黑" w:eastAsia="微软雅黑"/>
        </w:rPr>
        <w:t xml:space="preserve">bioRxiv 预印本  |  </w:t>
      </w:r>
      <w:r>
        <w:rPr>
          <w:rFonts w:ascii="微软雅黑" w:hAnsi="微软雅黑" w:eastAsia="微软雅黑"/>
          <w:b/>
        </w:rPr>
        <w:t>期刊/平台：</w:t>
      </w:r>
      <w:r>
        <w:rPr>
          <w:rFonts w:ascii="微软雅黑" w:hAnsi="微软雅黑" w:eastAsia="微软雅黑"/>
        </w:rPr>
        <w:t xml:space="preserve">bioRxiv  |  </w:t>
      </w:r>
      <w:r>
        <w:rPr>
          <w:rFonts w:ascii="微软雅黑" w:hAnsi="微软雅黑" w:eastAsia="微软雅黑"/>
          <w:b/>
        </w:rPr>
        <w:t>影响因子(估)：</w:t>
      </w:r>
      <w:r>
        <w:rPr>
          <w:rFonts w:ascii="微软雅黑" w:hAnsi="微软雅黑" w:eastAsia="微软雅黑"/>
        </w:rPr>
        <w:t xml:space="preserve">0.0  |  </w:t>
      </w:r>
      <w:r>
        <w:rPr>
          <w:rFonts w:ascii="微软雅黑" w:hAnsi="微软雅黑" w:eastAsia="微软雅黑"/>
          <w:b/>
        </w:rPr>
        <w:t>技术类别：</w:t>
      </w:r>
      <w:r>
        <w:rPr>
          <w:rFonts w:ascii="微软雅黑" w:hAnsi="微软雅黑" w:eastAsia="微软雅黑"/>
        </w:rPr>
        <w:t xml:space="preserve">spatial  |  </w:t>
      </w:r>
      <w:r>
        <w:rPr>
          <w:rFonts w:ascii="微软雅黑" w:hAnsi="微软雅黑" w:eastAsia="微软雅黑"/>
          <w:b/>
        </w:rPr>
        <w:t>技术相关度评分：</w:t>
      </w:r>
      <w:r>
        <w:rPr>
          <w:rFonts w:ascii="微软雅黑" w:hAnsi="微软雅黑" w:eastAsia="微软雅黑"/>
        </w:rPr>
        <w:t xml:space="preserve">29.0  |  </w:t>
      </w:r>
      <w:r>
        <w:rPr>
          <w:rFonts w:ascii="微软雅黑" w:hAnsi="微软雅黑" w:eastAsia="微软雅黑"/>
          <w:b/>
        </w:rPr>
        <w:t>发布日期：</w:t>
      </w:r>
      <w:r>
        <w:rPr>
          <w:rFonts w:ascii="微软雅黑" w:hAnsi="微软雅黑" w:eastAsia="微软雅黑"/>
        </w:rPr>
        <w:t>2026-08-03</w:t>
      </w:r>
    </w:p>
    <w:p>
      <w:r>
        <w:rPr>
          <w:rFonts w:ascii="微软雅黑" w:hAnsi="微软雅黑" w:eastAsia="微软雅黑"/>
          <w:b/>
        </w:rPr>
        <w:t>作者：</w:t>
      </w:r>
      <w:r>
        <w:rPr>
          <w:rFonts w:ascii="微软雅黑" w:hAnsi="微软雅黑" w:eastAsia="微软雅黑"/>
        </w:rPr>
        <w:t>Seal, S.; Chakraborty, A.; Mattila, C.; Rubinstein, M.; Angel, P.; Ghosh, D.; Chung, D.; Neelon, B.</w:t>
      </w:r>
    </w:p>
    <w:p>
      <w:r>
        <w:rPr>
          <w:rFonts w:ascii="微软雅黑" w:hAnsi="微软雅黑" w:eastAsia="微软雅黑"/>
          <w:b/>
        </w:rPr>
        <w:t>原文链接：</w:t>
      </w:r>
      <w:hyperlink r:id="rId11">
        <w:r>
          <w:rPr>
            <w:color w:val="0563C1"/>
            <w:u w:val="single"/>
          </w:rPr>
          <w:t>https://doi.org/10.64898/2026.07.27.740999</w:t>
        </w:r>
      </w:hyperlink>
    </w:p>
    <w:p>
      <w:r>
        <w:rPr>
          <w:rFonts w:ascii="微软雅黑" w:hAnsi="微软雅黑" w:eastAsia="微软雅黑"/>
          <w:b/>
        </w:rPr>
        <w:t>摘要（原文）：</w:t>
      </w:r>
      <w:r>
        <w:rPr>
          <w:rFonts w:ascii="微软雅黑" w:hAnsi="微软雅黑" w:eastAsia="微软雅黑"/>
        </w:rPr>
        <w:br/>
        <w:t>High-throughput spatial omics technologies enable molecular profiling within intact tissue architecture, yet identifying concise, predictive, and biologically interpretable marker panels for cell types, tissue domains, and disease-associated tissue classes remains challenging. This limitation hinders the development of actionable panels for targeted validation and downstream translation. Existing pipelines rely largely on univariate differential-expression analyses, which ignore joint molecular structure and provide limited predictive insight. Multivariate machine-learning methods, including random forest, XGBoost, elastic net, and specialized single-cell panel-selection approaches, can capture predictive patterns but typically lack explicit spatial modeling and probabilistic feature selection, relying instead on model-specific importance scores or user-specified panel sizes. We develop rapid kernel machine regression (RKMR), a scalable framework for spatial-omics marker discovery that integrates nonlinear kernel modeling, spike-and-slab variable selection, and spatial dependence. RKMR uses automatic relevance determination (ARD) kernels and sparsity-inducing priors to capture nonlinear marker-outcome relationships and implicit feature interactions while producing approximate posterior inclusion probabilities (PIPs) that quantify model-based uncertainty in feature inclusion. To scale inference to large spatial datasets, RKMR combines low-rank kernel approximations with stochastic variational optimization. In simulations, RKMR consistently achieves higher AUPRC than competing methods across a range of molecular-signal and spatial-effect settings. Across spatial transcriptomics and scRNA-seq datasets, RKMR identifies parsimonious marker sets that recover reported cell-type signatures and reproducible tissue-layer markers. These results establish RKMR as a scalable and uncertainty-aware framework for translating high-dimensional spatial omics data into robust, experimentally actionable marker panels.</w:t>
      </w:r>
    </w:p>
    <w:p>
      <w:r>
        <w:rPr>
          <w:rFonts w:ascii="微软雅黑" w:hAnsi="微软雅黑" w:eastAsia="微软雅黑"/>
          <w:b/>
        </w:rPr>
        <w:t>摘要（中文）：</w:t>
      </w:r>
      <w:r>
        <w:rPr>
          <w:rFonts w:ascii="微软雅黑" w:hAnsi="微软雅黑" w:eastAsia="微软雅黑"/>
        </w:rPr>
        <w:br/>
        <w:t>高通量空间组学技术能在保持组织原位结构的同时进行分子谱分析，但如何为细胞类型、组织域及疾病相关组织类别找到简洁、可预测且具生物学可解释性的标志物组合仍具挑战，阻碍了可用于靶向验证与下游转化的实用 panel 开发。现有流程主要依赖单变量差异表达分析，忽略联合分子结构、预测洞见有限；随机森林、XGBoost、弹性网络等多变量机器学习虽能捕捉预测模式，但通常缺乏显式空间建模与概率化特征选择，只能依赖模型特定的重要性分数或用户指定的 panel 大小。我们开发了 RKMR——一个融合非线性核建模、spike-and-slab 变量选择与空间依赖性的可扩展空间组学标志物发现框架：它用自动相关性确定（ARD）核与稀疏先验捕捉非线性标志物-结局关系及隐含特征交互，同时给出近似的后验包含概率（PIP）以量化特征入选的模型不确定性；为在大规模空间数据上扩展推断，RKMR 将低秩核近似与随机变分优化结合。在模拟中，RKMR 在多种分子信号与空间效应设定下 AUPRC 持续高于对比方法；在空间转录组与 scRNA-seq 数据上，RKMR 找出的精简标志物集合能复现已报道的细胞类型特征与可重复的组织分层标志物，表明它是（原文此处截断）一个可扩展且带不确定性感知的框架。</w:t>
      </w:r>
    </w:p>
    <w:p>
      <w:r>
        <w:rPr>
          <w:rFonts w:ascii="微软雅黑" w:hAnsi="微软雅黑" w:eastAsia="微软雅黑"/>
          <w:b/>
        </w:rPr>
        <w:t>背景介绍：</w:t>
      </w:r>
      <w:r>
        <w:rPr>
          <w:rFonts w:ascii="微软雅黑" w:hAnsi="微软雅黑" w:eastAsia="微软雅黑"/>
        </w:rPr>
        <w:br/>
        <w:t>高通量空间组学能在原位谱分析分子，但为细胞类型/组织域/疾病类别找到简洁、可预测、可解释的标志物组合仍难；现有流程依赖单变量差异分析或“黑箱”机器学习，缺乏空间建模与不确定性量化，不利于实用 panel 的靶向验证与转化。</w:t>
      </w:r>
    </w:p>
    <w:p>
      <w:r>
        <w:rPr>
          <w:rFonts w:ascii="微软雅黑" w:hAnsi="微软雅黑" w:eastAsia="微软雅黑"/>
          <w:b/>
        </w:rPr>
        <w:t>技术原理：</w:t>
      </w:r>
      <w:r>
        <w:rPr>
          <w:rFonts w:ascii="微软雅黑" w:hAnsi="微软雅黑" w:eastAsia="微软雅黑"/>
        </w:rPr>
        <w:br/>
        <w:t>RKMR 融合非线性核建模（ARD 核）、spike-and-slab 变量选择与空间依赖性，输出带后验包含概率（PIP）的精简标志物集以量化特征入选的不确定性；并用低秩核近似 + 随机变分优化扩展到大规模空间数据。</w:t>
      </w:r>
    </w:p>
    <w:p>
      <w:r>
        <w:rPr>
          <w:rFonts w:ascii="微软雅黑" w:hAnsi="微软雅黑" w:eastAsia="微软雅黑"/>
          <w:b/>
        </w:rPr>
        <w:t>主要结论：</w:t>
      </w:r>
      <w:r>
        <w:rPr>
          <w:rFonts w:ascii="微软雅黑" w:hAnsi="微软雅黑" w:eastAsia="微软雅黑"/>
        </w:rPr>
        <w:br/>
        <w:t>在模拟中 AUPRC 持续高于对比方法；在空间转录组与 scRNA-seq 上能复现已报道的细胞类型特征与可重复的组织分层标志物，是一个可扩展、带不确定性感知的标志物发现框架。</w:t>
      </w:r>
    </w:p>
    <w:p>
      <w:r>
        <w:rPr>
          <w:rFonts w:ascii="微软雅黑" w:hAnsi="微软雅黑" w:eastAsia="微软雅黑"/>
          <w:b/>
        </w:rPr>
        <w:t>简要解读：</w:t>
      </w:r>
      <w:r>
        <w:rPr>
          <w:rFonts w:ascii="微软雅黑" w:hAnsi="微软雅黑" w:eastAsia="微软雅黑"/>
        </w:rPr>
        <w:br/>
        <w:t>解决空间组学标志物筛选长期依赖单变量差异分析或“黑箱”机器学习、缺乏可解释性与不确定性量化的痛点。技术贡献是把核机器回归 + spike-and-slab 变量选择 + 空间依赖建模结合，输出带后验包含概率（PIP）的精简标志物集。让空间组学 panel 既具预测力又有统计严谨性，便于靶向验证与转化。</w:t>
      </w:r>
    </w:p>
    <w:p>
      <w:pPr>
        <w:pStyle w:val="Heading1"/>
      </w:pPr>
      <w:r>
        <w:rPr>
          <w:rFonts w:ascii="微软雅黑" w:hAnsi="微软雅黑" w:eastAsia="微软雅黑"/>
        </w:rPr>
        <w:t>4. Targeted amplicon sequencing for enhanced detection of spiked Shiga toxin-producing Escherichia coli in ready-to-eat romaine lettuce: a proof-of-concept study.</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Microbiol Spectr  |  </w:t>
      </w:r>
      <w:r>
        <w:rPr>
          <w:rFonts w:ascii="微软雅黑" w:hAnsi="微软雅黑" w:eastAsia="微软雅黑"/>
          <w:b/>
        </w:rPr>
        <w:t>影响因子(估)：</w:t>
      </w:r>
      <w:r>
        <w:rPr>
          <w:rFonts w:ascii="微软雅黑" w:hAnsi="微软雅黑" w:eastAsia="微软雅黑"/>
        </w:rPr>
        <w:t xml:space="preserve">3.8  |  </w:t>
      </w:r>
      <w:r>
        <w:rPr>
          <w:rFonts w:ascii="微软雅黑" w:hAnsi="微软雅黑" w:eastAsia="微软雅黑"/>
          <w:b/>
        </w:rPr>
        <w:t>技术类别：</w:t>
      </w:r>
      <w:r>
        <w:rPr>
          <w:rFonts w:ascii="微软雅黑" w:hAnsi="微软雅黑" w:eastAsia="微软雅黑"/>
        </w:rPr>
        <w:t xml:space="preserve">other  |  </w:t>
      </w:r>
      <w:r>
        <w:rPr>
          <w:rFonts w:ascii="微软雅黑" w:hAnsi="微软雅黑" w:eastAsia="微软雅黑"/>
          <w:b/>
        </w:rPr>
        <w:t>技术相关度评分：</w:t>
      </w:r>
      <w:r>
        <w:rPr>
          <w:rFonts w:ascii="微软雅黑" w:hAnsi="微软雅黑" w:eastAsia="微软雅黑"/>
        </w:rPr>
        <w:t xml:space="preserve">24.48  |  </w:t>
      </w:r>
      <w:r>
        <w:rPr>
          <w:rFonts w:ascii="微软雅黑" w:hAnsi="微软雅黑" w:eastAsia="微软雅黑"/>
          <w:b/>
        </w:rPr>
        <w:t>发布日期：</w:t>
      </w:r>
      <w:r>
        <w:rPr>
          <w:rFonts w:ascii="微软雅黑" w:hAnsi="微软雅黑" w:eastAsia="微软雅黑"/>
        </w:rPr>
        <w:t>2026-08-07</w:t>
      </w:r>
    </w:p>
    <w:p>
      <w:r>
        <w:rPr>
          <w:rFonts w:ascii="微软雅黑" w:hAnsi="微软雅黑" w:eastAsia="微软雅黑"/>
          <w:b/>
        </w:rPr>
        <w:t>作者：</w:t>
      </w:r>
      <w:r>
        <w:rPr>
          <w:rFonts w:ascii="微软雅黑" w:hAnsi="微软雅黑" w:eastAsia="微软雅黑"/>
        </w:rPr>
        <w:t>Isha Patel, Mark Mammel, Jayanthi Gangiredla, Amit Mukherjee</w:t>
      </w:r>
    </w:p>
    <w:p>
      <w:r>
        <w:rPr>
          <w:rFonts w:ascii="微软雅黑" w:hAnsi="微软雅黑" w:eastAsia="微软雅黑"/>
          <w:b/>
        </w:rPr>
        <w:t>原文链接：</w:t>
      </w:r>
      <w:hyperlink r:id="rId12">
        <w:r>
          <w:rPr>
            <w:color w:val="0563C1"/>
            <w:u w:val="single"/>
          </w:rPr>
          <w:t>https://doi.org/10.1089/fpd.2019.2636</w:t>
        </w:r>
      </w:hyperlink>
    </w:p>
    <w:p>
      <w:r>
        <w:rPr>
          <w:rFonts w:ascii="微软雅黑" w:hAnsi="微软雅黑" w:eastAsia="微软雅黑"/>
          <w:b/>
        </w:rPr>
        <w:t>摘要（原文）：</w:t>
      </w:r>
      <w:r>
        <w:rPr>
          <w:rFonts w:ascii="微软雅黑" w:hAnsi="微软雅黑" w:eastAsia="微软雅黑"/>
        </w:rPr>
        <w:br/>
        <w:t>The early and accurate detection of low-level pathogenic and indicator organisms in fresh produce is critical for preventing widespread foodborne outbreaks. Contamination of leafy greens with foodborne pathogens, such as Shiga toxin-producing Escherichia coli (STEC), is a significant public health issue, making rapid and sensitive detection methods critical for mitigating outbreaks. Although next-generation sequencing (NGS) is a powerful tool for pathogen identification, challenges remain in detecting low contamination levels in food products. Here, we demonstrate the use of a custom targeted amplicon sequencing (TAS) primer panel targeting species with food safety concerns, including known human foodborne pathogens, opportunistic pathogens, and indicator organisms related to food spoilage. Using a quasi-metagenomics approach, this proof-of-concept study demonstrates that, compared to whole-metagenomic sequencing (WMS), TAS is a rapid and sensitive NGS-based method for detecting low levels of pathogens. Ready-to-eat romaine lettuce was spiked with STEC and incubated in enrichment medium. DNA was isolated at 0.5, 5, and 6 h, and libraries were prepared for both WMS and TAS. The results indicated that TAS was more sensitive than WMS not only at detecting the pathogen at the species level but also at identifying key virulence markers stx1 and stx2. Overall, our targeted sequencing approach provides a rapid and sensitive molecular method to detect and identify foodborne pathogenic bacteria, demonstrating its potential for application in food safety.IMPORTANCEDetecting low-level pathogenic and indicator organisms is critical to prevent foodborne outbreaks. Conventional methods lack speed and sensitivity. While next-generation sequencing methods, such as whole-metagenomic sequencing (WMS), offer a broad microbial landscape view, detecting pathogens at low concentrations within complex food matrices remains challenging. To address this, a targeted amplicon sequencing (TAS) panel was designed to identify species of food safety concern and key indicator organisms. This study demonstrates that TAS is more sensitive than WMS. The application of this TAS assay provides an important bridge between qPCR and WMS by detecting and characterizing pathogens that might be present in low numbers and otherwise missed in an enrichment. TAS allows multiplexing and overcomes the critical limitation of sensitivity in complex samples, providing a robust tool for food safety surveillance. Our findings demonstrate the potential use of targeted next-generation sequencing (NGS)-based methods to mitigate the risk of foodborne illnesses.</w:t>
      </w:r>
    </w:p>
    <w:p>
      <w:r>
        <w:rPr>
          <w:rFonts w:ascii="微软雅黑" w:hAnsi="微软雅黑" w:eastAsia="微软雅黑"/>
          <w:b/>
        </w:rPr>
        <w:t>摘要（中文）：</w:t>
      </w:r>
      <w:r>
        <w:rPr>
          <w:rFonts w:ascii="微软雅黑" w:hAnsi="微软雅黑" w:eastAsia="微软雅黑"/>
        </w:rPr>
        <w:br/>
        <w:t>在新鲜农产品中及早、准确地检出低水平病原与指示菌，对预防大规模食源性疾病暴发至关重要。以产志贺毒素大肠杆菌（STEC）为代表的食源性病原体污染叶菜是重大公共卫生问题，快速灵敏的检测方法对控制暴发非常关键。尽管二代测序（NGS）是病原鉴定的强有力工具，在食品中检测低水平污染仍存挑战。本文展示了一个靶向物种的定制扩增子测序（TAS）引物 panel，覆盖有食品安全关切的物种，包括已知人畜共患病原体、机会性病原体与食品腐败相关指示菌。采用准宏基因组学思路，这项概念验证研究表明：与全宏基因组测序（WMS）相比，TAS 是一种快速且灵敏的 NGS 方法，可检测低水平病原体。研究向即食罗马生菜中接种 STEC 并在增菌培养基中孵育，在 0.5、5、6 小时提取 DNA，分别为 WMS 与 TAS 建库。结果显示，TAS 在物种水平检出病原体、以及鉴定 stx1/stx2 关键毒力标志基因方面，均比 WMS 更灵敏。总体而言，该靶向测序方法提供了快速灵敏的分子检测手段，在食品安全领域具应用潜力。</w:t>
        <w:br/>
        <w:t>意义：检测低水平病原与指示菌对预防食源暴发至关重要。传统方法缺乏速度与灵敏度；全宏基因组测序虽能给出宽泛的微生物图景，但在复杂食品基质中检测低浓度病原仍困难。为此，靶向扩增（原文此处截断）被提出。</w:t>
      </w:r>
    </w:p>
    <w:p>
      <w:r>
        <w:rPr>
          <w:rFonts w:ascii="微软雅黑" w:hAnsi="微软雅黑" w:eastAsia="微软雅黑"/>
          <w:b/>
        </w:rPr>
        <w:t>背景介绍：</w:t>
      </w:r>
      <w:r>
        <w:rPr>
          <w:rFonts w:ascii="微软雅黑" w:hAnsi="微软雅黑" w:eastAsia="微软雅黑"/>
        </w:rPr>
        <w:br/>
        <w:t>即食蔬菜中低水平病原菌（如产志贺毒素大肠杆菌 STEC）的检出对预防食源性疾病暴发至关重要，但复杂食品基质使全宏基因组测序（WMS）在低浓度病原检测上力不从心，缺乏快速灵敏的手段。</w:t>
      </w:r>
    </w:p>
    <w:p>
      <w:r>
        <w:rPr>
          <w:rFonts w:ascii="微软雅黑" w:hAnsi="微软雅黑" w:eastAsia="微软雅黑"/>
          <w:b/>
        </w:rPr>
        <w:t>技术原理：</w:t>
      </w:r>
      <w:r>
        <w:rPr>
          <w:rFonts w:ascii="微软雅黑" w:hAnsi="微软雅黑" w:eastAsia="微软雅黑"/>
        </w:rPr>
        <w:br/>
        <w:t>设计覆盖食安关切物种的定制靶向扩增子测序（TAS）引物 panel，采用准宏基因组学思路与 WMS 比较；向即食罗马生菜接种 STEC 并增菌，在 0.5、5、6 小时提取 DNA 分别为两种方案建库。</w:t>
      </w:r>
    </w:p>
    <w:p>
      <w:r>
        <w:rPr>
          <w:rFonts w:ascii="微软雅黑" w:hAnsi="微软雅黑" w:eastAsia="微软雅黑"/>
          <w:b/>
        </w:rPr>
        <w:t>主要结论：</w:t>
      </w:r>
      <w:r>
        <w:rPr>
          <w:rFonts w:ascii="微软雅黑" w:hAnsi="微软雅黑" w:eastAsia="微软雅黑"/>
        </w:rPr>
        <w:br/>
        <w:t>TAS 在物种水平检出病原体、以及鉴定 stx1/stx2 关键毒力标志基因方面均比 WMS 更灵敏，是一种快速灵敏的分子检测手段，在食品安全领域具应用潜力。</w:t>
      </w:r>
    </w:p>
    <w:p>
      <w:r>
        <w:rPr>
          <w:rFonts w:ascii="微软雅黑" w:hAnsi="微软雅黑" w:eastAsia="微软雅黑"/>
          <w:b/>
        </w:rPr>
        <w:t>简要解读：</w:t>
      </w:r>
      <w:r>
        <w:rPr>
          <w:rFonts w:ascii="微软雅黑" w:hAnsi="微软雅黑" w:eastAsia="微软雅黑"/>
        </w:rPr>
        <w:br/>
        <w:t>解决复杂食品基质中低丰度病原菌用全宏基因组测序难以灵敏检出的问题。技术贡献是用定制 TAS 引物 panel 做靶向扩增子测序，比 WMS 更快、更灵敏地检出 STEC 及毒力基因 stx1/stx2，并可在增菌数小时内完成。为食品安全监测提供一种可落地的快速病原筛查方案。</w:t>
      </w:r>
    </w:p>
    <w:p>
      <w:pPr>
        <w:pStyle w:val="Heading1"/>
      </w:pPr>
      <w:r>
        <w:rPr>
          <w:rFonts w:ascii="微软雅黑" w:hAnsi="微软雅黑" w:eastAsia="微软雅黑"/>
        </w:rPr>
        <w:t>5. eRREMS expands regulatory CpG coverage in reduced representation methylome sequencing</w:t>
      </w:r>
    </w:p>
    <w:p>
      <w:r>
        <w:rPr>
          <w:rFonts w:ascii="微软雅黑" w:hAnsi="微软雅黑" w:eastAsia="微软雅黑"/>
          <w:b/>
        </w:rPr>
        <w:t>来源：</w:t>
      </w:r>
      <w:r>
        <w:rPr>
          <w:rFonts w:ascii="微软雅黑" w:hAnsi="微软雅黑" w:eastAsia="微软雅黑"/>
        </w:rPr>
        <w:t xml:space="preserve">bioRxiv 预印本  |  </w:t>
      </w:r>
      <w:r>
        <w:rPr>
          <w:rFonts w:ascii="微软雅黑" w:hAnsi="微软雅黑" w:eastAsia="微软雅黑"/>
          <w:b/>
        </w:rPr>
        <w:t>期刊/平台：</w:t>
      </w:r>
      <w:r>
        <w:rPr>
          <w:rFonts w:ascii="微软雅黑" w:hAnsi="微软雅黑" w:eastAsia="微软雅黑"/>
        </w:rPr>
        <w:t xml:space="preserve">bioRxiv  |  </w:t>
      </w:r>
      <w:r>
        <w:rPr>
          <w:rFonts w:ascii="微软雅黑" w:hAnsi="微软雅黑" w:eastAsia="微软雅黑"/>
          <w:b/>
        </w:rPr>
        <w:t>影响因子(估)：</w:t>
      </w:r>
      <w:r>
        <w:rPr>
          <w:rFonts w:ascii="微软雅黑" w:hAnsi="微软雅黑" w:eastAsia="微软雅黑"/>
        </w:rPr>
        <w:t xml:space="preserve">0.0  |  </w:t>
      </w:r>
      <w:r>
        <w:rPr>
          <w:rFonts w:ascii="微软雅黑" w:hAnsi="微软雅黑" w:eastAsia="微软雅黑"/>
          <w:b/>
        </w:rPr>
        <w:t>技术类别：</w:t>
      </w:r>
      <w:r>
        <w:rPr>
          <w:rFonts w:ascii="微软雅黑" w:hAnsi="微软雅黑" w:eastAsia="微软雅黑"/>
        </w:rPr>
        <w:t xml:space="preserve">second_gen  |  </w:t>
      </w:r>
      <w:r>
        <w:rPr>
          <w:rFonts w:ascii="微软雅黑" w:hAnsi="微软雅黑" w:eastAsia="微软雅黑"/>
          <w:b/>
        </w:rPr>
        <w:t>技术相关度评分：</w:t>
      </w:r>
      <w:r>
        <w:rPr>
          <w:rFonts w:ascii="微软雅黑" w:hAnsi="微软雅黑" w:eastAsia="微软雅黑"/>
        </w:rPr>
        <w:t xml:space="preserve">24.0  |  </w:t>
      </w:r>
      <w:r>
        <w:rPr>
          <w:rFonts w:ascii="微软雅黑" w:hAnsi="微软雅黑" w:eastAsia="微软雅黑"/>
          <w:b/>
        </w:rPr>
        <w:t>发布日期：</w:t>
      </w:r>
      <w:r>
        <w:rPr>
          <w:rFonts w:ascii="微软雅黑" w:hAnsi="微软雅黑" w:eastAsia="微软雅黑"/>
        </w:rPr>
        <w:t>2026-08-07</w:t>
      </w:r>
    </w:p>
    <w:p>
      <w:r>
        <w:rPr>
          <w:rFonts w:ascii="微软雅黑" w:hAnsi="微软雅黑" w:eastAsia="微软雅黑"/>
          <w:b/>
        </w:rPr>
        <w:t>作者：</w:t>
      </w:r>
      <w:r>
        <w:rPr>
          <w:rFonts w:ascii="微软雅黑" w:hAnsi="微软雅黑" w:eastAsia="微软雅黑"/>
        </w:rPr>
        <w:t>Lazcano, U.; Gonzalez-Lopez, M.; Macias-Camara, N.; Barcena, L.; Astobiza, I.; Rosino, A.; Tudela, J.; Gonzalez-Billalabeitia, E.; Carracedo, A.; Aransay, A. M.; Mendizabal, I.</w:t>
      </w:r>
    </w:p>
    <w:p>
      <w:r>
        <w:rPr>
          <w:rFonts w:ascii="微软雅黑" w:hAnsi="微软雅黑" w:eastAsia="微软雅黑"/>
          <w:b/>
        </w:rPr>
        <w:t>原文链接：</w:t>
      </w:r>
      <w:hyperlink r:id="rId13">
        <w:r>
          <w:rPr>
            <w:color w:val="0563C1"/>
            <w:u w:val="single"/>
          </w:rPr>
          <w:t>https://doi.org/10.64898/2026.08.03.740891</w:t>
        </w:r>
      </w:hyperlink>
    </w:p>
    <w:p>
      <w:r>
        <w:rPr>
          <w:rFonts w:ascii="微软雅黑" w:hAnsi="微软雅黑" w:eastAsia="微软雅黑"/>
          <w:b/>
        </w:rPr>
        <w:t>摘要（原文）：</w:t>
      </w:r>
      <w:r>
        <w:rPr>
          <w:rFonts w:ascii="微软雅黑" w:hAnsi="微软雅黑" w:eastAsia="微软雅黑"/>
        </w:rPr>
        <w:br/>
        <w:t>Profiling the regulatory DNA methylation landscape remains technically challenging. Reduced-representation bisulfite sequencing (RRBS) misses distal enhancers and non-canonical regulatory elements, while whole-genome bisulfite sequencing (WGBS) distributes reads genome-wide, limiting consistent recovery of informative CpGs across sample collections. Here we present eRREMS (enhanced Reduced Representation Enzymatic Methylation Sequencing), addressing both limitations by combining MspI and HaeIII digestion with enzymatic cytosine conversion. eRREMS approximately doubles regulatory CpG recovery relative to standard RRBS, outperforming TaqI-based extended protocols, with gains concentrated in dynamically regulated enhancers, alternative promoters, and splicing-associated regions. HaeIII-specific CpGs capture additional complex trait heritability beyond standard RRBS. At modest, comparable sequencing depths, eRREMS achieves greater cohort-level completeness for regulatory and dynamically variable CpGs than WGBS and requires substantially fewer reads. CpG capture is stable across enzymatic conversion kits and library preparation conditions, supporting broad adoption. eRREMS provides a cost-efficient and reproducible strategy for scalable methylome profiling of regulatory CpGs across cohorts.</w:t>
      </w:r>
    </w:p>
    <w:p>
      <w:r>
        <w:rPr>
          <w:rFonts w:ascii="微软雅黑" w:hAnsi="微软雅黑" w:eastAsia="微软雅黑"/>
          <w:b/>
        </w:rPr>
        <w:t>摘要（中文）：</w:t>
      </w:r>
      <w:r>
        <w:rPr>
          <w:rFonts w:ascii="微软雅黑" w:hAnsi="微软雅黑" w:eastAsia="微软雅黑"/>
        </w:rPr>
        <w:br/>
        <w:t>描绘调控性 DNA 甲基化图谱在技术上仍具挑战。简化代表性亚硫酸氢盐测序（RRBS）会遗漏远端增强子与非经典调控元件，而全基因组亚硫酸氢盐测序（WGBS）把读段分散到全基因组，限制了跨样本集合一致回收有信息量的 CpG。本文提出 eRREMS（增强型简化代表性酶法甲基化测序），通过联合 MspI 与 HaeIII 酶切并结合酶法胞嘧啶转换，同时解决上述两个局限。相较标准 RRBS，eRREMS 将调控性 CpG 回收量约提升一倍，优于基于 TaqI 的扩展方案，增益集中于动态调控的增强子、可变启动子与剪接相关区域；HaeIII 特异性 CpG 还能捕获标准 RRBS 之外的复杂性状遗传力。在适度且相近的测序深度下，eRREMS 对调控性与动态可变 CpG 的队列级覆盖完整性优于 WGBS，且所需读段数大幅更少。CpG 捕获在不同酶法转换试剂盒与建库条件下均稳定，利于广泛采用。eRREMS 为跨队列可扩展地描绘调控性 CpG 甲基组提供了一种高性价比且可重复的策略。</w:t>
      </w:r>
    </w:p>
    <w:p>
      <w:r>
        <w:rPr>
          <w:rFonts w:ascii="微软雅黑" w:hAnsi="微软雅黑" w:eastAsia="微软雅黑"/>
          <w:b/>
        </w:rPr>
        <w:t>背景介绍：</w:t>
      </w:r>
      <w:r>
        <w:rPr>
          <w:rFonts w:ascii="微软雅黑" w:hAnsi="微软雅黑" w:eastAsia="微软雅黑"/>
        </w:rPr>
        <w:br/>
        <w:t>RRBS 会遗漏远端增强子与非经典调控元件，WGBS 把读段分散到全基因组、跨样本一致回收有信息量的 CpG 受限，使得调控性 DNA 甲基化图谱的刻画在技术上仍具挑战。</w:t>
      </w:r>
    </w:p>
    <w:p>
      <w:r>
        <w:rPr>
          <w:rFonts w:ascii="微软雅黑" w:hAnsi="微软雅黑" w:eastAsia="微软雅黑"/>
          <w:b/>
        </w:rPr>
        <w:t>技术原理：</w:t>
      </w:r>
      <w:r>
        <w:rPr>
          <w:rFonts w:ascii="微软雅黑" w:hAnsi="微软雅黑" w:eastAsia="微软雅黑"/>
        </w:rPr>
        <w:br/>
        <w:t>提出 eRREMS（增强型简化代表性酶法甲基化测序），联合 MspI 与 HaeIII 双酶切并结合酶法胞嘧啶转换，同时解决 RRBS 漏掉调控元件、WGBS 回收不一致两大局限。</w:t>
      </w:r>
    </w:p>
    <w:p>
      <w:r>
        <w:rPr>
          <w:rFonts w:ascii="微软雅黑" w:hAnsi="微软雅黑" w:eastAsia="微软雅黑"/>
          <w:b/>
        </w:rPr>
        <w:t>主要结论：</w:t>
      </w:r>
      <w:r>
        <w:rPr>
          <w:rFonts w:ascii="微软雅黑" w:hAnsi="微软雅黑" w:eastAsia="微软雅黑"/>
        </w:rPr>
        <w:br/>
        <w:t>eRREMS 将调控性 CpG 回收量约提升一倍（优于 TaqI 扩展方案），增益集中于动态增强子/可变启动子/剪接相关区；在相近深度下对调控性 CpG 的队列级覆盖完整性优于 WGBS 且所需读段更少，是一种高性价比、可重复的策略。</w:t>
      </w:r>
    </w:p>
    <w:p>
      <w:r>
        <w:rPr>
          <w:rFonts w:ascii="微软雅黑" w:hAnsi="微软雅黑" w:eastAsia="微软雅黑"/>
          <w:b/>
        </w:rPr>
        <w:t>简要解读：</w:t>
      </w:r>
      <w:r>
        <w:rPr>
          <w:rFonts w:ascii="微软雅黑" w:hAnsi="微软雅黑" w:eastAsia="微软雅黑"/>
        </w:rPr>
        <w:br/>
        <w:t>解决 RRBS 漏掉远端调控元件、WGBS 成本高且 CpG 回收不一致的痛点。技术贡献是双酶切（MspI+HaeIII）+ 酶法转换，使调控性 CpG 覆盖翻倍、聚焦增强子/可变启动子，且深度更低、跨队列更完整。以更低成本获得更全的调控甲基化视图，适合大队列表观遗传研究。</w:t>
      </w:r>
    </w:p>
    <w:p>
      <w:pPr>
        <w:pStyle w:val="Heading1"/>
      </w:pPr>
      <w:r>
        <w:rPr>
          <w:rFonts w:ascii="微软雅黑" w:hAnsi="微软雅黑" w:eastAsia="微软雅黑"/>
        </w:rPr>
        <w:t>6. ScanNet: Single-cell annotation informed by transcriptional regulation Network via iterative heterogeneous graph learning.</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PLoS Comput Biol  |  </w:t>
      </w:r>
      <w:r>
        <w:rPr>
          <w:rFonts w:ascii="微软雅黑" w:hAnsi="微软雅黑" w:eastAsia="微软雅黑"/>
          <w:b/>
        </w:rPr>
        <w:t>影响因子(估)：</w:t>
      </w:r>
      <w:r>
        <w:rPr>
          <w:rFonts w:ascii="微软雅黑" w:hAnsi="微软雅黑" w:eastAsia="微软雅黑"/>
        </w:rPr>
        <w:t xml:space="preserve">未知  |  </w:t>
      </w:r>
      <w:r>
        <w:rPr>
          <w:rFonts w:ascii="微软雅黑" w:hAnsi="微软雅黑" w:eastAsia="微软雅黑"/>
          <w:b/>
        </w:rPr>
        <w:t>技术类别：</w:t>
      </w:r>
      <w:r>
        <w:rPr>
          <w:rFonts w:ascii="微软雅黑" w:hAnsi="微软雅黑" w:eastAsia="微软雅黑"/>
        </w:rPr>
        <w:t xml:space="preserve">second_gen  |  </w:t>
      </w:r>
      <w:r>
        <w:rPr>
          <w:rFonts w:ascii="微软雅黑" w:hAnsi="微软雅黑" w:eastAsia="微软雅黑"/>
          <w:b/>
        </w:rPr>
        <w:t>技术相关度评分：</w:t>
      </w:r>
      <w:r>
        <w:rPr>
          <w:rFonts w:ascii="微软雅黑" w:hAnsi="微软雅黑" w:eastAsia="微软雅黑"/>
        </w:rPr>
        <w:t xml:space="preserve">24.0  |  </w:t>
      </w:r>
      <w:r>
        <w:rPr>
          <w:rFonts w:ascii="微软雅黑" w:hAnsi="微软雅黑" w:eastAsia="微软雅黑"/>
          <w:b/>
        </w:rPr>
        <w:t>发布日期：</w:t>
      </w:r>
      <w:r>
        <w:rPr>
          <w:rFonts w:ascii="微软雅黑" w:hAnsi="微软雅黑" w:eastAsia="微软雅黑"/>
        </w:rPr>
        <w:t>2026-08-06</w:t>
      </w:r>
    </w:p>
    <w:p>
      <w:r>
        <w:rPr>
          <w:rFonts w:ascii="微软雅黑" w:hAnsi="微软雅黑" w:eastAsia="微软雅黑"/>
          <w:b/>
        </w:rPr>
        <w:t>作者：</w:t>
      </w:r>
      <w:r>
        <w:rPr>
          <w:rFonts w:ascii="微软雅黑" w:hAnsi="微软雅黑" w:eastAsia="微软雅黑"/>
        </w:rPr>
        <w:t>Yongyu Long, Wenhao Zhang, Lan Cao, Xiaobing Huang, Ying Wang</w:t>
      </w:r>
    </w:p>
    <w:p>
      <w:r>
        <w:rPr>
          <w:rFonts w:ascii="微软雅黑" w:hAnsi="微软雅黑" w:eastAsia="微软雅黑"/>
          <w:b/>
        </w:rPr>
        <w:t>原文链接：</w:t>
      </w:r>
      <w:hyperlink r:id="rId14">
        <w:r>
          <w:rPr>
            <w:color w:val="0563C1"/>
            <w:u w:val="single"/>
          </w:rPr>
          <w:t>https://doi.org/10.1016/j.isci.2020.100882</w:t>
        </w:r>
      </w:hyperlink>
    </w:p>
    <w:p>
      <w:r>
        <w:rPr>
          <w:rFonts w:ascii="微软雅黑" w:hAnsi="微软雅黑" w:eastAsia="微软雅黑"/>
          <w:b/>
        </w:rPr>
        <w:t>摘要（原文）：</w:t>
      </w:r>
      <w:r>
        <w:rPr>
          <w:rFonts w:ascii="微软雅黑" w:hAnsi="微软雅黑" w:eastAsia="微软雅黑"/>
        </w:rPr>
        <w:br/>
        <w:t>Accurate annotation of cell types in single-cell transcriptome sequencing (scRNA-seq) data is critical for understanding cellular identities. The transcriptional regulatory networks (TRNs), which map the regulatory relationships between transcription factors (TFs) and their target genes (TGs), capture the molecular dependencies underlying transcriptional programs. However, most existing cell type annotation methods do not fully exploit this regulatory information. Therefore, we introduce ScanNet, a Single cell annotation method informed by transcriptional regulation Network, to integrate prior knowledge of TRN into data of gene expression and capture the cell-type-specific characteristics underlying TRN mechanism. TRN can be naturally represented as heterogeneous graphs consisting of two regulatory elements, TFs and TGs connected by directed edges, thereby encoding the regulatory dependencies that shape transcriptional programs and ultimately determine cellular identity. To leverage this structure, ScanNet introduces an iterative heterogeneous graph convolutional framework that learns both local and global cellular embeddings through a dual-channel encoder. The Regulation-level Encoder applies iterative heterogeneous graph convolution to capture local TF-TG regulatory interactions within TRN, while the Expression-level Encoder learns global cellular transcriptional states. By integrating the multiple-view representations, ScanNet can accurately annotate cell types. Comprehensive evaluations across eight scRNA-seq datasets spanning different species, sample scales, and sequencing platforms demonstrate that ScanNet consistently outperforms ten state-of-the-art cell type annotation methods. By embedding prior TRN structures into a heterogeneous graph, ScanNet also achieves robust performance in cross-platform cell type annotation and in identifying novel cell types under constrained structural information. Moreover, the ScanNet framework can be flexibly transferred to single-cell ATAC-seq (scATAC-seq) data by mapping chromatin accessibility to gene level, where it achieves superior performance compared to existing annotation tools. Overall, ScanNet is a scalable, transferable, and mechanistically informed framework for accurate cell type annotation across diverse single-cell data modalities.</w:t>
      </w:r>
    </w:p>
    <w:p>
      <w:r>
        <w:rPr>
          <w:rFonts w:ascii="微软雅黑" w:hAnsi="微软雅黑" w:eastAsia="微软雅黑"/>
          <w:b/>
        </w:rPr>
        <w:t>摘要（中文）：</w:t>
      </w:r>
      <w:r>
        <w:rPr>
          <w:rFonts w:ascii="微软雅黑" w:hAnsi="微软雅黑" w:eastAsia="微软雅黑"/>
        </w:rPr>
        <w:br/>
        <w:t>在单细胞转录组测序（scRNA-seq）数据中准确注释细胞类型，对理解细胞身份至关重要。转录调控网络（TRN）刻画了转录因子（TF）与其靶基因（TG）之间的调控关系，蕴含决定转录程序的分子依赖。然而多数现有细胞类型注释方法未能充分利用这一调控信息。为此，我们提出 ScanNet——一种受转录调控网络启发的单细胞注释方法，将 TRN 先验知识整合进基因表达数据，捕捉 TRN 机制背后的细胞类型特异性特征。TRN 可自然表示为由 TF 与 TG 两类调控元件经有向边连接的异构图，从而编码塑造转录程序、最终决定细胞身份的调控依赖。为利用该结构，ScanNet 引入迭代异构图卷积框架，通过双通道编码器学习局部与全局细胞嵌入：调控级编码器用迭代异构图卷积捕捉 TRN 内局部 TF-TG 调控交互，表达级编码器学习全局细胞转录状态。通过整合多视图表示，ScanNet 能准确注释细胞类型。在跨越不同物种、样本规模与测序平台的 8 个 scRNA-seq 数据集上的综合评测显示，ScanNet 持续优于 10 种前沿注释方法；通过将 TRN 结构嵌入异构图，ScanNet 在跨平台注释与受限结构信息下识别新型细胞类型时也表现稳健。此外，ScanNet 框架可灵活（原文此处截断）。</w:t>
      </w:r>
    </w:p>
    <w:p>
      <w:r>
        <w:rPr>
          <w:rFonts w:ascii="微软雅黑" w:hAnsi="微软雅黑" w:eastAsia="微软雅黑"/>
          <w:b/>
        </w:rPr>
        <w:t>背景介绍：</w:t>
      </w:r>
      <w:r>
        <w:rPr>
          <w:rFonts w:ascii="微软雅黑" w:hAnsi="微软雅黑" w:eastAsia="微软雅黑"/>
        </w:rPr>
        <w:br/>
        <w:t>scRNA-seq 细胞类型注释对理解细胞身份至关重要，但多数方法只看表达量，未能充分利用转录调控网络（TF–TG 调控关系）这一决定细胞身份的核心信息，注释的可解释性与新类型发现能力受限。</w:t>
      </w:r>
    </w:p>
    <w:p>
      <w:r>
        <w:rPr>
          <w:rFonts w:ascii="微软雅黑" w:hAnsi="微软雅黑" w:eastAsia="微软雅黑"/>
          <w:b/>
        </w:rPr>
        <w:t>技术原理：</w:t>
      </w:r>
      <w:r>
        <w:rPr>
          <w:rFonts w:ascii="微软雅黑" w:hAnsi="微软雅黑" w:eastAsia="微软雅黑"/>
        </w:rPr>
        <w:br/>
        <w:t>将 TRN 建模为由转录因子（TF）与靶基因（TG）两类节点经有向边连接的异构图；ScanNet 用迭代异构图卷积框架、双通道编码器（调控级捕捉局部 TF-TG 交互、表达级学习全局转录状态）学习局部与全局细胞嵌入，再整合多视图表示进行注释。</w:t>
      </w:r>
    </w:p>
    <w:p>
      <w:r>
        <w:rPr>
          <w:rFonts w:ascii="微软雅黑" w:hAnsi="微软雅黑" w:eastAsia="微软雅黑"/>
          <w:b/>
        </w:rPr>
        <w:t>主要结论：</w:t>
      </w:r>
      <w:r>
        <w:rPr>
          <w:rFonts w:ascii="微软雅黑" w:hAnsi="微软雅黑" w:eastAsia="微软雅黑"/>
        </w:rPr>
        <w:br/>
        <w:t>在 8 个跨物种、跨平台 scRNA-seq 数据集上持续优于 10 种前沿方法；将 TRN 结构嵌入异构图后，在跨平台注释与受限结构信息下识别新细胞类型也稳健，提升了注释的准确性与可解释性。</w:t>
      </w:r>
    </w:p>
    <w:p>
      <w:r>
        <w:rPr>
          <w:rFonts w:ascii="微软雅黑" w:hAnsi="微软雅黑" w:eastAsia="微软雅黑"/>
          <w:b/>
        </w:rPr>
        <w:t>简要解读：</w:t>
      </w:r>
      <w:r>
        <w:rPr>
          <w:rFonts w:ascii="微软雅黑" w:hAnsi="微软雅黑" w:eastAsia="微软雅黑"/>
        </w:rPr>
        <w:br/>
        <w:t>解决单细胞注释多只看表达量、忽略 TF-TG 调控关系这一决定细胞身份的关键信息的短板。技术贡献是把 TRN 建模为异构图，用双通道（调控级+表达级）迭代图卷积学习细胞嵌入，实现更准确、可跨平台、可发现新类型的注释。提升 scRNA-seq 细胞类型注释的准确性与可解释性，尤其利于新细胞类型发现。</w:t>
      </w:r>
    </w:p>
    <w:p>
      <w:pPr>
        <w:pStyle w:val="Heading1"/>
      </w:pPr>
      <w:r>
        <w:rPr>
          <w:rFonts w:ascii="微软雅黑" w:hAnsi="微软雅黑" w:eastAsia="微软雅黑"/>
        </w:rPr>
        <w:t>7. A complete diploid human genome benchmark for personalized genomics.</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Cell  |  </w:t>
      </w:r>
      <w:r>
        <w:rPr>
          <w:rFonts w:ascii="微软雅黑" w:hAnsi="微软雅黑" w:eastAsia="微软雅黑"/>
          <w:b/>
        </w:rPr>
        <w:t>影响因子(估)：</w:t>
      </w:r>
      <w:r>
        <w:rPr>
          <w:rFonts w:ascii="微软雅黑" w:hAnsi="微软雅黑" w:eastAsia="微软雅黑"/>
        </w:rPr>
        <w:t xml:space="preserve">45.1  |  </w:t>
      </w:r>
      <w:r>
        <w:rPr>
          <w:rFonts w:ascii="微软雅黑" w:hAnsi="微软雅黑" w:eastAsia="微软雅黑"/>
          <w:b/>
        </w:rPr>
        <w:t>技术类别：</w:t>
      </w:r>
      <w:r>
        <w:rPr>
          <w:rFonts w:ascii="微软雅黑" w:hAnsi="微软雅黑" w:eastAsia="微软雅黑"/>
        </w:rPr>
        <w:t xml:space="preserve">other  |  </w:t>
      </w:r>
      <w:r>
        <w:rPr>
          <w:rFonts w:ascii="微软雅黑" w:hAnsi="微软雅黑" w:eastAsia="微软雅黑"/>
          <w:b/>
        </w:rPr>
        <w:t>技术相关度评分：</w:t>
      </w:r>
      <w:r>
        <w:rPr>
          <w:rFonts w:ascii="微软雅黑" w:hAnsi="微软雅黑" w:eastAsia="微软雅黑"/>
        </w:rPr>
        <w:t xml:space="preserve">22.64  |  </w:t>
      </w:r>
      <w:r>
        <w:rPr>
          <w:rFonts w:ascii="微软雅黑" w:hAnsi="微软雅黑" w:eastAsia="微软雅黑"/>
          <w:b/>
        </w:rPr>
        <w:t>发布日期：</w:t>
      </w:r>
      <w:r>
        <w:rPr>
          <w:rFonts w:ascii="微软雅黑" w:hAnsi="微软雅黑" w:eastAsia="微软雅黑"/>
        </w:rPr>
        <w:t>2026-08-07</w:t>
      </w:r>
    </w:p>
    <w:p>
      <w:r>
        <w:rPr>
          <w:rFonts w:ascii="微软雅黑" w:hAnsi="微软雅黑" w:eastAsia="微软雅黑"/>
          <w:b/>
        </w:rPr>
        <w:t>作者：</w:t>
      </w:r>
      <w:r>
        <w:rPr>
          <w:rFonts w:ascii="微软雅黑" w:hAnsi="微软雅黑" w:eastAsia="微软雅黑"/>
        </w:rPr>
        <w:t>Nancy F Hansen, Nathan Dwarshuis, Hyun Joo Ji, Arang Rhie, Hailey Loucks, Glennis A Logsdon, Mitchell R Vollger, Jessica M Storer 等</w:t>
      </w:r>
    </w:p>
    <w:p>
      <w:r>
        <w:rPr>
          <w:rFonts w:ascii="微软雅黑" w:hAnsi="微软雅黑" w:eastAsia="微软雅黑"/>
          <w:b/>
        </w:rPr>
        <w:t>原文链接：</w:t>
      </w:r>
      <w:hyperlink r:id="rId15">
        <w:r>
          <w:rPr>
            <w:color w:val="0563C1"/>
            <w:u w:val="single"/>
          </w:rPr>
          <w:t>https://doi.org/10.1016/j.cell.2026.06.016</w:t>
        </w:r>
      </w:hyperlink>
    </w:p>
    <w:p>
      <w:r>
        <w:rPr>
          <w:rFonts w:ascii="微软雅黑" w:hAnsi="微软雅黑" w:eastAsia="微软雅黑"/>
          <w:b/>
        </w:rPr>
        <w:t>摘要（原文）：</w:t>
      </w:r>
      <w:r>
        <w:rPr>
          <w:rFonts w:ascii="微软雅黑" w:hAnsi="微软雅黑" w:eastAsia="微软雅黑"/>
        </w:rPr>
        <w:br/>
        <w:t>Human genome sequencing typically relies on mapping reads to a reference genome to call variants, but this approach introduces technical biases, excluding duplicated and structurally polymorphic regions of the genome. To overcome this, we present a telomere-to-telomere genome benchmark with near-perfect accuracy across 99.4% of the diploid HG002 genome. This benchmark adds 701.4 Mb of autosomal sequence and both sex chromosomes (216.8 Mb), which were absent from prior benchmarks. We annotated genes and repeats on both haplotypes, including 19,956 protein-coding genes on the maternal haplotype and 19,190 on the paternal haplotype, and developed new methods to measure the accuracy of reads, phased variant call sets, and assemblies against a diploid reference. Genome-wide analyses show that de novo assembly resolves 2%-7% more sequence and outperforms variant calling accuracy by an order of magnitude, expanding the reach of genomic medicine to the entire genome and enabling a new era of personalized genomics.</w:t>
      </w:r>
    </w:p>
    <w:p>
      <w:r>
        <w:rPr>
          <w:rFonts w:ascii="微软雅黑" w:hAnsi="微软雅黑" w:eastAsia="微软雅黑"/>
          <w:b/>
        </w:rPr>
        <w:t>摘要（中文）：</w:t>
      </w:r>
      <w:r>
        <w:rPr>
          <w:rFonts w:ascii="微软雅黑" w:hAnsi="微软雅黑" w:eastAsia="微软雅黑"/>
        </w:rPr>
        <w:br/>
        <w:t>人类基因组测序通常依赖将读段比对到参考基因组来 calling 变异，但这种方法会引入技术偏差，把基因组中重复与结构多态区域排除在外。为克服这一点，我们提出一个端粒到端粒、在二倍体 HG002 基因组 99.4% 区域达到近完美准确度的基因组基准。该基准新增了此前基准缺失的 701.4 Mb 常染色体序列与两条性染色体（216.8 Mb）。我们在两条单倍型上注释了基因与重复序列，包括母本单倍型 19,956 个蛋白编码基因、父本单倍型 19,190 个；并开发了新方法，用以衡量读段、定相变异集合与组装结果相对二倍体参考的准确度。全基因组分析显示，从头组装能多解析 2%–7% 的序列，且变异 calling 准确度比传统方法高一个数量级，从而把基因组医学的覆盖面扩展到整个基因组，开启个性化基因组学新时代。</w:t>
      </w:r>
    </w:p>
    <w:p>
      <w:r>
        <w:rPr>
          <w:rFonts w:ascii="微软雅黑" w:hAnsi="微软雅黑" w:eastAsia="微软雅黑"/>
          <w:b/>
        </w:rPr>
        <w:t>背景介绍：</w:t>
      </w:r>
      <w:r>
        <w:rPr>
          <w:rFonts w:ascii="微软雅黑" w:hAnsi="微软雅黑" w:eastAsia="微软雅黑"/>
        </w:rPr>
        <w:br/>
        <w:t>常规“将读段比对到参考基因组”的变异 calling 会引入技术偏差，把基因组中的重复区与结构多态区域排除在外，无法覆盖整个基因组，限制了基因组医学的完整性。</w:t>
      </w:r>
    </w:p>
    <w:p>
      <w:r>
        <w:rPr>
          <w:rFonts w:ascii="微软雅黑" w:hAnsi="微软雅黑" w:eastAsia="微软雅黑"/>
          <w:b/>
        </w:rPr>
        <w:t>技术原理：</w:t>
      </w:r>
      <w:r>
        <w:rPr>
          <w:rFonts w:ascii="微软雅黑" w:hAnsi="微软雅黑" w:eastAsia="微软雅黑"/>
        </w:rPr>
        <w:br/>
        <w:t>构建端粒到端粒（T2T）、在二倍体 HG002 基因组 99.4% 区域达到近完美准确度的基准，新增 701.4 Mb 常染色体与两条性染色体；在两条单倍型上注释基因与重复序列，并开发衡量读段、定相变异集合与组装结果相对二倍体参考准确度的新方法。</w:t>
      </w:r>
    </w:p>
    <w:p>
      <w:r>
        <w:rPr>
          <w:rFonts w:ascii="微软雅黑" w:hAnsi="微软雅黑" w:eastAsia="微软雅黑"/>
          <w:b/>
        </w:rPr>
        <w:t>主要结论：</w:t>
      </w:r>
      <w:r>
        <w:rPr>
          <w:rFonts w:ascii="微软雅黑" w:hAnsi="微软雅黑" w:eastAsia="微软雅黑"/>
        </w:rPr>
        <w:br/>
        <w:t>从头组装比比对法多解析 2%–7% 的序列、变异 calling 准确度高出约一个数量级，把基因组医学的覆盖面扩展到整个基因组，为个性化基因组学提供“全基因组、无偏差”的评测金标准。</w:t>
      </w:r>
    </w:p>
    <w:p>
      <w:r>
        <w:rPr>
          <w:rFonts w:ascii="微软雅黑" w:hAnsi="微软雅黑" w:eastAsia="微软雅黑"/>
          <w:b/>
        </w:rPr>
        <w:t>简要解读：</w:t>
      </w:r>
      <w:r>
        <w:rPr>
          <w:rFonts w:ascii="微软雅黑" w:hAnsi="微软雅黑" w:eastAsia="微软雅黑"/>
        </w:rPr>
        <w:br/>
        <w:t>解决常规“比对到参考基因组”方法会遗漏重复区与结构变异、造成偏差的问题。技术贡献是给出覆盖二倍体 HG002 近完整（99.4%）的 T2T 基准，含两条单倍型注释，并提供衡量读段/定相变异/组装准确度的新指标；证明从头组装在覆盖与准确度上显著优于比对法。为个性化基因组学提供“全基因组、无偏差”的评测金标准。</w:t>
      </w:r>
    </w:p>
    <w:p>
      <w:pPr>
        <w:pStyle w:val="Heading1"/>
      </w:pPr>
      <w:r>
        <w:rPr>
          <w:rFonts w:ascii="微软雅黑" w:hAnsi="微软雅黑" w:eastAsia="微软雅黑"/>
        </w:rPr>
        <w:t>8. Evaluation of one-step amplicon-based targeted enrichment for SARS-CoV-2 whole-genome sequencing using the Midnight amplicon scheme.</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J Virol Methods  |  </w:t>
      </w:r>
      <w:r>
        <w:rPr>
          <w:rFonts w:ascii="微软雅黑" w:hAnsi="微软雅黑" w:eastAsia="微软雅黑"/>
          <w:b/>
        </w:rPr>
        <w:t>影响因子(估)：</w:t>
      </w:r>
      <w:r>
        <w:rPr>
          <w:rFonts w:ascii="微软雅黑" w:hAnsi="微软雅黑" w:eastAsia="微软雅黑"/>
        </w:rPr>
        <w:t xml:space="preserve">1.7  |  </w:t>
      </w:r>
      <w:r>
        <w:rPr>
          <w:rFonts w:ascii="微软雅黑" w:hAnsi="微软雅黑" w:eastAsia="微软雅黑"/>
          <w:b/>
        </w:rPr>
        <w:t>技术类别：</w:t>
      </w:r>
      <w:r>
        <w:rPr>
          <w:rFonts w:ascii="微软雅黑" w:hAnsi="微软雅黑" w:eastAsia="微软雅黑"/>
        </w:rPr>
        <w:t xml:space="preserve">second_gen  |  </w:t>
      </w:r>
      <w:r>
        <w:rPr>
          <w:rFonts w:ascii="微软雅黑" w:hAnsi="微软雅黑" w:eastAsia="微软雅黑"/>
          <w:b/>
        </w:rPr>
        <w:t>技术相关度评分：</w:t>
      </w:r>
      <w:r>
        <w:rPr>
          <w:rFonts w:ascii="微软雅黑" w:hAnsi="微软雅黑" w:eastAsia="微软雅黑"/>
        </w:rPr>
        <w:t xml:space="preserve">22.21  |  </w:t>
      </w:r>
      <w:r>
        <w:rPr>
          <w:rFonts w:ascii="微软雅黑" w:hAnsi="微软雅黑" w:eastAsia="微软雅黑"/>
          <w:b/>
        </w:rPr>
        <w:t>发布日期：</w:t>
      </w:r>
      <w:r>
        <w:rPr>
          <w:rFonts w:ascii="微软雅黑" w:hAnsi="微软雅黑" w:eastAsia="微软雅黑"/>
        </w:rPr>
        <w:t>2026-08-08</w:t>
      </w:r>
    </w:p>
    <w:p>
      <w:r>
        <w:rPr>
          <w:rFonts w:ascii="微软雅黑" w:hAnsi="微软雅黑" w:eastAsia="微软雅黑"/>
          <w:b/>
        </w:rPr>
        <w:t>作者：</w:t>
      </w:r>
      <w:r>
        <w:rPr>
          <w:rFonts w:ascii="微软雅黑" w:hAnsi="微软雅黑" w:eastAsia="微软雅黑"/>
        </w:rPr>
        <w:t>Calvin N Ezeanyaegbu, Nikki Pl Toledo, Christopher P Corkum, Matthew Nelder, Robert Needle, Robert M Taylor, Phillip Gp Andrews</w:t>
      </w:r>
    </w:p>
    <w:p>
      <w:r>
        <w:rPr>
          <w:rFonts w:ascii="微软雅黑" w:hAnsi="微软雅黑" w:eastAsia="微软雅黑"/>
          <w:b/>
        </w:rPr>
        <w:t>原文链接：</w:t>
      </w:r>
      <w:hyperlink r:id="rId16">
        <w:r>
          <w:rPr>
            <w:color w:val="0563C1"/>
            <w:u w:val="single"/>
          </w:rPr>
          <w:t>https://doi.org/10.1016/j.jviromet.2026.115448</w:t>
        </w:r>
      </w:hyperlink>
    </w:p>
    <w:p>
      <w:r>
        <w:rPr>
          <w:rFonts w:ascii="微软雅黑" w:hAnsi="微软雅黑" w:eastAsia="微软雅黑"/>
          <w:b/>
        </w:rPr>
        <w:t>摘要（原文）：</w:t>
      </w:r>
      <w:r>
        <w:rPr>
          <w:rFonts w:ascii="微软雅黑" w:hAnsi="微软雅黑" w:eastAsia="微软雅黑"/>
        </w:rPr>
        <w:br/>
        <w:t>Genomic surveillance proved invaluable during the COVID-19 pandemic for tracking SARS-CoV-2 variants and guiding outbreak responses, underscoring the ongoing need to reduce whole-genome sequencing (WGS) costs and improve workflow efficiency to ensure accessibility in resource limited settings. Here, we evaluated a one-step reverse transcription polymerase chain reaction (RT-PCR) approach using the Midnight V2 primer scheme for targeted amplification of the SARS-CoV-2 genome, assessed its compatibility with Illumina sequencing, and compared its performance to a well-established two-step method. Initially, we determined optimal RT-PCR reaction conditions using the Midnight V2 primer panel for the one-step RT-PCR kit and scaled reaction volumes for both RT-PCR and library preparation. Clinical specimens (n = 53) that had undergone routine WGS for surveillance purposes using the established two-step RT-PCR method were compared using the one-step RT-PCR assay. For samples with genome completeness greater than 70%, both methods gave comparable results with similar sequence coverage and 100% concordance for lineage assignment. Further investigation revealed a higher percentage of reads aligning to the SARS-CoV-2 genome with a greater depth of coverage using the one-step method compared to the two-step method. Finally, analysis of scaled one-step and library reaction volumes revealed significant cost savings for samples undergoing WGS. Overall, the results presented here verify the accuracy and reproducibility of one-step targeted amplification and offer an efficient and cost-effective workflow for routine SARS-CoV-2 genomic surveillance.</w:t>
      </w:r>
    </w:p>
    <w:p>
      <w:r>
        <w:rPr>
          <w:rFonts w:ascii="微软雅黑" w:hAnsi="微软雅黑" w:eastAsia="微软雅黑"/>
          <w:b/>
        </w:rPr>
        <w:t>摘要（中文）：</w:t>
      </w:r>
      <w:r>
        <w:rPr>
          <w:rFonts w:ascii="微软雅黑" w:hAnsi="微软雅黑" w:eastAsia="微软雅黑"/>
        </w:rPr>
        <w:br/>
        <w:t>基因组监测在新冠大流行期间对追踪变异株、指导暴发应对价值巨大，也凸显了在资源有限环境下降低全基因组测序（WGS）成本、提升流程效率的持续需求。本文评估了采用 Midnight V2 引物方案的一步法 RT-PCR 靶向扩增新冠病毒基因组，检验其与 Illumina 测序的兼容性，并与成熟的两步法比较。我们首先确定了一步法 RT-PCR 试剂盒配合 Midnight V2 panel 的最佳反应条件，并放大了 RT-PCR 与建库的反应体积。将 53 份曾用两步法 RT-PCR 做常规监测的临床样本改用一步法检测对比：对基因组完整度&gt;70% 的样本，两种方法覆盖度相近、谱系判定 100% 一致；进一步分析显示一步法比对到病毒基因组的读段比例更高、覆盖深度更大。放大反应体积后，一步法在 WGS 上显著节约成本。综上，本研究验证了一步法靶向扩增的准确与可重复，并为常规新冠病毒基因组监测提供了高效、低成本的工作流。</w:t>
      </w:r>
    </w:p>
    <w:p>
      <w:r>
        <w:rPr>
          <w:rFonts w:ascii="微软雅黑" w:hAnsi="微软雅黑" w:eastAsia="微软雅黑"/>
          <w:b/>
        </w:rPr>
        <w:t>背景介绍：</w:t>
      </w:r>
      <w:r>
        <w:rPr>
          <w:rFonts w:ascii="微软雅黑" w:hAnsi="微软雅黑" w:eastAsia="微软雅黑"/>
        </w:rPr>
        <w:br/>
        <w:t>新冠大流行期间基因组监测对追踪变异株、指导暴发应对价值巨大，但在资源有限环境下降低全基因组测序（WGS）成本、提升流程效率仍是持续需求。</w:t>
      </w:r>
    </w:p>
    <w:p>
      <w:r>
        <w:rPr>
          <w:rFonts w:ascii="微软雅黑" w:hAnsi="微软雅黑" w:eastAsia="微软雅黑"/>
          <w:b/>
        </w:rPr>
        <w:t>技术原理：</w:t>
      </w:r>
      <w:r>
        <w:rPr>
          <w:rFonts w:ascii="微软雅黑" w:hAnsi="微软雅黑" w:eastAsia="微软雅黑"/>
        </w:rPr>
        <w:br/>
        <w:t>用 Midnight V2 引物方案评估一步法 RT-PCR 靶向扩增新冠病毒基因组，检验其与 Illumina 测序的兼容性，并与成熟的两步法比较；先确定一步法最佳反应条件并放大反应体积，再用 53 份曾用两步法做常规监测的临床样本进行对照。</w:t>
      </w:r>
    </w:p>
    <w:p>
      <w:r>
        <w:rPr>
          <w:rFonts w:ascii="微软雅黑" w:hAnsi="微软雅黑" w:eastAsia="微软雅黑"/>
          <w:b/>
        </w:rPr>
        <w:t>主要结论：</w:t>
      </w:r>
      <w:r>
        <w:rPr>
          <w:rFonts w:ascii="微软雅黑" w:hAnsi="微软雅黑" w:eastAsia="微软雅黑"/>
        </w:rPr>
        <w:br/>
        <w:t>对基因组完整度&gt;70% 的样本，两种方法覆盖度相近、谱系判定 100% 一致；一步法比对到病毒基因组的读段比例更高、覆盖更深，放大反应体积后显著节约成本，为常规监测提供了高效、低成本的工作流。</w:t>
      </w:r>
    </w:p>
    <w:p>
      <w:r>
        <w:rPr>
          <w:rFonts w:ascii="微软雅黑" w:hAnsi="微软雅黑" w:eastAsia="微软雅黑"/>
          <w:b/>
        </w:rPr>
        <w:t>简要解读：</w:t>
      </w:r>
      <w:r>
        <w:rPr>
          <w:rFonts w:ascii="微软雅黑" w:hAnsi="微软雅黑" w:eastAsia="微软雅黑"/>
        </w:rPr>
        <w:br/>
        <w:t>解决资源有限地区开展新冠病毒 WGS 监测的成本与效率瓶颈。技术贡献是用 Midnight V2 一步法 RT-PCR 替代两步法，在保持准确度与谱系一致性的同时提高覆盖深度、显著降低试剂成本。为常态化基因组监测（尤其低收入地区）提供可推广的简化流程。</w:t>
      </w:r>
    </w:p>
    <w:p>
      <w:pPr>
        <w:pStyle w:val="Heading1"/>
      </w:pPr>
      <w:r>
        <w:rPr>
          <w:rFonts w:ascii="微软雅黑" w:hAnsi="微软雅黑" w:eastAsia="微软雅黑"/>
        </w:rPr>
        <w:t>9. tinyRNA-seq: An optimized approach to sequencing tiny RNAs and primitive RNA genomes</w:t>
      </w:r>
    </w:p>
    <w:p>
      <w:r>
        <w:rPr>
          <w:rFonts w:ascii="微软雅黑" w:hAnsi="微软雅黑" w:eastAsia="微软雅黑"/>
          <w:b/>
        </w:rPr>
        <w:t>来源：</w:t>
      </w:r>
      <w:r>
        <w:rPr>
          <w:rFonts w:ascii="微软雅黑" w:hAnsi="微软雅黑" w:eastAsia="微软雅黑"/>
        </w:rPr>
        <w:t xml:space="preserve">bioRxiv 预印本  |  </w:t>
      </w:r>
      <w:r>
        <w:rPr>
          <w:rFonts w:ascii="微软雅黑" w:hAnsi="微软雅黑" w:eastAsia="微软雅黑"/>
          <w:b/>
        </w:rPr>
        <w:t>期刊/平台：</w:t>
      </w:r>
      <w:r>
        <w:rPr>
          <w:rFonts w:ascii="微软雅黑" w:hAnsi="微软雅黑" w:eastAsia="微软雅黑"/>
        </w:rPr>
        <w:t xml:space="preserve">bioRxiv  |  </w:t>
      </w:r>
      <w:r>
        <w:rPr>
          <w:rFonts w:ascii="微软雅黑" w:hAnsi="微软雅黑" w:eastAsia="微软雅黑"/>
          <w:b/>
        </w:rPr>
        <w:t>影响因子(估)：</w:t>
      </w:r>
      <w:r>
        <w:rPr>
          <w:rFonts w:ascii="微软雅黑" w:hAnsi="微软雅黑" w:eastAsia="微软雅黑"/>
        </w:rPr>
        <w:t xml:space="preserve">0.0  |  </w:t>
      </w:r>
      <w:r>
        <w:rPr>
          <w:rFonts w:ascii="微软雅黑" w:hAnsi="微软雅黑" w:eastAsia="微软雅黑"/>
          <w:b/>
        </w:rPr>
        <w:t>技术类别：</w:t>
      </w:r>
      <w:r>
        <w:rPr>
          <w:rFonts w:ascii="微软雅黑" w:hAnsi="微软雅黑" w:eastAsia="微软雅黑"/>
        </w:rPr>
        <w:t xml:space="preserve">second_gen  |  </w:t>
      </w:r>
      <w:r>
        <w:rPr>
          <w:rFonts w:ascii="微软雅黑" w:hAnsi="微软雅黑" w:eastAsia="微软雅黑"/>
          <w:b/>
        </w:rPr>
        <w:t>技术相关度评分：</w:t>
      </w:r>
      <w:r>
        <w:rPr>
          <w:rFonts w:ascii="微软雅黑" w:hAnsi="微软雅黑" w:eastAsia="微软雅黑"/>
        </w:rPr>
        <w:t xml:space="preserve">22.0  |  </w:t>
      </w:r>
      <w:r>
        <w:rPr>
          <w:rFonts w:ascii="微软雅黑" w:hAnsi="微软雅黑" w:eastAsia="微软雅黑"/>
          <w:b/>
        </w:rPr>
        <w:t>发布日期：</w:t>
      </w:r>
      <w:r>
        <w:rPr>
          <w:rFonts w:ascii="微软雅黑" w:hAnsi="微软雅黑" w:eastAsia="微软雅黑"/>
        </w:rPr>
        <w:t>2026-08-07</w:t>
      </w:r>
    </w:p>
    <w:p>
      <w:r>
        <w:rPr>
          <w:rFonts w:ascii="微软雅黑" w:hAnsi="微软雅黑" w:eastAsia="微软雅黑"/>
          <w:b/>
        </w:rPr>
        <w:t>作者：</w:t>
      </w:r>
      <w:r>
        <w:rPr>
          <w:rFonts w:ascii="微软雅黑" w:hAnsi="微软雅黑" w:eastAsia="微软雅黑"/>
        </w:rPr>
        <w:t>Colville, B. W. F.; Zhao, J.; Hade, L.; Szostak, J. W.</w:t>
      </w:r>
    </w:p>
    <w:p>
      <w:r>
        <w:rPr>
          <w:rFonts w:ascii="微软雅黑" w:hAnsi="微软雅黑" w:eastAsia="微软雅黑"/>
          <w:b/>
        </w:rPr>
        <w:t>原文链接：</w:t>
      </w:r>
      <w:hyperlink r:id="rId17">
        <w:r>
          <w:rPr>
            <w:color w:val="0563C1"/>
            <w:u w:val="single"/>
          </w:rPr>
          <w:t>https://doi.org/10.64898/2026.08.06.743385</w:t>
        </w:r>
      </w:hyperlink>
    </w:p>
    <w:p>
      <w:r>
        <w:rPr>
          <w:rFonts w:ascii="微软雅黑" w:hAnsi="微软雅黑" w:eastAsia="微软雅黑"/>
          <w:b/>
        </w:rPr>
        <w:t>摘要（原文）：</w:t>
      </w:r>
      <w:r>
        <w:rPr>
          <w:rFonts w:ascii="微软雅黑" w:hAnsi="微软雅黑" w:eastAsia="微软雅黑"/>
        </w:rPr>
        <w:br/>
        <w:t>Very short RNAs play critical roles in modern biology, and are thought to have been crucial for genome replication during the origin of life. Next-generation sequencing is an essential tool for characterizing pools of small RNAs, but current library preparation methods suffer from strong size and sequence biases. Here we present tinyRNA-seq, an optimized library preparation method designed to minimize length- and sequence-dependent capture bias enabling the sequencing of RNA fragments as short as 2 nucleotides. We use degenerate adaptor regions to reduce ligation sequence bias and facilitate unique molecular identifier (UMI) installation. We benchmarked tinyRNA-seq against commercial kits using a model primordial RNA genome consisting of hundreds of defined oligonucleotides ranging from 2 to 12 nucleotides. tinyRNA-seq reproduced the input RNA distribution without the size and sequence bias of the commercial kits. tinyRNA-seq also enables the detection of de novo oligonucleotide generation, an important process for the origins of life. Applied to biologically derived small RNAs including miRNAs, piRNAs, and cityRNAs, tinyRNA-seq showed significantly lower capture bias and recovered a wider range of sequences than commercial kits. tinyRNA-seq may thus provide a more complete and quantitatively accurate representation of small RNAs from both biological and chemical sources.</w:t>
        <w:br/>
        <w:br/>
        <w:t>GRAPHICAL ABSTRACT</w:t>
        <w:br/>
        <w:br/>
        <w:t>O_FIG O_LINKSMALLFIG WIDTH=200 HEIGHT=94 SRC="FIGDIR/small/743385v1_ufig1.gif" ALT="Figure 1"&gt;</w:t>
        <w:br/>
        <w:t>View larger version (29K):</w:t>
        <w:br/>
        <w:t>org.highwire.dtl.DTLVardef@1dc7104org.highwire.dtl.DTLVardef@17fc2aaorg.highwire.dtl.DTLVardef@c55bfborg.highwire.dtl.DTLVardef@119f7a1_HPS_FORMAT_FIGEXP  M_FIG C_FIG</w:t>
      </w:r>
    </w:p>
    <w:p>
      <w:r>
        <w:rPr>
          <w:rFonts w:ascii="微软雅黑" w:hAnsi="微软雅黑" w:eastAsia="微软雅黑"/>
          <w:b/>
        </w:rPr>
        <w:t>摘要（中文）：</w:t>
      </w:r>
      <w:r>
        <w:rPr>
          <w:rFonts w:ascii="微软雅黑" w:hAnsi="微软雅黑" w:eastAsia="微软雅黑"/>
        </w:rPr>
        <w:br/>
        <w:t>极短 RNA 在现代生物学中作用关键，也被认为在生命起源时的基因组复制中至关重要。二代测序是刻画小 RNA 群体的重要工具，但现有建库方法存在强烈的长度与序列偏好。本文提出 tinyRNA-seq——一种优化的建库方法，旨在最小化长度与序列依赖的捕获偏好，可测序短至 2 个核苷酸的 RNA 片段。我们用简并接头区降低连接序列偏好，并便于安装唯一分子标识符（UMI）。我们用一个由数百条 2–12 核苷酸定义寡核苷酸组成、模拟原始 RNA 基因组的模型，对 tinyRNA-seq 与商业试剂盒做基准比较：tinyRNA-seq 无商业试剂盒的尺寸与序列偏好地复现了输入 RNA 分布；它还能检测寡核苷酸的从头生成——这是生命起源研究中的重要过程。应用于 miRNA、piRNA、tiRNA 等生物来源小 RNA 时，tinyRNA-seq 捕获偏好显著更低、回收序列范围更广。因此，tinyRNA-seq 能更完整、定量更准确地呈现生物与化学来源的微小 RNA。</w:t>
      </w:r>
    </w:p>
    <w:p>
      <w:r>
        <w:rPr>
          <w:rFonts w:ascii="微软雅黑" w:hAnsi="微软雅黑" w:eastAsia="微软雅黑"/>
          <w:b/>
        </w:rPr>
        <w:t>背景介绍：</w:t>
      </w:r>
      <w:r>
        <w:rPr>
          <w:rFonts w:ascii="微软雅黑" w:hAnsi="微软雅黑" w:eastAsia="微软雅黑"/>
        </w:rPr>
        <w:br/>
        <w:t>极短 RNA（2–12 nt）在现代生物学与生命起源中都很重要，但二代测序建库方法存在强烈的长度与序列偏好，难以无偏地研究微小 RNA与原始 RNA 世界。</w:t>
      </w:r>
    </w:p>
    <w:p>
      <w:r>
        <w:rPr>
          <w:rFonts w:ascii="微软雅黑" w:hAnsi="微软雅黑" w:eastAsia="微软雅黑"/>
          <w:b/>
        </w:rPr>
        <w:t>技术原理：</w:t>
      </w:r>
      <w:r>
        <w:rPr>
          <w:rFonts w:ascii="微软雅黑" w:hAnsi="微软雅黑" w:eastAsia="微软雅黑"/>
        </w:rPr>
        <w:br/>
        <w:t>提出 tinyRNA-seq 建库方法，用简并接头区降低连接序列偏好并便于安装唯一分子标识符（UMI），可测序短至 2 个核苷酸的 RNA；并用数百条 2–12 nt 定义寡核苷酸组成的模型“原始 RNA 基因组”做基准比较。</w:t>
      </w:r>
    </w:p>
    <w:p>
      <w:r>
        <w:rPr>
          <w:rFonts w:ascii="微软雅黑" w:hAnsi="微软雅黑" w:eastAsia="微软雅黑"/>
          <w:b/>
        </w:rPr>
        <w:t>主要结论：</w:t>
      </w:r>
      <w:r>
        <w:rPr>
          <w:rFonts w:ascii="微软雅黑" w:hAnsi="微软雅黑" w:eastAsia="微软雅黑"/>
        </w:rPr>
        <w:br/>
        <w:t>tinyRNA-seq 无商业试剂盒的尺寸/序列偏好地复现输入 RNA 分布，并能检测寡核苷酸的从头生成；在 miRNA/piRNA/tiRNA 等生物小 RNA 上捕获偏好更低、回收范围更广，提供更完整、定量的微小 RNA 视图。</w:t>
      </w:r>
    </w:p>
    <w:p>
      <w:r>
        <w:rPr>
          <w:rFonts w:ascii="微软雅黑" w:hAnsi="微软雅黑" w:eastAsia="微软雅黑"/>
          <w:b/>
        </w:rPr>
        <w:t>简要解读：</w:t>
      </w:r>
      <w:r>
        <w:rPr>
          <w:rFonts w:ascii="微软雅黑" w:hAnsi="微软雅黑" w:eastAsia="微软雅黑"/>
        </w:rPr>
        <w:br/>
        <w:t>解决常规小 RNA 建库对极短片段（2–12 nt）有严重长度/序列偏好、难以研究原始 RNA 与生命起源的痛点。技术贡献是用简并接头+UMI 降低连接偏好，可测短至 2 nt 的 RNA，无偏地复现输入分布，并能量化寡核苷酸从头生成。为微小 RNA 与“原始 RNA 世界”研究提供更 unbiased、定量的测序手段。</w:t>
      </w:r>
    </w:p>
    <w:p>
      <w:pPr>
        <w:pStyle w:val="Heading1"/>
      </w:pPr>
      <w:r>
        <w:rPr>
          <w:rFonts w:ascii="微软雅黑" w:hAnsi="微软雅黑" w:eastAsia="微软雅黑"/>
        </w:rPr>
        <w:t>10. BCAR: a fast and indel-tolerant barcode-sequence mapper.</w:t>
      </w:r>
    </w:p>
    <w:p>
      <w:r>
        <w:rPr>
          <w:rFonts w:ascii="微软雅黑" w:hAnsi="微软雅黑" w:eastAsia="微软雅黑"/>
          <w:b/>
        </w:rPr>
        <w:t>来源：</w:t>
      </w:r>
      <w:r>
        <w:rPr>
          <w:rFonts w:ascii="微软雅黑" w:hAnsi="微软雅黑" w:eastAsia="微软雅黑"/>
        </w:rPr>
        <w:t xml:space="preserve">PubMed / 期刊  |  </w:t>
      </w:r>
      <w:r>
        <w:rPr>
          <w:rFonts w:ascii="微软雅黑" w:hAnsi="微软雅黑" w:eastAsia="微软雅黑"/>
          <w:b/>
        </w:rPr>
        <w:t>期刊/平台：</w:t>
      </w:r>
      <w:r>
        <w:rPr>
          <w:rFonts w:ascii="微软雅黑" w:hAnsi="微软雅黑" w:eastAsia="微软雅黑"/>
        </w:rPr>
        <w:t xml:space="preserve">Bioinformatics  |  </w:t>
      </w:r>
      <w:r>
        <w:rPr>
          <w:rFonts w:ascii="微软雅黑" w:hAnsi="微软雅黑" w:eastAsia="微软雅黑"/>
          <w:b/>
        </w:rPr>
        <w:t>影响因子(估)：</w:t>
      </w:r>
      <w:r>
        <w:rPr>
          <w:rFonts w:ascii="微软雅黑" w:hAnsi="微软雅黑" w:eastAsia="微软雅黑"/>
        </w:rPr>
        <w:t xml:space="preserve">5.5  |  </w:t>
      </w:r>
      <w:r>
        <w:rPr>
          <w:rFonts w:ascii="微软雅黑" w:hAnsi="微软雅黑" w:eastAsia="微软雅黑"/>
          <w:b/>
        </w:rPr>
        <w:t>技术类别：</w:t>
      </w:r>
      <w:r>
        <w:rPr>
          <w:rFonts w:ascii="微软雅黑" w:hAnsi="微软雅黑" w:eastAsia="微软雅黑"/>
        </w:rPr>
        <w:t xml:space="preserve">other  |  </w:t>
      </w:r>
      <w:r>
        <w:rPr>
          <w:rFonts w:ascii="微软雅黑" w:hAnsi="微软雅黑" w:eastAsia="微软雅黑"/>
          <w:b/>
        </w:rPr>
        <w:t>技术相关度评分：</w:t>
      </w:r>
      <w:r>
        <w:rPr>
          <w:rFonts w:ascii="微软雅黑" w:hAnsi="微软雅黑" w:eastAsia="微软雅黑"/>
        </w:rPr>
        <w:t xml:space="preserve">20.69  |  </w:t>
      </w:r>
      <w:r>
        <w:rPr>
          <w:rFonts w:ascii="微软雅黑" w:hAnsi="微软雅黑" w:eastAsia="微软雅黑"/>
          <w:b/>
        </w:rPr>
        <w:t>发布日期：</w:t>
      </w:r>
      <w:r>
        <w:rPr>
          <w:rFonts w:ascii="微软雅黑" w:hAnsi="微软雅黑" w:eastAsia="微软雅黑"/>
        </w:rPr>
        <w:t>2026-08-04</w:t>
      </w:r>
    </w:p>
    <w:p>
      <w:r>
        <w:rPr>
          <w:rFonts w:ascii="微软雅黑" w:hAnsi="微软雅黑" w:eastAsia="微软雅黑"/>
          <w:b/>
        </w:rPr>
        <w:t>作者：</w:t>
      </w:r>
      <w:r>
        <w:rPr>
          <w:rFonts w:ascii="微软雅黑" w:hAnsi="微软雅黑" w:eastAsia="微软雅黑"/>
        </w:rPr>
        <w:t>Bryan Andrews, Rama Ranganathan</w:t>
      </w:r>
    </w:p>
    <w:p>
      <w:r>
        <w:rPr>
          <w:rFonts w:ascii="微软雅黑" w:hAnsi="微软雅黑" w:eastAsia="微软雅黑"/>
          <w:b/>
        </w:rPr>
        <w:t>原文链接：</w:t>
      </w:r>
      <w:hyperlink r:id="rId18">
        <w:r>
          <w:rPr>
            <w:color w:val="0563C1"/>
            <w:u w:val="single"/>
          </w:rPr>
          <w:t>https://doi.org/10.1093/bioinformatics/btag557</w:t>
        </w:r>
      </w:hyperlink>
    </w:p>
    <w:p>
      <w:r>
        <w:rPr>
          <w:rFonts w:ascii="微软雅黑" w:hAnsi="微软雅黑" w:eastAsia="微软雅黑"/>
          <w:b/>
        </w:rPr>
        <w:t>摘要（原文）：</w:t>
      </w:r>
      <w:r>
        <w:rPr>
          <w:rFonts w:ascii="微软雅黑" w:hAnsi="微软雅黑" w:eastAsia="微软雅黑"/>
        </w:rPr>
        <w:br/>
        <w:t>MOTIVATION：DNA barcodes are commonly used as a tool to distinguish genuine mutations from sequencing errors in sequencing-based assays. In the presence of indel errors, utilizing barcodes requires accurate alignment of the raw reads to distinguish genuine indels from indel errors. Existing strategies to do this generally rely on aligners built for homology comparison and do not fully utilize quality scores. We reasoned that developing an aligner purpose-built for error correction could yield higher quality barcode-sequence maps.</w:t>
        <w:br/>
        <w:t>RESULTS：Here, we present BCAR, a fast barcode-sequence mapper for correcting sequencing errors. BCAR considers all of the evidence for each base call at each position both during alignment and during final consensus generation. BCAR creates high-accuracy barcode-sequence maps from simulated reads across a broad range of error rates and read lengths, outperforming existing methods. We apply BCAR to two experimental datasets, where it generates high-quality barcode-sequence maps.</w:t>
        <w:br/>
        <w:t>AVAILABILITY AND IMPLEMENTATION：BCAR source code, documentation, and test data are available from: https://github.com/dry-brews/BCAR or https://doi.org/10.5281/zenodo.20088816.</w:t>
      </w:r>
    </w:p>
    <w:p>
      <w:r>
        <w:rPr>
          <w:rFonts w:ascii="微软雅黑" w:hAnsi="微软雅黑" w:eastAsia="微软雅黑"/>
          <w:b/>
        </w:rPr>
        <w:t>摘要（中文）：</w:t>
      </w:r>
      <w:r>
        <w:rPr>
          <w:rFonts w:ascii="微软雅黑" w:hAnsi="微软雅黑" w:eastAsia="微软雅黑"/>
        </w:rPr>
        <w:br/>
        <w:t>动机：DNA 条形码常用于在基于测序的检测中区分真实突变与测序错误。当存在插入缺失（indel）错误时，利用条形码需要把原始读段精确比对，以区分真实 indel 与 indel 错误。现有策略普遍依赖为同源比对设计的比对器，未能充分利用质量分数。我们认为，专为纠错设计的比对器可产出更高质量的条形码-序列映射。</w:t>
        <w:br/>
        <w:t>结果：本文提出 BCAR——一个用于纠正测序错误的快速条形码序列比对器。BCAR 在比对与最终一致性生成两个阶段，都综合考虑每个位置每个碱基调用的全部证据，在多种错误率与读长下由模拟读段生成高准确度条形码-序列映射，优于现有方法；我们将其应用于两个实验数据集，均生成高质量映射。</w:t>
        <w:br/>
        <w:t>可用性与实现：BCAR 源代码、文档与测试数据见 https://github.com/dry-brews/BCAR 或 https://doi.org/10.5281/zenodo.20088816。</w:t>
      </w:r>
    </w:p>
    <w:p>
      <w:r>
        <w:rPr>
          <w:rFonts w:ascii="微软雅黑" w:hAnsi="微软雅黑" w:eastAsia="微软雅黑"/>
          <w:b/>
        </w:rPr>
        <w:t>背景介绍：</w:t>
      </w:r>
      <w:r>
        <w:rPr>
          <w:rFonts w:ascii="微软雅黑" w:hAnsi="微软雅黑" w:eastAsia="微软雅黑"/>
        </w:rPr>
        <w:br/>
        <w:t>DNA 条形码常用于在测序检测中区分真实突变与测序错误；当存在 indel 错误时，需要精确比对原始读段来区分真实 indel 与 indel 错误，但现有策略依赖为同源比对设计的比对器，未充分利用质量分数，对 indel 也不鲁棒。</w:t>
      </w:r>
    </w:p>
    <w:p>
      <w:r>
        <w:rPr>
          <w:rFonts w:ascii="微软雅黑" w:hAnsi="微软雅黑" w:eastAsia="微软雅黑"/>
          <w:b/>
        </w:rPr>
        <w:t>技术原理：</w:t>
      </w:r>
      <w:r>
        <w:rPr>
          <w:rFonts w:ascii="微软雅黑" w:hAnsi="微软雅黑" w:eastAsia="微软雅黑"/>
        </w:rPr>
        <w:br/>
        <w:t>提出 BCAR——专为纠错设计的快速条形码序列比对器，在比对阶段与最终一致性生成阶段都综合每个位置每个碱基调用的全部证据，并对 indel 错误保持容忍。</w:t>
      </w:r>
    </w:p>
    <w:p>
      <w:r>
        <w:rPr>
          <w:rFonts w:ascii="微软雅黑" w:hAnsi="微软雅黑" w:eastAsia="微软雅黑"/>
          <w:b/>
        </w:rPr>
        <w:t>主要结论：</w:t>
      </w:r>
      <w:r>
        <w:rPr>
          <w:rFonts w:ascii="微软雅黑" w:hAnsi="微软雅黑" w:eastAsia="微软雅黑"/>
        </w:rPr>
        <w:br/>
        <w:t>在多种错误率与读长下由模拟读段生成高准确度的条形码-序列映射、优于现有方法，并应用于实验数据集生成高质量映射；工具已开源（GitHub / Zenodo），提升了基于条形码的测序检测的可靠性。</w:t>
      </w:r>
    </w:p>
    <w:p>
      <w:r>
        <w:rPr>
          <w:rFonts w:ascii="微软雅黑" w:hAnsi="微软雅黑" w:eastAsia="微软雅黑"/>
          <w:b/>
        </w:rPr>
        <w:t>简要解读：</w:t>
      </w:r>
      <w:r>
        <w:rPr>
          <w:rFonts w:ascii="微软雅黑" w:hAnsi="微软雅黑" w:eastAsia="微软雅黑"/>
        </w:rPr>
        <w:br/>
        <w:t>解决条形码纠错常用通用比对器、无法充分利用质量分数、且对 indel 错误不鲁棒的问题。技术贡献是 BCAR 在比对与共识生成中整合每个碱基的全部质量证据，对 indel 容忍且更快更准。提升基于条形码的测序检测（如突变 vs 错误区分）的可靠性，工具已开源。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4898/2026.04.28.721268" TargetMode="External"/><Relationship Id="rId10" Type="http://schemas.openxmlformats.org/officeDocument/2006/relationships/hyperlink" Target="https://doi.org/10.1093/nar/gkad1039" TargetMode="External"/><Relationship Id="rId11" Type="http://schemas.openxmlformats.org/officeDocument/2006/relationships/hyperlink" Target="https://doi.org/10.64898/2026.07.27.740999" TargetMode="External"/><Relationship Id="rId12" Type="http://schemas.openxmlformats.org/officeDocument/2006/relationships/hyperlink" Target="https://doi.org/10.1089/fpd.2019.2636" TargetMode="External"/><Relationship Id="rId13" Type="http://schemas.openxmlformats.org/officeDocument/2006/relationships/hyperlink" Target="https://doi.org/10.64898/2026.08.03.740891" TargetMode="External"/><Relationship Id="rId14" Type="http://schemas.openxmlformats.org/officeDocument/2006/relationships/hyperlink" Target="https://doi.org/10.1016/j.isci.2020.100882" TargetMode="External"/><Relationship Id="rId15" Type="http://schemas.openxmlformats.org/officeDocument/2006/relationships/hyperlink" Target="https://doi.org/10.1016/j.cell.2026.06.016" TargetMode="External"/><Relationship Id="rId16" Type="http://schemas.openxmlformats.org/officeDocument/2006/relationships/hyperlink" Target="https://doi.org/10.1016/j.jviromet.2026.115448" TargetMode="External"/><Relationship Id="rId17" Type="http://schemas.openxmlformats.org/officeDocument/2006/relationships/hyperlink" Target="https://doi.org/10.64898/2026.08.06.743385" TargetMode="External"/><Relationship Id="rId18" Type="http://schemas.openxmlformats.org/officeDocument/2006/relationships/hyperlink" Target="https://doi.org/10.1093/bioinformatics/btag5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