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b/>
          <w:bCs/>
          <w:color w:val="1F4E79"/>
          <w:sz w:val="60"/>
          <w:szCs w:val="60"/>
        </w:rPr>
        <w:t xml:space="preserve">机械臂具身操作</w:t>
      </w:r>
    </w:p>
    <w:p>
      <w:pPr>
        <w:spacing w:after="300"/>
        <w:jc w:val="center"/>
      </w:pPr>
      <w:r>
        <w:rPr>
          <w:b/>
          <w:bCs/>
          <w:color w:val="1F4E79"/>
          <w:sz w:val="44"/>
          <w:szCs w:val="44"/>
        </w:rPr>
        <w:t xml:space="preserve">研究综述</w:t>
      </w:r>
    </w:p>
    <w:p>
      <w:pPr>
        <w:spacing w:after="600"/>
        <w:jc w:val="center"/>
      </w:pPr>
      <w:r>
        <w:rPr>
          <w:i/>
          <w:iCs/>
          <w:color w:val="595959"/>
          <w:sz w:val="26"/>
          <w:szCs w:val="26"/>
        </w:rPr>
        <w:t xml:space="preserve">Embodied Manipulation for Robotic Arms: A Survey</w:t>
      </w:r>
    </w:p>
    <w:p>
      <w:pPr>
        <w:pBdr>
          <w:top w:val="single" w:color="1F4E79" w:sz="6" w:space="8"/>
          <w:bottom w:val="single" w:color="1F4E79" w:sz="6" w:space="8"/>
        </w:pBdr>
        <w:spacing w:after="200" w:before="200"/>
        <w:jc w:val="center"/>
      </w:pPr>
      <w:r>
        <w:rPr>
          <w:color w:val="000000"/>
          <w:sz w:val="24"/>
          <w:szCs w:val="24"/>
        </w:rPr>
        <w:t xml:space="preserve">从模仿学习、扩散策略到视觉-语言-动作大模型</w:t>
      </w:r>
    </w:p>
    <w:p>
      <w:pPr>
        <w:spacing w:before="1400"/>
        <w:jc w:val="center"/>
      </w:pPr>
      <w:r>
        <w:rPr>
          <w:color w:val="595959"/>
          <w:sz w:val="22"/>
          <w:szCs w:val="22"/>
        </w:rPr>
        <w:t xml:space="preserve">2026 年 7 月</w:t>
      </w:r>
    </w:p>
    <w:p>
      <w:r>
        <w:br w:type="page"/>
      </w:r>
    </w:p>
    <w:p>
      <w:pPr>
        <w:pStyle w:val="Heading1"/>
        <w:spacing w:after="160" w:before="320"/>
      </w:pPr>
      <w:r>
        <w:rPr>
          <w:b/>
          <w:bCs/>
          <w:color w:val="1F4E79"/>
          <w:sz w:val="30"/>
          <w:szCs w:val="30"/>
        </w:rPr>
        <w:t xml:space="preserve">目录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摘要</w:t>
      </w:r>
    </w:p>
    <w:p>
      <w:pPr>
        <w:spacing w:after="120" w:line="276"/>
        <w:jc w:val="both"/>
      </w:pPr>
      <w:r>
        <w:rPr>
          <w:sz w:val="22"/>
          <w:szCs w:val="22"/>
        </w:rPr>
        <w:t xml:space="preserve">机械臂具身操作（embodied manipulation）是具身智能（embodied AI）的核心问题之一，其目标是让配备相机、力/触觉传感器与末端执行器的机械臂在复杂物理环境中感知、推理并完成抓取、放置、装配、可变形物体处理等任务。</w:t>
      </w:r>
    </w:p>
    <w:p>
      <w:pPr>
        <w:spacing w:after="120" w:line="276"/>
        <w:jc w:val="both"/>
      </w:pPr>
      <w:r>
        <w:rPr>
          <w:sz w:val="22"/>
          <w:szCs w:val="22"/>
        </w:rPr>
        <w:t xml:space="preserve">与传统数据驱动方法不同，具身学习强调机器人通过与环境的物理交互和感知反馈进行学习，这使其特别适合操作任务。</w:t>
      </w:r>
      <w:r>
        <w:rPr>
          <w:sz w:val="22"/>
          <w:szCs w:val="22"/>
        </w:rPr>
        <w:t xml:space="preserve">近三年，该领域经历了从模块化</w:t>
      </w:r>
      <w:r>
        <w:rPr>
          <w:i/>
          <w:iCs/>
          <w:sz w:val="22"/>
          <w:szCs w:val="22"/>
        </w:rPr>
        <w:t xml:space="preserve">「感知—规划—控制」</w:t>
      </w:r>
      <w:r>
        <w:rPr>
          <w:sz w:val="22"/>
          <w:szCs w:val="22"/>
        </w:rPr>
        <w:t xml:space="preserve">流水线，到端到端模仿学习（Diffusion Policy、ACT），再到以视觉-语言-动作（Vision-Language-Action, VLA）大模型为代表的通用操作策略的范式转变。RT-2、OpenVLA、π₀ 等模型将互联网规模的视觉-语言知识迁移到机器人控制，配合 Open X-Embodiment、DROID 等大规模跨本体数据集，显著提升了策略的泛化能力。</w:t>
      </w:r>
    </w:p>
    <w:p>
      <w:pPr>
        <w:spacing w:after="120" w:line="276"/>
        <w:jc w:val="both"/>
      </w:pPr>
      <w:r>
        <w:rPr>
          <w:sz w:val="22"/>
          <w:szCs w:val="22"/>
        </w:rPr>
        <w:t xml:space="preserve">本综述系统梳理了机械臂具身操作的问题定义、技术演进、代表性方法、数据集与基准、仿真到真实（sim-to-real）迁移，以及当前面临的关键挑战与未来方向，旨在为研究者提供一个结构化的领域全景图。</w:t>
      </w:r>
    </w:p>
    <w:p>
      <w:r>
        <w:br w:type="page"/>
      </w:r>
    </w:p>
    <w:p>
      <w:pPr>
        <w:pStyle w:val="Heading1"/>
        <w:spacing w:after="160" w:before="320"/>
      </w:pPr>
      <w:r>
        <w:rPr>
          <w:b/>
          <w:bCs/>
          <w:color w:val="1F4E79"/>
          <w:sz w:val="30"/>
          <w:szCs w:val="30"/>
        </w:rPr>
        <w:t xml:space="preserve">1  引言</w:t>
      </w:r>
    </w:p>
    <w:p>
      <w:pPr>
        <w:pStyle w:val="Heading2"/>
        <w:spacing w:after="120" w:before="240"/>
      </w:pPr>
      <w:r>
        <w:rPr>
          <w:b/>
          <w:bCs/>
          <w:color w:val="1F4E79"/>
          <w:sz w:val="25"/>
          <w:szCs w:val="25"/>
        </w:rPr>
        <w:t xml:space="preserve">1.1  什么是具身操作</w:t>
      </w:r>
    </w:p>
    <w:p>
      <w:pPr>
        <w:spacing w:after="120" w:line="276"/>
        <w:jc w:val="both"/>
      </w:pPr>
      <w:r>
        <w:rPr>
          <w:sz w:val="22"/>
          <w:szCs w:val="22"/>
        </w:rPr>
        <w:t xml:space="preserve">一个典型的机器人操作系统由机械臂本体、传感器（RGB/深度相机、力与触觉传感器）和末端执行器（夹爪或灵巧手）构成，使其能够操作日常生活中种类繁多的物体。</w:t>
      </w:r>
      <w:r>
        <w:rPr>
          <w:sz w:val="22"/>
          <w:szCs w:val="22"/>
        </w:rPr>
        <w:t xml:space="preserve">其智能可分解为三个层面：（1）</w:t>
      </w:r>
      <w:r>
        <w:rPr>
          <w:b/>
          <w:bCs/>
          <w:sz w:val="22"/>
          <w:szCs w:val="22"/>
        </w:rPr>
        <w:t xml:space="preserve">先进感知</w:t>
      </w:r>
      <w:r>
        <w:rPr>
          <w:sz w:val="22"/>
          <w:szCs w:val="22"/>
        </w:rPr>
        <w:t xml:space="preserve">——利用多种传感器数据理解目标物体与外部环境；（2）</w:t>
      </w:r>
      <w:r>
        <w:rPr>
          <w:b/>
          <w:bCs/>
          <w:sz w:val="22"/>
          <w:szCs w:val="22"/>
        </w:rPr>
        <w:t xml:space="preserve">精确策略生成</w:t>
      </w:r>
      <w:r>
        <w:rPr>
          <w:sz w:val="22"/>
          <w:szCs w:val="22"/>
        </w:rPr>
        <w:t xml:space="preserve">——分析感知信息做出最优决策；（3）</w:t>
      </w:r>
      <w:r>
        <w:rPr>
          <w:b/>
          <w:bCs/>
          <w:sz w:val="22"/>
          <w:szCs w:val="22"/>
        </w:rPr>
        <w:t xml:space="preserve">任务导向</w:t>
      </w:r>
      <w:r>
        <w:rPr>
          <w:sz w:val="22"/>
          <w:szCs w:val="22"/>
        </w:rPr>
        <w:t xml:space="preserve">——使系统能适应特定任务需求。具身操作正是围绕这三条主线展开的。</w:t>
      </w:r>
    </w:p>
    <w:p>
      <w:pPr>
        <w:pStyle w:val="Heading2"/>
        <w:spacing w:after="120" w:before="240"/>
      </w:pPr>
      <w:r>
        <w:rPr>
          <w:b/>
          <w:bCs/>
          <w:color w:val="1F4E79"/>
          <w:sz w:val="25"/>
          <w:szCs w:val="25"/>
        </w:rPr>
        <w:t xml:space="preserve">1.2  为什么现在重要</w:t>
      </w:r>
    </w:p>
    <w:p>
      <w:pPr>
        <w:spacing w:after="120" w:line="276"/>
        <w:jc w:val="both"/>
      </w:pPr>
      <w:r>
        <w:rPr>
          <w:sz w:val="22"/>
          <w:szCs w:val="22"/>
        </w:rPr>
        <w:t xml:space="preserve">具身智能被视为通向通用机器人的关键路径。机器人不再依赖为单一任务硬编码的流水线，而是通过大规模数据学习可泛化的操作技能。这一转变由三股力量共同驱动：大规模视觉-语言基础模型提供的语义先验、跨本体真实机器人数据集的出现，以及扩散模型与流匹配（flow matching）等生成式建模技术在动作生成上的成功。</w:t>
      </w:r>
    </w:p>
    <w:p>
      <w:pPr>
        <w:pStyle w:val="Heading2"/>
        <w:spacing w:after="120" w:before="240"/>
      </w:pPr>
      <w:r>
        <w:rPr>
          <w:b/>
          <w:bCs/>
          <w:color w:val="1F4E79"/>
          <w:sz w:val="25"/>
          <w:szCs w:val="25"/>
        </w:rPr>
        <w:t xml:space="preserve">1.3  综述范围与结构</w:t>
      </w:r>
    </w:p>
    <w:p>
      <w:pPr>
        <w:spacing w:after="120" w:line="276"/>
        <w:jc w:val="both"/>
      </w:pPr>
      <w:r>
        <w:rPr>
          <w:sz w:val="22"/>
          <w:szCs w:val="22"/>
        </w:rPr>
        <w:t xml:space="preserve">本文聚焦于机械臂（单臂与双臂）的物体操作，涵盖抓取、放置、装配、可变形与接触密集型任务，兼及灵巧手操作与移动操作。全文结构如下：</w:t>
      </w:r>
    </w:p>
    <w:p>
      <w:pPr>
        <w:pStyle w:val="ListParagraph"/>
        <w:numPr>
          <w:ilvl w:val="0"/>
          <w:numId w:val="2"/>
        </w:numPr>
        <w:spacing w:after="80" w:line="276"/>
        <w:jc w:val="both"/>
      </w:pPr>
      <w:r>
        <w:rPr>
          <w:sz w:val="22"/>
          <w:szCs w:val="22"/>
        </w:rPr>
        <w:t xml:space="preserve">第 2 节：问题定义与技术分类；</w:t>
      </w:r>
    </w:p>
    <w:p>
      <w:pPr>
        <w:pStyle w:val="ListParagraph"/>
        <w:numPr>
          <w:ilvl w:val="0"/>
          <w:numId w:val="2"/>
        </w:numPr>
        <w:spacing w:after="80" w:line="276"/>
        <w:jc w:val="both"/>
      </w:pPr>
      <w:r>
        <w:rPr>
          <w:sz w:val="22"/>
          <w:szCs w:val="22"/>
        </w:rPr>
        <w:t xml:space="preserve">第 3 节：感知与场景表征；</w:t>
      </w:r>
    </w:p>
    <w:p>
      <w:pPr>
        <w:pStyle w:val="ListParagraph"/>
        <w:numPr>
          <w:ilvl w:val="0"/>
          <w:numId w:val="2"/>
        </w:numPr>
        <w:spacing w:after="80" w:line="276"/>
        <w:jc w:val="both"/>
      </w:pPr>
      <w:r>
        <w:rPr>
          <w:sz w:val="22"/>
          <w:szCs w:val="22"/>
        </w:rPr>
        <w:t xml:space="preserve">第 4 节：模仿学习与扩散/流策略；</w:t>
      </w:r>
    </w:p>
    <w:p>
      <w:pPr>
        <w:pStyle w:val="ListParagraph"/>
        <w:numPr>
          <w:ilvl w:val="0"/>
          <w:numId w:val="2"/>
        </w:numPr>
        <w:spacing w:after="80" w:line="276"/>
        <w:jc w:val="both"/>
      </w:pPr>
      <w:r>
        <w:rPr>
          <w:sz w:val="22"/>
          <w:szCs w:val="22"/>
        </w:rPr>
        <w:t xml:space="preserve">第 5 节：视觉-语言-动作（VLA）大模型；</w:t>
      </w:r>
    </w:p>
    <w:p>
      <w:pPr>
        <w:pStyle w:val="ListParagraph"/>
        <w:numPr>
          <w:ilvl w:val="0"/>
          <w:numId w:val="2"/>
        </w:numPr>
        <w:spacing w:after="80" w:line="276"/>
        <w:jc w:val="both"/>
      </w:pPr>
      <w:r>
        <w:rPr>
          <w:sz w:val="22"/>
          <w:szCs w:val="22"/>
        </w:rPr>
        <w:t xml:space="preserve">第 6 节：强化学习与数据引擎；</w:t>
      </w:r>
    </w:p>
    <w:p>
      <w:pPr>
        <w:pStyle w:val="ListParagraph"/>
        <w:numPr>
          <w:ilvl w:val="0"/>
          <w:numId w:val="2"/>
        </w:numPr>
        <w:spacing w:after="80" w:line="276"/>
        <w:jc w:val="both"/>
      </w:pPr>
      <w:r>
        <w:rPr>
          <w:sz w:val="22"/>
          <w:szCs w:val="22"/>
        </w:rPr>
        <w:t xml:space="preserve">第 7 节：数据集与基准；</w:t>
      </w:r>
    </w:p>
    <w:p>
      <w:pPr>
        <w:pStyle w:val="ListParagraph"/>
        <w:numPr>
          <w:ilvl w:val="0"/>
          <w:numId w:val="2"/>
        </w:numPr>
        <w:spacing w:after="80" w:line="276"/>
        <w:jc w:val="both"/>
      </w:pPr>
      <w:r>
        <w:rPr>
          <w:sz w:val="22"/>
          <w:szCs w:val="22"/>
        </w:rPr>
        <w:t xml:space="preserve">第 8 节：仿真到真实迁移；</w:t>
      </w:r>
    </w:p>
    <w:p>
      <w:pPr>
        <w:pStyle w:val="ListParagraph"/>
        <w:numPr>
          <w:ilvl w:val="0"/>
          <w:numId w:val="2"/>
        </w:numPr>
        <w:spacing w:after="80" w:line="276"/>
        <w:jc w:val="both"/>
      </w:pPr>
      <w:r>
        <w:rPr>
          <w:sz w:val="22"/>
          <w:szCs w:val="22"/>
        </w:rPr>
        <w:t xml:space="preserve">第 9 节：挑战与未来方向。</w:t>
      </w:r>
    </w:p>
    <w:p>
      <w:r>
        <w:br w:type="page"/>
      </w:r>
    </w:p>
    <w:p>
      <w:pPr>
        <w:pStyle w:val="Heading1"/>
        <w:spacing w:after="160" w:before="320"/>
      </w:pPr>
      <w:r>
        <w:rPr>
          <w:b/>
          <w:bCs/>
          <w:color w:val="1F4E79"/>
          <w:sz w:val="30"/>
          <w:szCs w:val="30"/>
        </w:rPr>
        <w:t xml:space="preserve">2  问题定义与技术分类</w:t>
      </w:r>
    </w:p>
    <w:p>
      <w:pPr>
        <w:pStyle w:val="Heading2"/>
        <w:spacing w:after="120" w:before="240"/>
      </w:pPr>
      <w:r>
        <w:rPr>
          <w:b/>
          <w:bCs/>
          <w:color w:val="1F4E79"/>
          <w:sz w:val="25"/>
          <w:szCs w:val="25"/>
        </w:rPr>
        <w:t xml:space="preserve">2.1  形式化描述</w:t>
      </w:r>
    </w:p>
    <w:p>
      <w:pPr>
        <w:spacing w:after="120" w:line="276"/>
        <w:jc w:val="both"/>
      </w:pPr>
      <w:r>
        <w:rPr>
          <w:sz w:val="22"/>
          <w:szCs w:val="22"/>
        </w:rPr>
        <w:t xml:space="preserve">操作策略可形式化为一个从观测到动作的映射 π: O → A。观测 O 通常包含 RGB/深度图像、点云、机器人本体感知（关节角、末端位姿）以及自然语言指令；动作 A 可以是关节空间或笛卡尔空间的低层控制指令，也可以是离散化的动作 token。学习目标是在给定任务下最大化成功率并保持对物体、场景、光照、本体变化的鲁棒性。</w:t>
      </w:r>
    </w:p>
    <w:p>
      <w:pPr>
        <w:pStyle w:val="Heading2"/>
        <w:spacing w:after="120" w:before="240"/>
      </w:pPr>
      <w:r>
        <w:rPr>
          <w:b/>
          <w:bCs/>
          <w:color w:val="1F4E79"/>
          <w:sz w:val="25"/>
          <w:szCs w:val="25"/>
        </w:rPr>
        <w:t xml:space="preserve">2.2  三大具身学习范式</w:t>
      </w:r>
    </w:p>
    <w:p>
      <w:pPr>
        <w:spacing w:after="120" w:line="276"/>
        <w:jc w:val="both"/>
      </w:pPr>
      <w:r>
        <w:rPr>
          <w:sz w:val="22"/>
          <w:szCs w:val="22"/>
        </w:rPr>
        <w:t xml:space="preserve">按学习信号来源，具身操作方法大致分为三类，它们对应上文提到的感知、策略、任务三个智能层面：</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600"/>
      </w:tblGrid>
      <w:tr>
        <w:trPr>
          <w:tblHeader/>
        </w:trPr>
        <w:tc>
          <w:tcPr>
            <w:tcW w:type="dxa" w:w="2200"/>
            <w:shd w:fill="1F4E79" w:color="auto" w:val="clear"/>
            <w:tcMar>
              <w:top w:type="dxa" w:w="60"/>
              <w:left w:type="dxa" w:w="100"/>
              <w:bottom w:type="dxa" w:w="60"/>
              <w:right w:type="dxa" w:w="100"/>
            </w:tcMar>
          </w:tcPr>
          <w:p>
            <w:pPr>
              <w:spacing w:after="0" w:line="260"/>
            </w:pPr>
            <w:r>
              <w:rPr>
                <w:b/>
                <w:bCs/>
                <w:color w:val="FFFFFF"/>
                <w:sz w:val="19"/>
                <w:szCs w:val="19"/>
              </w:rPr>
              <w:t xml:space="preserve">范式</w:t>
            </w:r>
          </w:p>
        </w:tc>
        <w:tc>
          <w:tcPr>
            <w:tcW w:type="dxa" w:w="4400"/>
            <w:shd w:fill="1F4E79" w:color="auto" w:val="clear"/>
            <w:tcMar>
              <w:top w:type="dxa" w:w="60"/>
              <w:left w:type="dxa" w:w="100"/>
              <w:bottom w:type="dxa" w:w="60"/>
              <w:right w:type="dxa" w:w="100"/>
            </w:tcMar>
          </w:tcPr>
          <w:p>
            <w:pPr>
              <w:spacing w:after="0" w:line="260"/>
            </w:pPr>
            <w:r>
              <w:rPr>
                <w:b/>
                <w:bCs/>
                <w:color w:val="FFFFFF"/>
                <w:sz w:val="19"/>
                <w:szCs w:val="19"/>
              </w:rPr>
              <w:t xml:space="preserve">核心思想</w:t>
            </w:r>
          </w:p>
        </w:tc>
        <w:tc>
          <w:tcPr>
            <w:tcW w:type="dxa" w:w="2600"/>
            <w:shd w:fill="1F4E79" w:color="auto" w:val="clear"/>
            <w:tcMar>
              <w:top w:type="dxa" w:w="60"/>
              <w:left w:type="dxa" w:w="100"/>
              <w:bottom w:type="dxa" w:w="60"/>
              <w:right w:type="dxa" w:w="100"/>
            </w:tcMar>
          </w:tcPr>
          <w:p>
            <w:pPr>
              <w:spacing w:after="0" w:line="260"/>
            </w:pPr>
            <w:r>
              <w:rPr>
                <w:b/>
                <w:bCs/>
                <w:color w:val="FFFFFF"/>
                <w:sz w:val="19"/>
                <w:szCs w:val="19"/>
              </w:rPr>
              <w:t xml:space="preserve">代表方法</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模仿学习 (IL)</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从人类示教数据中克隆行为，学习观测到动作的映射</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ACT、Diffusion Policy、BC-Z</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强化学习 (RL)</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通过与环境交互和奖励信号优化策略，擅长精细/接触任务</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Residual RL、DPPO、Flow Q-Learning</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大模型迁移</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复用视觉-语言基础模型的语义先验，端到端生成动作</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RT-2、OpenVLA、π₀、GR00T</w:t>
            </w:r>
          </w:p>
        </w:tc>
      </w:tr>
    </w:tbl>
    <w:p>
      <w:pPr>
        <w:spacing w:after="120" w:line="276"/>
        <w:jc w:val="both"/>
      </w:pPr>
      <w:r>
        <w:rPr>
          <w:sz w:val="22"/>
          <w:szCs w:val="22"/>
        </w:rPr>
        <w:t xml:space="preserve">三类范式并非互斥。当前主流做法是以模仿学习为基座、以 VLA 大模型承载跨任务泛化，并用强化学习做在线精调与鲁棒性提升，形成互补的技术栈。</w:t>
      </w:r>
    </w:p>
    <w:p>
      <w:pPr>
        <w:pStyle w:val="Heading2"/>
        <w:spacing w:after="120" w:before="240"/>
      </w:pPr>
      <w:r>
        <w:rPr>
          <w:b/>
          <w:bCs/>
          <w:color w:val="1F4E79"/>
          <w:sz w:val="25"/>
          <w:szCs w:val="25"/>
        </w:rPr>
        <w:t xml:space="preserve">2.3  动作表示：从流水线到端到端</w:t>
      </w:r>
    </w:p>
    <w:p>
      <w:pPr>
        <w:spacing w:after="120" w:line="276"/>
        <w:jc w:val="both"/>
      </w:pPr>
      <w:r>
        <w:rPr>
          <w:sz w:val="22"/>
          <w:szCs w:val="22"/>
        </w:rPr>
        <w:t xml:space="preserve">动作分块（action chunking）已成为现代具身架构的标准范式——ACT、Diffusion Policy 以及各类 VLA 模型均采用它来缓解误差累积并提升推理效率。</w:t>
      </w:r>
      <w:r>
        <w:rPr>
          <w:sz w:val="22"/>
          <w:szCs w:val="22"/>
        </w:rPr>
        <w:t xml:space="preserve">所谓动作块，即一段有限长度的连续动作序列；一次预测多步动作，而非逐步预测单步动作，可显著改善长时序任务的时间一致性。</w:t>
      </w:r>
    </w:p>
    <w:p>
      <w:r>
        <w:br w:type="page"/>
      </w:r>
    </w:p>
    <w:p>
      <w:pPr>
        <w:pStyle w:val="Heading1"/>
        <w:spacing w:after="160" w:before="320"/>
      </w:pPr>
      <w:r>
        <w:rPr>
          <w:b/>
          <w:bCs/>
          <w:color w:val="1F4E79"/>
          <w:sz w:val="30"/>
          <w:szCs w:val="30"/>
        </w:rPr>
        <w:t xml:space="preserve">3  感知与场景表征</w:t>
      </w:r>
    </w:p>
    <w:p>
      <w:pPr>
        <w:spacing w:after="120" w:line="276"/>
        <w:jc w:val="both"/>
      </w:pPr>
      <w:r>
        <w:rPr>
          <w:sz w:val="22"/>
          <w:szCs w:val="22"/>
        </w:rPr>
        <w:t xml:space="preserve">感知是操作的前提。相比早期仅依赖 3D 视觉感知的工作，近年研究系统性地拓展到基于图像的表征、3D 感知技术与触觉感知三条路线。</w:t>
      </w:r>
    </w:p>
    <w:p>
      <w:pPr>
        <w:pStyle w:val="Heading2"/>
        <w:spacing w:after="120" w:before="240"/>
      </w:pPr>
      <w:r>
        <w:rPr>
          <w:b/>
          <w:bCs/>
          <w:color w:val="1F4E79"/>
          <w:sz w:val="25"/>
          <w:szCs w:val="25"/>
        </w:rPr>
        <w:t xml:space="preserve">3.1  视觉表征</w:t>
      </w:r>
    </w:p>
    <w:p>
      <w:pPr>
        <w:spacing w:after="120" w:line="276"/>
        <w:jc w:val="both"/>
      </w:pPr>
      <w:r>
        <w:rPr>
          <w:sz w:val="22"/>
          <w:szCs w:val="22"/>
        </w:rPr>
        <w:t xml:space="preserve">主流 VLA 系统普遍采用基于 Transformer 的视觉编码器（如 ViT、DINOv2）处理工作区的 RGB（及深度/语义）图像，产生定长特征 token 序列。3D 感知则借助点云、体素或神经场（如 D3Field）来建模空间几何，对遮挡与精确对位任务尤为关键。</w:t>
      </w:r>
    </w:p>
    <w:p>
      <w:pPr>
        <w:pStyle w:val="Heading2"/>
        <w:spacing w:after="120" w:before="240"/>
      </w:pPr>
      <w:r>
        <w:rPr>
          <w:b/>
          <w:bCs/>
          <w:color w:val="1F4E79"/>
          <w:sz w:val="25"/>
          <w:szCs w:val="25"/>
        </w:rPr>
        <w:t xml:space="preserve">3.2  触觉与力感知</w:t>
      </w:r>
    </w:p>
    <w:p>
      <w:pPr>
        <w:spacing w:after="120" w:line="276"/>
        <w:jc w:val="both"/>
      </w:pPr>
      <w:r>
        <w:rPr>
          <w:sz w:val="22"/>
          <w:szCs w:val="22"/>
        </w:rPr>
        <w:t xml:space="preserve">对接触密集型任务（装配、插入、可变形物体处理），仅靠视觉不足。近期工作将力/力矩与触觉信息融入策略：Bi-ACT 融合本体感知、力/触觉与视觉特征以实现力调制的模仿；CATCH-FORM-ACTer 嵌入高维触觉-力场与表面形变栅格，联合预测运动与柔顺参数（刚度、阻尼），直接对接柔顺控制回路。</w:t>
      </w:r>
    </w:p>
    <w:p>
      <w:pPr>
        <w:pStyle w:val="Heading2"/>
        <w:spacing w:after="120" w:before="240"/>
      </w:pPr>
      <w:r>
        <w:rPr>
          <w:b/>
          <w:bCs/>
          <w:color w:val="1F4E79"/>
          <w:sz w:val="25"/>
          <w:szCs w:val="25"/>
        </w:rPr>
        <w:t xml:space="preserve">3.3  典型难点：透明与低摩擦物体</w:t>
      </w:r>
    </w:p>
    <w:p>
      <w:pPr>
        <w:spacing w:after="120" w:line="276"/>
        <w:jc w:val="both"/>
      </w:pPr>
      <w:r>
        <w:rPr>
          <w:sz w:val="22"/>
          <w:szCs w:val="22"/>
        </w:rPr>
        <w:t xml:space="preserve">透明物体（玻璃、塑料瓶）的抓取是一个代表性难题。其缺乏显著纹理，加之光的反射与折射，使多数传感器难以准确捕获表面信息，传统视觉系统难以识别与定位；同时透明物体摩擦低，抓取过程中难以稳定操控。这类问题凸显了多模态感知与主动感知的价值。</w:t>
      </w:r>
    </w:p>
    <w:p>
      <w:r>
        <w:br w:type="page"/>
      </w:r>
    </w:p>
    <w:p>
      <w:pPr>
        <w:pStyle w:val="Heading1"/>
        <w:spacing w:after="160" w:before="320"/>
      </w:pPr>
      <w:r>
        <w:rPr>
          <w:b/>
          <w:bCs/>
          <w:color w:val="1F4E79"/>
          <w:sz w:val="30"/>
          <w:szCs w:val="30"/>
        </w:rPr>
        <w:t xml:space="preserve">4  模仿学习与扩散/流策略</w:t>
      </w:r>
    </w:p>
    <w:p>
      <w:pPr>
        <w:spacing w:after="120" w:line="276"/>
        <w:jc w:val="both"/>
      </w:pPr>
      <w:r>
        <w:rPr>
          <w:sz w:val="22"/>
          <w:szCs w:val="22"/>
        </w:rPr>
        <w:t xml:space="preserve">模仿学习是当前样本效率最高、落地最广的操作学习范式。三个架构家族尤为重要。</w:t>
      </w:r>
    </w:p>
    <w:p>
      <w:pPr>
        <w:pStyle w:val="Heading2"/>
        <w:spacing w:after="120" w:before="240"/>
      </w:pPr>
      <w:r>
        <w:rPr>
          <w:b/>
          <w:bCs/>
          <w:color w:val="1F4E79"/>
          <w:sz w:val="25"/>
          <w:szCs w:val="25"/>
        </w:rPr>
        <w:t xml:space="preserve">4.1  ACT：动作分块 Transformer</w:t>
      </w:r>
    </w:p>
    <w:p>
      <w:pPr>
        <w:spacing w:after="120" w:line="276"/>
        <w:jc w:val="both"/>
      </w:pPr>
      <w:r>
        <w:rPr>
          <w:sz w:val="22"/>
          <w:szCs w:val="22"/>
        </w:rPr>
        <w:t xml:space="preserve">ACT（Action Chunking with Transformers）以条件 VAE 加 Transformer 骨干，通过单次前向预测一段时间扩展的动作块，从而实现长时序、时间一致的策略，对机器人操作任务尤其有效。</w:t>
      </w:r>
      <w:r>
        <w:rPr>
          <w:sz w:val="22"/>
          <w:szCs w:val="22"/>
        </w:rPr>
        <w:t xml:space="preserve">其配套的 ALOHA / Mobile ALOHA 低成本双臂遥操作平台，极大降低了双手精细操作数据采集的门槛。</w:t>
      </w:r>
    </w:p>
    <w:p>
      <w:pPr>
        <w:pStyle w:val="Heading2"/>
        <w:spacing w:after="120" w:before="240"/>
      </w:pPr>
      <w:r>
        <w:rPr>
          <w:b/>
          <w:bCs/>
          <w:color w:val="1F4E79"/>
          <w:sz w:val="25"/>
          <w:szCs w:val="25"/>
        </w:rPr>
        <w:t xml:space="preserve">4.2  Diffusion Policy：扩散视觉运动策略</w:t>
      </w:r>
    </w:p>
    <w:p>
      <w:pPr>
        <w:spacing w:after="120" w:line="276"/>
        <w:jc w:val="both"/>
      </w:pPr>
      <w:r>
        <w:rPr>
          <w:sz w:val="22"/>
          <w:szCs w:val="22"/>
        </w:rPr>
        <w:t xml:space="preserve">Diffusion Policy 将机器人的视觉运动策略表示为条件去噪扩散过程，在 4 个操作基准的 12 个任务上取得当时的最先进性能。</w:t>
      </w:r>
      <w:r>
        <w:rPr>
          <w:sz w:val="22"/>
          <w:szCs w:val="22"/>
        </w:rPr>
        <w:t xml:space="preserve">它在仅有少量专家示教的情况下，学会以观测为条件预测一段动作序列，并对扰动表现出良好鲁棒性。其主要缺点是推理速度慢——在每个动作块末尾重新推理会导致执行出现停顿。</w:t>
      </w:r>
    </w:p>
    <w:p>
      <w:pPr>
        <w:spacing w:after="120" w:line="276"/>
        <w:jc w:val="both"/>
      </w:pPr>
      <w:r>
        <w:rPr>
          <w:sz w:val="22"/>
          <w:szCs w:val="22"/>
        </w:rPr>
        <w:t xml:space="preserve">围绕这一瓶颈，出现了 Consistency Policy（一致性蒸馏加速）、闭环重采样（Bidirectional Decoding）以及流匹配的实时执行等改进；3D Diffusion Policy 则引入点云条件以增强空间泛化。</w:t>
      </w:r>
    </w:p>
    <w:p>
      <w:pPr>
        <w:pStyle w:val="Heading2"/>
        <w:spacing w:after="120" w:before="240"/>
      </w:pPr>
      <w:r>
        <w:rPr>
          <w:b/>
          <w:bCs/>
          <w:color w:val="1F4E79"/>
          <w:sz w:val="25"/>
          <w:szCs w:val="25"/>
        </w:rPr>
        <w:t xml:space="preserve">4.3  流匹配与 π₀</w:t>
      </w:r>
    </w:p>
    <w:p>
      <w:pPr>
        <w:spacing w:after="120" w:line="276"/>
        <w:jc w:val="both"/>
      </w:pPr>
      <w:r>
        <w:rPr>
          <w:sz w:val="22"/>
          <w:szCs w:val="22"/>
        </w:rPr>
        <w:t xml:space="preserve">π₀ 由一个 PaliGemma 视觉-语言模型与一个独立的「动作专家」模块组成：VLM 负责场景理解，动作专家通过流匹配（flow matching）生成连续动作，实现了基于动作分块的高频连续控制。这一「VLM 主干 + 动作专家」结构已成为新一代 VLA 的主流设计之一（见第 5 节）。</w:t>
      </w:r>
    </w:p>
    <w:p>
      <w:pPr>
        <w:pStyle w:val="Heading2"/>
        <w:spacing w:after="120" w:before="240"/>
      </w:pPr>
      <w:r>
        <w:rPr>
          <w:b/>
          <w:bCs/>
          <w:color w:val="1F4E79"/>
          <w:sz w:val="25"/>
          <w:szCs w:val="25"/>
        </w:rPr>
        <w:t xml:space="preserve">4.4  鲁棒性对比</w:t>
      </w:r>
    </w:p>
    <w:p>
      <w:pPr>
        <w:spacing w:after="120" w:line="276"/>
        <w:jc w:val="both"/>
      </w:pPr>
      <w:r>
        <w:rPr>
          <w:sz w:val="22"/>
          <w:szCs w:val="22"/>
        </w:rPr>
        <w:t xml:space="preserve">研究发现，同一数据上训练的 ACT 会表现出动作泛化，常产生若干训练动作块的混合；但在分布外（OOD）情形下，ACT 会推断出与训练数据差异很大的失控动作块，鲁棒性不及 Diffusion Policy。而经大规模预训练的通用 VLA（如 GR00T）在 OOD 下既保持动作泛化又维持鲁棒性，这很可能得益于其海量预训练数据。这一对比揭示了「数据规模 → 鲁棒泛化」的关键关系。</w:t>
      </w:r>
    </w:p>
    <w:p>
      <w:r>
        <w:br w:type="page"/>
      </w:r>
    </w:p>
    <w:p>
      <w:pPr>
        <w:pStyle w:val="Heading1"/>
        <w:spacing w:after="160" w:before="320"/>
      </w:pPr>
      <w:r>
        <w:rPr>
          <w:b/>
          <w:bCs/>
          <w:color w:val="1F4E79"/>
          <w:sz w:val="30"/>
          <w:szCs w:val="30"/>
        </w:rPr>
        <w:t xml:space="preserve">5  视觉-语言-动作（VLA）大模型</w:t>
      </w:r>
    </w:p>
    <w:p>
      <w:pPr>
        <w:spacing w:after="120" w:line="276"/>
        <w:jc w:val="both"/>
      </w:pPr>
      <w:r>
        <w:rPr>
          <w:sz w:val="22"/>
          <w:szCs w:val="22"/>
        </w:rPr>
        <w:t xml:space="preserve">VLA 模型代表了操作学习的一次范式转移：在单一端到端框架内统一语言理解、视觉感知与运动控制。它建立在大规模视觉-语言模型之上，直接将高维视觉观测与自然语言指令映射为低层机器人动作，实现直观的人机交互与任务执行。</w:t>
      </w:r>
    </w:p>
    <w:p>
      <w:pPr>
        <w:pStyle w:val="Heading2"/>
        <w:spacing w:after="120" w:before="240"/>
      </w:pPr>
      <w:r>
        <w:rPr>
          <w:b/>
          <w:bCs/>
          <w:color w:val="1F4E79"/>
          <w:sz w:val="25"/>
          <w:szCs w:val="25"/>
        </w:rPr>
        <w:t xml:space="preserve">5.1  发展脉络</w:t>
      </w:r>
    </w:p>
    <w:p>
      <w:pPr>
        <w:spacing w:after="120" w:line="276"/>
        <w:jc w:val="both"/>
      </w:pPr>
      <w:r>
        <w:rPr>
          <w:sz w:val="22"/>
          <w:szCs w:val="22"/>
        </w:rPr>
        <w:t xml:space="preserve">下表梳理了 VLA 的代表性里程碑：</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100"/>
      </w:tblGrid>
      <w:tr>
        <w:trPr>
          <w:tblHeader/>
        </w:trPr>
        <w:tc>
          <w:tcPr>
            <w:tcW w:type="dxa" w:w="2200"/>
            <w:shd w:fill="1F4E79" w:color="auto" w:val="clear"/>
            <w:tcMar>
              <w:top w:type="dxa" w:w="60"/>
              <w:left w:type="dxa" w:w="100"/>
              <w:bottom w:type="dxa" w:w="60"/>
              <w:right w:type="dxa" w:w="100"/>
            </w:tcMar>
          </w:tcPr>
          <w:p>
            <w:pPr>
              <w:spacing w:after="0" w:line="260"/>
            </w:pPr>
            <w:r>
              <w:rPr>
                <w:b/>
                <w:bCs/>
                <w:color w:val="FFFFFF"/>
                <w:sz w:val="19"/>
                <w:szCs w:val="19"/>
              </w:rPr>
              <w:t xml:space="preserve">模型</w:t>
            </w:r>
          </w:p>
        </w:tc>
        <w:tc>
          <w:tcPr>
            <w:tcW w:type="dxa" w:w="1900"/>
            <w:shd w:fill="1F4E79" w:color="auto" w:val="clear"/>
            <w:tcMar>
              <w:top w:type="dxa" w:w="60"/>
              <w:left w:type="dxa" w:w="100"/>
              <w:bottom w:type="dxa" w:w="60"/>
              <w:right w:type="dxa" w:w="100"/>
            </w:tcMar>
          </w:tcPr>
          <w:p>
            <w:pPr>
              <w:spacing w:after="0" w:line="260"/>
            </w:pPr>
            <w:r>
              <w:rPr>
                <w:b/>
                <w:bCs/>
                <w:color w:val="FFFFFF"/>
                <w:sz w:val="19"/>
                <w:szCs w:val="19"/>
              </w:rPr>
              <w:t xml:space="preserve">时间/发布</w:t>
            </w:r>
          </w:p>
        </w:tc>
        <w:tc>
          <w:tcPr>
            <w:tcW w:type="dxa" w:w="5100"/>
            <w:shd w:fill="1F4E79" w:color="auto" w:val="clear"/>
            <w:tcMar>
              <w:top w:type="dxa" w:w="60"/>
              <w:left w:type="dxa" w:w="100"/>
              <w:bottom w:type="dxa" w:w="60"/>
              <w:right w:type="dxa" w:w="100"/>
            </w:tcMar>
          </w:tcPr>
          <w:p>
            <w:pPr>
              <w:spacing w:after="0" w:line="260"/>
            </w:pPr>
            <w:r>
              <w:rPr>
                <w:b/>
                <w:bCs/>
                <w:color w:val="FFFFFF"/>
                <w:sz w:val="19"/>
                <w:szCs w:val="19"/>
              </w:rPr>
              <w:t xml:space="preserve">关键贡献</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RT-1</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2022</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在 13 台机器人、700+ 任务的 13 万真实回合上学习，验证数据规模的价值</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RT-2</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2023</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首个大规模 VLA，将动作离散化为 token，实现互联网规模泛化与涌现技能</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Open X-Embodiment / RT-X</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2023–24</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22 种本体、100 万+ 轨迹，验证跨本体正迁移</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Octo</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2024</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开源通用机器人策略，支持多种本体与传感器配置</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OpenVLA</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2024</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首个完全开源、可商用的 VLA；7B LLM + 强视觉编码器 + 近百万真实示教</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π₀ / π₀.₅</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2024–25</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流匹配动作专家；π₀.₅ 主打开放世界泛化</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GR00T N1</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2025</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面向通用人形机器人的开放基础模型，双系统结构</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Helix / Gemini Robotics</w:t>
            </w:r>
          </w:p>
        </w:tc>
        <w:tc>
          <w:tcPr>
            <w:tcW w:type="dxa" w:w="1900"/>
            <w:tcMar>
              <w:top w:type="dxa" w:w="60"/>
              <w:left w:type="dxa" w:w="100"/>
              <w:bottom w:type="dxa" w:w="60"/>
              <w:right w:type="dxa" w:w="100"/>
            </w:tcMar>
          </w:tcPr>
          <w:p>
            <w:pPr>
              <w:spacing w:after="0" w:line="260"/>
            </w:pPr>
            <w:r>
              <w:rPr>
                <w:b w:val="false"/>
                <w:bCs w:val="false"/>
                <w:color w:val="000000"/>
                <w:sz w:val="19"/>
                <w:szCs w:val="19"/>
              </w:rPr>
              <w:t xml:space="preserve">2025</w:t>
            </w:r>
          </w:p>
        </w:tc>
        <w:tc>
          <w:tcPr>
            <w:tcW w:type="dxa" w:w="5100"/>
            <w:tcMar>
              <w:top w:type="dxa" w:w="60"/>
              <w:left w:type="dxa" w:w="100"/>
              <w:bottom w:type="dxa" w:w="60"/>
              <w:right w:type="dxa" w:w="100"/>
            </w:tcMar>
          </w:tcPr>
          <w:p>
            <w:pPr>
              <w:spacing w:after="0" w:line="260"/>
            </w:pPr>
            <w:r>
              <w:rPr>
                <w:b w:val="false"/>
                <w:bCs w:val="false"/>
                <w:color w:val="000000"/>
                <w:sz w:val="19"/>
                <w:szCs w:val="19"/>
              </w:rPr>
              <w:t xml:space="preserve">System 1/System 2 双系统 VLA，全身控制与强语义推理</w:t>
            </w:r>
          </w:p>
        </w:tc>
      </w:tr>
    </w:tbl>
    <w:p>
      <w:pPr>
        <w:pStyle w:val="Heading2"/>
        <w:spacing w:after="120" w:before="240"/>
      </w:pPr>
      <w:r>
        <w:rPr>
          <w:b/>
          <w:bCs/>
          <w:color w:val="1F4E79"/>
          <w:sz w:val="25"/>
          <w:szCs w:val="25"/>
        </w:rPr>
        <w:t xml:space="preserve">5.2  典型架构</w:t>
      </w:r>
    </w:p>
    <w:p>
      <w:pPr>
        <w:spacing w:after="120" w:line="276"/>
        <w:jc w:val="both"/>
      </w:pPr>
      <w:r>
        <w:rPr>
          <w:sz w:val="22"/>
          <w:szCs w:val="22"/>
        </w:rPr>
        <w:t xml:space="preserve">代表性 VLA 是一个端到端框架，将视觉、语言、本体感知三路编码器统一到单一骨干中直接生成控制指令。RT-2、OpenVLA、Octo 等普遍采用基于 Transformer 的视觉与语言骨干，经跨模态注意力融合。</w:t>
      </w:r>
    </w:p>
    <w:p>
      <w:pPr>
        <w:pStyle w:val="Heading3"/>
        <w:spacing w:after="100" w:before="180"/>
      </w:pPr>
      <w:r>
        <w:rPr>
          <w:b/>
          <w:bCs/>
          <w:color w:val="595959"/>
          <w:sz w:val="22"/>
          <w:szCs w:val="22"/>
        </w:rPr>
        <w:t xml:space="preserve">动作生成的两条路线</w:t>
      </w:r>
    </w:p>
    <w:p>
      <w:pPr>
        <w:pStyle w:val="ListParagraph"/>
        <w:numPr>
          <w:ilvl w:val="0"/>
          <w:numId w:val="2"/>
        </w:numPr>
        <w:spacing w:after="80" w:line="276"/>
        <w:jc w:val="both"/>
      </w:pPr>
      <w:r>
        <w:rPr>
          <w:b/>
          <w:bCs/>
          <w:sz w:val="22"/>
          <w:szCs w:val="22"/>
        </w:rPr>
        <w:t xml:space="preserve">离散 token 自回归：</w:t>
      </w:r>
      <w:r>
        <w:rPr>
          <w:sz w:val="22"/>
          <w:szCs w:val="22"/>
        </w:rPr>
        <w:t xml:space="preserve">RT-2 将机器人动作离散化为 256 个 token，像文本一样用「下一 token 预测」生成；OpenVLA 沿用类似离散化，在 Open X-Embodiment 上微调 Prismatic VLM。优点是复用 LLM 架构与训练范式，缺点是离散化损失精度、频率受限。</w:t>
      </w:r>
    </w:p>
    <w:p>
      <w:pPr>
        <w:pStyle w:val="ListParagraph"/>
        <w:numPr>
          <w:ilvl w:val="0"/>
          <w:numId w:val="2"/>
        </w:numPr>
        <w:spacing w:after="80" w:line="276"/>
        <w:jc w:val="both"/>
      </w:pPr>
      <w:r>
        <w:rPr>
          <w:b/>
          <w:bCs/>
          <w:sz w:val="22"/>
          <w:szCs w:val="22"/>
        </w:rPr>
        <w:t xml:space="preserve">连续动作专家（扩散/流匹配）：</w:t>
      </w:r>
      <w:r>
        <w:rPr>
          <w:sz w:val="22"/>
          <w:szCs w:val="22"/>
        </w:rPr>
        <w:t xml:space="preserve">π 系列引入基于流匹配的动作分块架构；HybridVLA 则在统一模型中协同扩散与自回归。此路线利于高频连续控制与精细操作。</w:t>
      </w:r>
    </w:p>
    <w:p>
      <w:pPr>
        <w:pStyle w:val="Heading2"/>
        <w:spacing w:after="120" w:before="240"/>
      </w:pPr>
      <w:r>
        <w:rPr>
          <w:b/>
          <w:bCs/>
          <w:color w:val="1F4E79"/>
          <w:sz w:val="25"/>
          <w:szCs w:val="25"/>
        </w:rPr>
        <w:t xml:space="preserve">5.3  效率与轻量化</w:t>
      </w:r>
    </w:p>
    <w:p>
      <w:pPr>
        <w:spacing w:after="120" w:line="276"/>
        <w:jc w:val="both"/>
      </w:pPr>
      <w:r>
        <w:rPr>
          <w:sz w:val="22"/>
          <w:szCs w:val="22"/>
        </w:rPr>
        <w:t xml:space="preserve">大模型推理成本高，催生了一批轻量化工作：TinyVLA 面向快速、数据高效的操作；SmolVLA 基于 SmolVLM，可在消费级 GPU 上运行；OpenVLA-OFT 通过优化微调同时提升速度与成功率。此外，双系统设计（快速反应的 System 1 + 慢速推理的 System 2）成为兼顾实时性与推理能力的重要思路。</w:t>
      </w:r>
    </w:p>
    <w:p>
      <w:pPr>
        <w:pStyle w:val="Heading2"/>
        <w:spacing w:after="120" w:before="240"/>
      </w:pPr>
      <w:r>
        <w:rPr>
          <w:b/>
          <w:bCs/>
          <w:color w:val="1F4E79"/>
          <w:sz w:val="25"/>
          <w:szCs w:val="25"/>
        </w:rPr>
        <w:t xml:space="preserve">5.4  与强化学习结合</w:t>
      </w:r>
    </w:p>
    <w:p>
      <w:pPr>
        <w:spacing w:after="120" w:line="276"/>
        <w:jc w:val="both"/>
      </w:pPr>
      <w:r>
        <w:rPr>
          <w:sz w:val="22"/>
          <w:szCs w:val="22"/>
        </w:rPr>
        <w:t xml:space="preserve">为进一步提升泛化与成功率，VLA-RL、PI-RL 等将强化学习与 VLA 结合，在模仿预训练基础上进行在线精调。这既缓解了纯模仿对示教分布的依赖，也提升了在接触密集任务上的可靠性。</w:t>
      </w:r>
    </w:p>
    <w:p>
      <w:r>
        <w:br w:type="page"/>
      </w:r>
    </w:p>
    <w:p>
      <w:pPr>
        <w:pStyle w:val="Heading1"/>
        <w:spacing w:after="160" w:before="320"/>
      </w:pPr>
      <w:r>
        <w:rPr>
          <w:b/>
          <w:bCs/>
          <w:color w:val="1F4E79"/>
          <w:sz w:val="30"/>
          <w:szCs w:val="30"/>
        </w:rPr>
        <w:t xml:space="preserve">6  强化学习与数据引擎</w:t>
      </w:r>
    </w:p>
    <w:p>
      <w:pPr>
        <w:pStyle w:val="Heading2"/>
        <w:spacing w:after="120" w:before="240"/>
      </w:pPr>
      <w:r>
        <w:rPr>
          <w:b/>
          <w:bCs/>
          <w:color w:val="1F4E79"/>
          <w:sz w:val="25"/>
          <w:szCs w:val="25"/>
        </w:rPr>
        <w:t xml:space="preserve">6.1  面向精细操作的强化学习</w:t>
      </w:r>
    </w:p>
    <w:p>
      <w:pPr>
        <w:spacing w:after="120" w:line="276"/>
        <w:jc w:val="both"/>
      </w:pPr>
      <w:r>
        <w:rPr>
          <w:sz w:val="22"/>
          <w:szCs w:val="22"/>
        </w:rPr>
        <w:t xml:space="preserve">在装配、插入等高精度接触任务中，纯模仿往往不足。残差强化学习（Residual RL，如 From Imitation to Refinement）在模仿策略之上叠加可学习的修正量，用少量在线交互「打磨」出高精度；Diffusion Policy Policy Optimization（DPPO）与 Flow Q-Learning 则探索直接优化扩散/流策略。面向长时序稀疏奖励，也出现了以连续动作块为单元的 actor-critic 框架。</w:t>
      </w:r>
    </w:p>
    <w:p>
      <w:pPr>
        <w:pStyle w:val="Heading2"/>
        <w:spacing w:after="120" w:before="240"/>
      </w:pPr>
      <w:r>
        <w:rPr>
          <w:b/>
          <w:bCs/>
          <w:color w:val="1F4E79"/>
          <w:sz w:val="25"/>
          <w:szCs w:val="25"/>
        </w:rPr>
        <w:t xml:space="preserve">6.2  数据引擎：合成与增强</w:t>
      </w:r>
    </w:p>
    <w:p>
      <w:pPr>
        <w:spacing w:after="120" w:line="276"/>
        <w:jc w:val="both"/>
      </w:pPr>
      <w:r>
        <w:rPr>
          <w:sz w:val="22"/>
          <w:szCs w:val="22"/>
        </w:rPr>
        <w:t xml:space="preserve">真实机器人数据采集昂贵，数据引擎因此成为焦点。MimicGen 从少量人类示教自动生成大规模训练数据；RoboAgent 通过语义增强与动作分块提升泛化与效率；面向动态任务的 DynaMimicGen、以及基于扩展现实的数据引擎（如 Lucid-XR）进一步扩大了数据来源。这些方法与真实数据集互补，共同支撑大模型预训练。</w:t>
      </w:r>
    </w:p>
    <w:p>
      <w:r>
        <w:br w:type="page"/>
      </w:r>
    </w:p>
    <w:p>
      <w:pPr>
        <w:pStyle w:val="Heading1"/>
        <w:spacing w:after="160" w:before="320"/>
      </w:pPr>
      <w:r>
        <w:rPr>
          <w:b/>
          <w:bCs/>
          <w:color w:val="1F4E79"/>
          <w:sz w:val="30"/>
          <w:szCs w:val="30"/>
        </w:rPr>
        <w:t xml:space="preserve">7  数据集与基准</w:t>
      </w:r>
    </w:p>
    <w:p>
      <w:pPr>
        <w:pStyle w:val="Heading2"/>
        <w:spacing w:after="120" w:before="240"/>
      </w:pPr>
      <w:r>
        <w:rPr>
          <w:b/>
          <w:bCs/>
          <w:color w:val="1F4E79"/>
          <w:sz w:val="25"/>
          <w:szCs w:val="25"/>
        </w:rPr>
        <w:t xml:space="preserve">7.1  大规模真实数据集</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shd w:fill="1F4E79" w:color="auto" w:val="clear"/>
            <w:tcMar>
              <w:top w:type="dxa" w:w="60"/>
              <w:left w:type="dxa" w:w="100"/>
              <w:bottom w:type="dxa" w:w="60"/>
              <w:right w:type="dxa" w:w="100"/>
            </w:tcMar>
          </w:tcPr>
          <w:p>
            <w:pPr>
              <w:spacing w:after="0" w:line="260"/>
            </w:pPr>
            <w:r>
              <w:rPr>
                <w:b/>
                <w:bCs/>
                <w:color w:val="FFFFFF"/>
                <w:sz w:val="19"/>
                <w:szCs w:val="19"/>
              </w:rPr>
              <w:t xml:space="preserve">数据集</w:t>
            </w:r>
          </w:p>
        </w:tc>
        <w:tc>
          <w:tcPr>
            <w:tcW w:type="dxa" w:w="2600"/>
            <w:shd w:fill="1F4E79" w:color="auto" w:val="clear"/>
            <w:tcMar>
              <w:top w:type="dxa" w:w="60"/>
              <w:left w:type="dxa" w:w="100"/>
              <w:bottom w:type="dxa" w:w="60"/>
              <w:right w:type="dxa" w:w="100"/>
            </w:tcMar>
          </w:tcPr>
          <w:p>
            <w:pPr>
              <w:spacing w:after="0" w:line="260"/>
            </w:pPr>
            <w:r>
              <w:rPr>
                <w:b/>
                <w:bCs/>
                <w:color w:val="FFFFFF"/>
                <w:sz w:val="19"/>
                <w:szCs w:val="19"/>
              </w:rPr>
              <w:t xml:space="preserve">规模</w:t>
            </w:r>
          </w:p>
        </w:tc>
        <w:tc>
          <w:tcPr>
            <w:tcW w:type="dxa" w:w="4400"/>
            <w:shd w:fill="1F4E79" w:color="auto" w:val="clear"/>
            <w:tcMar>
              <w:top w:type="dxa" w:w="60"/>
              <w:left w:type="dxa" w:w="100"/>
              <w:bottom w:type="dxa" w:w="60"/>
              <w:right w:type="dxa" w:w="100"/>
            </w:tcMar>
          </w:tcPr>
          <w:p>
            <w:pPr>
              <w:spacing w:after="0" w:line="260"/>
            </w:pPr>
            <w:r>
              <w:rPr>
                <w:b/>
                <w:bCs/>
                <w:color w:val="FFFFFF"/>
                <w:sz w:val="19"/>
                <w:szCs w:val="19"/>
              </w:rPr>
              <w:t xml:space="preserve">特点</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Open X-Embodiment</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100 万+ 轨迹，22 种本体，527 技能</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跨机构聚合，RLDS 格式，VLA 预训练首选</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DROID</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7.6 万轨迹，约 350 小时，564 场景</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野外采集，Franka + Robotiq，三路立体相机，众包语言标注</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BridgeData V2</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多场景可扩展采集</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常用于模仿与扩散策略训练</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RT-1 (Fractal)</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13 万真实回合</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Google Robot 平台，单臂桌面操作</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AgiBot World</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约 2,400 小时</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AgiBot G1 双臂人形平台，含细/粗粒度标注</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RoboMIND / 2.0</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多本体大规模</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覆盖 Franka、UR5、AgileX、人形等 4–6 种本体</w:t>
            </w:r>
          </w:p>
        </w:tc>
      </w:tr>
      <w:tr>
        <w:tc>
          <w:tcPr>
            <w:tcW w:type="dxa" w:w="2200"/>
            <w:tcMar>
              <w:top w:type="dxa" w:w="60"/>
              <w:left w:type="dxa" w:w="100"/>
              <w:bottom w:type="dxa" w:w="60"/>
              <w:right w:type="dxa" w:w="100"/>
            </w:tcMar>
          </w:tcPr>
          <w:p>
            <w:pPr>
              <w:spacing w:after="0" w:line="260"/>
            </w:pPr>
            <w:r>
              <w:rPr>
                <w:b w:val="false"/>
                <w:bCs w:val="false"/>
                <w:color w:val="000000"/>
                <w:sz w:val="19"/>
                <w:szCs w:val="19"/>
              </w:rPr>
              <w:t xml:space="preserve">Galaxea Open-World</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约 500 小时，150 任务</w:t>
            </w:r>
          </w:p>
        </w:tc>
        <w:tc>
          <w:tcPr>
            <w:tcW w:type="dxa" w:w="4400"/>
            <w:tcMar>
              <w:top w:type="dxa" w:w="60"/>
              <w:left w:type="dxa" w:w="100"/>
              <w:bottom w:type="dxa" w:w="60"/>
              <w:right w:type="dxa" w:w="100"/>
            </w:tcMar>
          </w:tcPr>
          <w:p>
            <w:pPr>
              <w:spacing w:after="0" w:line="260"/>
            </w:pPr>
            <w:r>
              <w:rPr>
                <w:b w:val="false"/>
                <w:bCs w:val="false"/>
                <w:color w:val="000000"/>
                <w:sz w:val="19"/>
                <w:szCs w:val="19"/>
              </w:rPr>
              <w:t xml:space="preserve">双臂移动操作，1,600+ 独特物体</w:t>
            </w:r>
          </w:p>
        </w:tc>
      </w:tr>
    </w:tbl>
    <w:p>
      <w:pPr>
        <w:spacing w:after="120" w:line="276"/>
        <w:jc w:val="both"/>
      </w:pPr>
      <w:r>
        <w:rPr>
          <w:sz w:val="22"/>
          <w:szCs w:val="22"/>
        </w:rPr>
        <w:t xml:space="preserve">一个重要经验发现是本体缩放律：在固定轨迹总量下，增加训练本体的种类比单纯增加单一本体的轨迹数更能带来有效泛化。这为数据采集策略提供了指导。</w:t>
      </w:r>
    </w:p>
    <w:p>
      <w:pPr>
        <w:pStyle w:val="Heading2"/>
        <w:spacing w:after="120" w:before="240"/>
      </w:pPr>
      <w:r>
        <w:rPr>
          <w:b/>
          <w:bCs/>
          <w:color w:val="1F4E79"/>
          <w:sz w:val="25"/>
          <w:szCs w:val="25"/>
        </w:rPr>
        <w:t xml:space="preserve">7.2  仿真基准</w:t>
      </w:r>
    </w:p>
    <w:p>
      <w:pPr>
        <w:spacing w:after="120" w:line="276"/>
        <w:jc w:val="both"/>
      </w:pPr>
      <w:r>
        <w:rPr>
          <w:sz w:val="22"/>
          <w:szCs w:val="22"/>
        </w:rPr>
        <w:t xml:space="preserve">常用仿真与评测平台包括 ManiSkill、RLBench、CALVIN、Colosseum（评估泛化）、RoboTwin（双臂协作）、VLABench（长时序语言条件任务）与 VLA-Arena（VLA 统一评测）等。以 CVPR 2025 RoboTwin 双臂挑战赛为例，赛事基于 RoboTwin 仿真平台与 AgileX COBOT-Magic 真机，覆盖刚性、可变形、触觉三类共 17 项双臂任务，吸引 64 支队伍、400+ 参赛者，产出了 SEM、AnchorDP3 等优秀方案，反映出可泛化双臂策略学习正成为热点。</w:t>
      </w:r>
    </w:p>
    <w:p>
      <w:r>
        <w:br w:type="page"/>
      </w:r>
    </w:p>
    <w:p>
      <w:pPr>
        <w:pStyle w:val="Heading1"/>
        <w:spacing w:after="160" w:before="320"/>
      </w:pPr>
      <w:r>
        <w:rPr>
          <w:b/>
          <w:bCs/>
          <w:color w:val="1F4E79"/>
          <w:sz w:val="30"/>
          <w:szCs w:val="30"/>
        </w:rPr>
        <w:t xml:space="preserve">8  仿真到真实（Sim-to-Real）迁移</w:t>
      </w:r>
    </w:p>
    <w:p>
      <w:pPr>
        <w:spacing w:after="120" w:line="276"/>
        <w:jc w:val="both"/>
      </w:pPr>
      <w:r>
        <w:rPr>
          <w:sz w:val="22"/>
          <w:szCs w:val="22"/>
        </w:rPr>
        <w:t xml:space="preserve">仿真提供了低成本、可并行、可复现的训练与评测环境，但仿真与真实之间存在感知与动力学的「现实鸿沟」。主流缓解手段包括域随机化（随机化纹理、光照、物理参数以覆盖真实分布）、真实到仿真的数字孪生标定，以及在仿真中评估真实策略的方法（如 SIMPLER）。REALM 等真实到仿真验证基准进一步用于衡量操作策略的泛化。</w:t>
      </w:r>
    </w:p>
    <w:p>
      <w:pPr>
        <w:spacing w:after="120" w:line="276"/>
        <w:jc w:val="both"/>
      </w:pPr>
      <w:r>
        <w:rPr>
          <w:sz w:val="22"/>
          <w:szCs w:val="22"/>
        </w:rPr>
        <w:t xml:space="preserve">值得注意的是，大规模真机预训练正在部分改变这一格局：当 VLA 在海量真实跨本体数据上预训练后，其对 OOD 的鲁棒性显著增强，从而降低了对精细仿真标定的依赖。仿真与真实数据由此走向互补而非替代。</w:t>
      </w:r>
    </w:p>
    <w:p>
      <w:r>
        <w:br w:type="page"/>
      </w:r>
    </w:p>
    <w:p>
      <w:pPr>
        <w:pStyle w:val="Heading1"/>
        <w:spacing w:after="160" w:before="320"/>
      </w:pPr>
      <w:r>
        <w:rPr>
          <w:b/>
          <w:bCs/>
          <w:color w:val="1F4E79"/>
          <w:sz w:val="30"/>
          <w:szCs w:val="30"/>
        </w:rPr>
        <w:t xml:space="preserve">9  挑战与未来方向</w:t>
      </w:r>
    </w:p>
    <w:p>
      <w:pPr>
        <w:pStyle w:val="Heading3"/>
        <w:spacing w:after="100" w:before="180"/>
      </w:pPr>
      <w:r>
        <w:rPr>
          <w:b/>
          <w:bCs/>
          <w:color w:val="595959"/>
          <w:sz w:val="22"/>
          <w:szCs w:val="22"/>
        </w:rPr>
        <w:t xml:space="preserve">9.1  泛化与鲁棒性</w:t>
      </w:r>
    </w:p>
    <w:p>
      <w:pPr>
        <w:spacing w:after="120" w:line="276"/>
        <w:jc w:val="both"/>
      </w:pPr>
      <w:r>
        <w:rPr>
          <w:sz w:val="22"/>
          <w:szCs w:val="22"/>
        </w:rPr>
        <w:t xml:space="preserve">跨物体、跨场景、跨本体的稳定泛化仍是核心难题。分布外场景下的失控行为、对光照与背景变化的敏感性，都需要更强的表征与更大规模、更高多样性的数据支撑。</w:t>
      </w:r>
    </w:p>
    <w:p>
      <w:pPr>
        <w:pStyle w:val="Heading3"/>
        <w:spacing w:after="100" w:before="180"/>
      </w:pPr>
      <w:r>
        <w:rPr>
          <w:b/>
          <w:bCs/>
          <w:color w:val="595959"/>
          <w:sz w:val="22"/>
          <w:szCs w:val="22"/>
        </w:rPr>
        <w:t xml:space="preserve">9.2  数据瓶颈与数据引擎</w:t>
      </w:r>
    </w:p>
    <w:p>
      <w:pPr>
        <w:spacing w:after="120" w:line="276"/>
        <w:jc w:val="both"/>
      </w:pPr>
      <w:r>
        <w:rPr>
          <w:sz w:val="22"/>
          <w:szCs w:val="22"/>
        </w:rPr>
        <w:t xml:space="preserve">真机数据采集昂贵，遥操作难以规模化。合成数据、人类第一视角视频、跨本体聚合与自动数据生成（数据引擎）是突破瓶颈的关键，但合成到真实的分布匹配仍需解决。</w:t>
      </w:r>
    </w:p>
    <w:p>
      <w:pPr>
        <w:pStyle w:val="Heading3"/>
        <w:spacing w:after="100" w:before="180"/>
      </w:pPr>
      <w:r>
        <w:rPr>
          <w:b/>
          <w:bCs/>
          <w:color w:val="595959"/>
          <w:sz w:val="22"/>
          <w:szCs w:val="22"/>
        </w:rPr>
        <w:t xml:space="preserve">9.3  实时性与效率</w:t>
      </w:r>
    </w:p>
    <w:p>
      <w:pPr>
        <w:spacing w:after="120" w:line="276"/>
        <w:jc w:val="both"/>
      </w:pPr>
      <w:r>
        <w:rPr>
          <w:sz w:val="22"/>
          <w:szCs w:val="22"/>
        </w:rPr>
        <w:t xml:space="preserve">扩散/大模型推理慢，制约高频闭环控制。蒸馏、流匹配实时执行、双系统架构与轻量化 VLA 是重要方向。</w:t>
      </w:r>
    </w:p>
    <w:p>
      <w:pPr>
        <w:pStyle w:val="Heading3"/>
        <w:spacing w:after="100" w:before="180"/>
      </w:pPr>
      <w:r>
        <w:rPr>
          <w:b/>
          <w:bCs/>
          <w:color w:val="595959"/>
          <w:sz w:val="22"/>
          <w:szCs w:val="22"/>
        </w:rPr>
        <w:t xml:space="preserve">9.4  接触密集与灵巧操作</w:t>
      </w:r>
    </w:p>
    <w:p>
      <w:pPr>
        <w:spacing w:after="120" w:line="276"/>
        <w:jc w:val="both"/>
      </w:pPr>
      <w:r>
        <w:rPr>
          <w:sz w:val="22"/>
          <w:szCs w:val="22"/>
        </w:rPr>
        <w:t xml:space="preserve">装配、插入、可变形物体处理和多指灵巧手操作对力/触觉反馈与柔顺控制要求高。多模态融合（视觉+力+触觉）与柔顺策略学习仍不成熟。</w:t>
      </w:r>
    </w:p>
    <w:p>
      <w:pPr>
        <w:pStyle w:val="Heading3"/>
        <w:spacing w:after="100" w:before="180"/>
      </w:pPr>
      <w:r>
        <w:rPr>
          <w:b/>
          <w:bCs/>
          <w:color w:val="595959"/>
          <w:sz w:val="22"/>
          <w:szCs w:val="22"/>
        </w:rPr>
        <w:t xml:space="preserve">9.5  长时序推理与安全</w:t>
      </w:r>
    </w:p>
    <w:p>
      <w:pPr>
        <w:spacing w:after="120" w:line="276"/>
        <w:jc w:val="both"/>
      </w:pPr>
      <w:r>
        <w:rPr>
          <w:sz w:val="22"/>
          <w:szCs w:val="22"/>
        </w:rPr>
        <w:t xml:space="preserve">长时序、多阶段任务需要高层语义推理与低层控制的紧密耦合；同时，具身推理的「真实性」、失败检测与自我反思、以及物理可行性约束（如 PhysReflect-VLA 类工作）对可靠部署至关重要。</w:t>
      </w:r>
    </w:p>
    <w:p>
      <w:pPr>
        <w:pStyle w:val="Heading3"/>
        <w:spacing w:after="100" w:before="180"/>
      </w:pPr>
      <w:r>
        <w:rPr>
          <w:b/>
          <w:bCs/>
          <w:color w:val="595959"/>
          <w:sz w:val="22"/>
          <w:szCs w:val="22"/>
        </w:rPr>
        <w:t xml:space="preserve">9.6  统一评测</w:t>
      </w:r>
    </w:p>
    <w:p>
      <w:pPr>
        <w:spacing w:after="120" w:line="276"/>
        <w:jc w:val="both"/>
      </w:pPr>
      <w:r>
        <w:rPr>
          <w:sz w:val="22"/>
          <w:szCs w:val="22"/>
        </w:rPr>
        <w:t xml:space="preserve">当前基准碎片化，真机评测成本高、可复现性差。建立跨方法、跨本体、真仿一致的统一评测标准，是领域健康发展的基础设施需求。</w:t>
      </w:r>
    </w:p>
    <w:p>
      <w:pPr>
        <w:spacing w:before="200"/>
      </w:pPr>
    </w:p>
    <w:p>
      <w:pPr>
        <w:pStyle w:val="Heading2"/>
        <w:spacing w:after="120" w:before="240"/>
      </w:pPr>
      <w:r>
        <w:rPr>
          <w:b/>
          <w:bCs/>
          <w:color w:val="1F4E79"/>
          <w:sz w:val="25"/>
          <w:szCs w:val="25"/>
        </w:rPr>
        <w:t xml:space="preserve">9.7  小结</w:t>
      </w:r>
    </w:p>
    <w:p>
      <w:pPr>
        <w:spacing w:after="120" w:line="276"/>
        <w:jc w:val="both"/>
      </w:pPr>
      <w:r>
        <w:rPr>
          <w:sz w:val="22"/>
          <w:szCs w:val="22"/>
        </w:rPr>
        <w:t xml:space="preserve">机械臂具身操作正沿着「模块化流水线 → 端到端模仿 → 通用 VLA 大模型」的路径快速演进。扩散/流策略解决了多模态动作生成，VLA 大模型带来了语义泛化，跨本体数据集与数据引擎提供了燃料。未来的突破点，将集中在数据规模化、实时高效推理、多模态接触感知与统一评测这四条主线上，最终指向能在开放世界中可靠、通用、安全地完成操作任务的具身智能体。</w:t>
      </w:r>
    </w:p>
    <w:p>
      <w:r>
        <w:br w:type="page"/>
      </w:r>
    </w:p>
    <w:p>
      <w:pPr>
        <w:pStyle w:val="Heading1"/>
        <w:spacing w:after="160" w:before="320"/>
      </w:pPr>
      <w:r>
        <w:rPr>
          <w:b/>
          <w:bCs/>
          <w:color w:val="1F4E79"/>
          <w:sz w:val="30"/>
          <w:szCs w:val="30"/>
        </w:rPr>
        <w:t xml:space="preserve">主要参考文献（精选）</w:t>
      </w:r>
    </w:p>
    <w:p>
      <w:pPr>
        <w:spacing w:after="100" w:line="260"/>
        <w:jc w:val="both"/>
      </w:pPr>
      <w:r>
        <w:rPr>
          <w:sz w:val="20"/>
          <w:szCs w:val="20"/>
        </w:rPr>
        <w:t xml:space="preserve">[1]  Zheng Y., et al. A Survey of Embodied Learning for Object-centric Robotic Manipulation. Machine Intelligence Research, 22(4): 588–626, 2025.</w:t>
      </w:r>
    </w:p>
    <w:p>
      <w:pPr>
        <w:spacing w:after="100" w:line="260"/>
        <w:jc w:val="both"/>
      </w:pPr>
      <w:r>
        <w:rPr>
          <w:sz w:val="20"/>
          <w:szCs w:val="20"/>
        </w:rPr>
        <w:t xml:space="preserve">[2]  Brohan A., et al. RT-2: Vision-Language-Action Models Transfer Web Knowledge to Robotic Control. CoRL, 2023.</w:t>
      </w:r>
    </w:p>
    <w:p>
      <w:pPr>
        <w:spacing w:after="100" w:line="260"/>
        <w:jc w:val="both"/>
      </w:pPr>
      <w:r>
        <w:rPr>
          <w:sz w:val="20"/>
          <w:szCs w:val="20"/>
        </w:rPr>
        <w:t xml:space="preserve">[3]  Kim M., et al. OpenVLA: An Open-Source Vision-Language-Action Model. CoRL, 2024.</w:t>
      </w:r>
    </w:p>
    <w:p>
      <w:pPr>
        <w:spacing w:after="100" w:line="260"/>
        <w:jc w:val="both"/>
      </w:pPr>
      <w:r>
        <w:rPr>
          <w:sz w:val="20"/>
          <w:szCs w:val="20"/>
        </w:rPr>
        <w:t xml:space="preserve">[4]  Black K., et al. π₀: A Vision-Language-Action Flow Model for General Robot Control. RSS, 2025.</w:t>
      </w:r>
    </w:p>
    <w:p>
      <w:pPr>
        <w:spacing w:after="100" w:line="260"/>
        <w:jc w:val="both"/>
      </w:pPr>
      <w:r>
        <w:rPr>
          <w:sz w:val="20"/>
          <w:szCs w:val="20"/>
        </w:rPr>
        <w:t xml:space="preserve">[5]  Black K., et al. π₀.₅: A Vision-Language-Action Model with Open-World Generalization. CoRL, 2025.</w:t>
      </w:r>
    </w:p>
    <w:p>
      <w:pPr>
        <w:spacing w:after="100" w:line="260"/>
        <w:jc w:val="both"/>
      </w:pPr>
      <w:r>
        <w:rPr>
          <w:sz w:val="20"/>
          <w:szCs w:val="20"/>
        </w:rPr>
        <w:t xml:space="preserve">[6]  Chi C., et al. Diffusion Policy: Visuomotor Policy Learning via Action Diffusion. RSS / IJRR, 2023–2024.</w:t>
      </w:r>
    </w:p>
    <w:p>
      <w:pPr>
        <w:spacing w:after="100" w:line="260"/>
        <w:jc w:val="both"/>
      </w:pPr>
      <w:r>
        <w:rPr>
          <w:sz w:val="20"/>
          <w:szCs w:val="20"/>
        </w:rPr>
        <w:t xml:space="preserve">[7]  Zhao T. Z., et al. Learning Fine-Grained Bimanual Manipulation with Low-Cost Hardware (ACT / ALOHA). RSS, 2023.</w:t>
      </w:r>
    </w:p>
    <w:p>
      <w:pPr>
        <w:spacing w:after="100" w:line="260"/>
        <w:jc w:val="both"/>
      </w:pPr>
      <w:r>
        <w:rPr>
          <w:sz w:val="20"/>
          <w:szCs w:val="20"/>
        </w:rPr>
        <w:t xml:space="preserve">[8]  Fu Z., Zhao T. Z., Finn C. Mobile ALOHA. CoRL, 2024.</w:t>
      </w:r>
    </w:p>
    <w:p>
      <w:pPr>
        <w:spacing w:after="100" w:line="260"/>
        <w:jc w:val="both"/>
      </w:pPr>
      <w:r>
        <w:rPr>
          <w:sz w:val="20"/>
          <w:szCs w:val="20"/>
        </w:rPr>
        <w:t xml:space="preserve">[9]  Octo Model Team. Octo: An Open-Source Generalist Robot Policy. 2024.</w:t>
      </w:r>
    </w:p>
    <w:p>
      <w:pPr>
        <w:spacing w:after="100" w:line="260"/>
        <w:jc w:val="both"/>
      </w:pPr>
      <w:r>
        <w:rPr>
          <w:sz w:val="20"/>
          <w:szCs w:val="20"/>
        </w:rPr>
        <w:t xml:space="preserve">[10]  O'Neill A., et al. (Open X-Embodiment Collaboration). Open X-Embodiment: Robotic Learning Datasets and RT-X Models. ICRA, 2024.</w:t>
      </w:r>
    </w:p>
    <w:p>
      <w:pPr>
        <w:spacing w:after="100" w:line="260"/>
        <w:jc w:val="both"/>
      </w:pPr>
      <w:r>
        <w:rPr>
          <w:sz w:val="20"/>
          <w:szCs w:val="20"/>
        </w:rPr>
        <w:t xml:space="preserve">[11]  Khazatsky A., et al. DROID: A Large-Scale In-the-Wild Robot Manipulation Dataset. 2024.</w:t>
      </w:r>
    </w:p>
    <w:p>
      <w:pPr>
        <w:spacing w:after="100" w:line="260"/>
        <w:jc w:val="both"/>
      </w:pPr>
      <w:r>
        <w:rPr>
          <w:sz w:val="20"/>
          <w:szCs w:val="20"/>
        </w:rPr>
        <w:t xml:space="preserve">[12]  NVIDIA. GR00T N1: An Open Foundation Model for Generalist Humanoid Robots. 2025.</w:t>
      </w:r>
    </w:p>
    <w:p>
      <w:pPr>
        <w:spacing w:after="100" w:line="260"/>
        <w:jc w:val="both"/>
      </w:pPr>
      <w:r>
        <w:rPr>
          <w:sz w:val="20"/>
          <w:szCs w:val="20"/>
        </w:rPr>
        <w:t xml:space="preserve">[13]  Mandlekar A., et al. MimicGen: A Data Generation System for Scalable Robot Learning. CoRL, 2023.</w:t>
      </w:r>
    </w:p>
    <w:p>
      <w:pPr>
        <w:spacing w:after="100" w:line="260"/>
        <w:jc w:val="both"/>
      </w:pPr>
      <w:r>
        <w:rPr>
          <w:sz w:val="20"/>
          <w:szCs w:val="20"/>
        </w:rPr>
        <w:t xml:space="preserve">[14]  RoboTwin Dual-Arm Collaboration Challenge, CVPR 2025 MEIS Workshop. arXiv:2506.23351.</w:t>
      </w:r>
    </w:p>
    <w:p>
      <w:pPr>
        <w:spacing w:before="240"/>
      </w:pPr>
      <w:r>
        <w:rPr>
          <w:i/>
          <w:iCs/>
          <w:color w:val="595959"/>
          <w:sz w:val="19"/>
          <w:szCs w:val="19"/>
        </w:rPr>
        <w:t xml:space="preserve">说明：本综述基于公开文献整理，旨在提供领域全景。部分模型的具体数据与时间以原始论文为准；建议结合各方法的开源代码库与最新预印本进一步核实。</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第 </w:t>
      <w:fldChar w:fldCharType="begin"/>
      <w:instrText xml:space="preserve">PAGE</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机械臂具身操作研究综述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2026-07-02T13:16:33.215Z</dcterms:created>
  <dcterms:modified xsi:type="dcterms:W3CDTF">2026-07-02T13:16:33.230Z</dcterms:modified>
</cp:coreProperties>
</file>

<file path=docProps/custom.xml><?xml version="1.0" encoding="utf-8"?>
<Properties xmlns="http://schemas.openxmlformats.org/officeDocument/2006/custom-properties" xmlns:vt="http://schemas.openxmlformats.org/officeDocument/2006/docPropsVTypes"/>
</file>