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F019C" w14:textId="3994C128" w:rsidR="0062522F" w:rsidRDefault="00477DFB" w:rsidP="00214D09">
      <w:pPr>
        <w:jc w:val="center"/>
        <w:rPr>
          <w:rFonts w:ascii="黑体" w:eastAsia="黑体" w:hAnsi="黑体" w:hint="eastAsia"/>
          <w:b/>
          <w:bCs/>
          <w:sz w:val="48"/>
          <w:szCs w:val="48"/>
        </w:rPr>
      </w:pPr>
      <w:r>
        <w:rPr>
          <w:rFonts w:hint="eastAsia"/>
          <w:noProof/>
        </w:rPr>
        <w:drawing>
          <wp:inline distT="0" distB="0" distL="0" distR="0" wp14:anchorId="4F1C2A80" wp14:editId="186C4ED5">
            <wp:extent cx="2476222" cy="2442534"/>
            <wp:effectExtent l="0" t="0" r="635" b="0"/>
            <wp:docPr id="30340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2717" cy="2448941"/>
                    </a:xfrm>
                    <a:prstGeom prst="rect">
                      <a:avLst/>
                    </a:prstGeom>
                    <a:noFill/>
                    <a:ln>
                      <a:noFill/>
                    </a:ln>
                  </pic:spPr>
                </pic:pic>
              </a:graphicData>
            </a:graphic>
          </wp:inline>
        </w:drawing>
      </w:r>
    </w:p>
    <w:p w14:paraId="2B383FF7" w14:textId="77777777" w:rsidR="0062522F" w:rsidRDefault="0062522F" w:rsidP="00214D09">
      <w:pPr>
        <w:rPr>
          <w:rFonts w:ascii="黑体" w:eastAsia="黑体" w:hAnsi="黑体" w:hint="eastAsia"/>
          <w:b/>
          <w:bCs/>
          <w:sz w:val="48"/>
          <w:szCs w:val="48"/>
        </w:rPr>
      </w:pPr>
    </w:p>
    <w:p w14:paraId="5A24CDED" w14:textId="77777777" w:rsidR="0062522F" w:rsidRDefault="0062522F" w:rsidP="00214D09">
      <w:pPr>
        <w:rPr>
          <w:rFonts w:ascii="黑体" w:eastAsia="黑体" w:hAnsi="黑体" w:hint="eastAsia"/>
          <w:b/>
          <w:bCs/>
          <w:sz w:val="48"/>
          <w:szCs w:val="48"/>
        </w:rPr>
      </w:pPr>
    </w:p>
    <w:p w14:paraId="0EE2A5F5" w14:textId="77777777" w:rsidR="0062522F" w:rsidRDefault="0062522F" w:rsidP="00214D09">
      <w:pPr>
        <w:rPr>
          <w:rFonts w:ascii="黑体" w:eastAsia="黑体" w:hAnsi="黑体" w:hint="eastAsia"/>
          <w:b/>
          <w:bCs/>
          <w:sz w:val="48"/>
          <w:szCs w:val="48"/>
        </w:rPr>
      </w:pPr>
    </w:p>
    <w:p w14:paraId="6E6792EA" w14:textId="77777777" w:rsidR="00477DFB" w:rsidRPr="00477DFB" w:rsidRDefault="00757CE6" w:rsidP="00214D09">
      <w:pPr>
        <w:jc w:val="center"/>
        <w:rPr>
          <w:rFonts w:ascii="黑体" w:eastAsia="黑体" w:hAnsi="黑体" w:hint="eastAsia"/>
          <w:sz w:val="48"/>
          <w:szCs w:val="48"/>
        </w:rPr>
      </w:pPr>
      <w:r w:rsidRPr="00477DFB">
        <w:rPr>
          <w:rFonts w:ascii="黑体" w:eastAsia="黑体" w:hAnsi="黑体"/>
          <w:sz w:val="48"/>
          <w:szCs w:val="48"/>
        </w:rPr>
        <w:t>周期、制度与创新：</w:t>
      </w:r>
    </w:p>
    <w:p w14:paraId="6DFEBADE" w14:textId="5BE4B934" w:rsidR="000E54C6" w:rsidRPr="00477DFB" w:rsidRDefault="00757CE6" w:rsidP="00214D09">
      <w:pPr>
        <w:jc w:val="center"/>
        <w:rPr>
          <w:rFonts w:ascii="黑体" w:eastAsia="黑体" w:hAnsi="黑体" w:hint="eastAsia"/>
          <w:sz w:val="48"/>
          <w:szCs w:val="48"/>
        </w:rPr>
      </w:pPr>
      <w:r w:rsidRPr="00477DFB">
        <w:rPr>
          <w:rFonts w:ascii="黑体" w:eastAsia="黑体" w:hAnsi="黑体"/>
          <w:sz w:val="48"/>
          <w:szCs w:val="48"/>
        </w:rPr>
        <w:t>中国商业模式千年演进及当代数字经济</w:t>
      </w:r>
    </w:p>
    <w:p w14:paraId="655AD5FC" w14:textId="77777777" w:rsidR="00F93D51" w:rsidRDefault="00F93D51" w:rsidP="00214D09">
      <w:pPr>
        <w:rPr>
          <w:rFonts w:ascii="黑体" w:eastAsia="黑体" w:hAnsi="黑体" w:hint="eastAsia"/>
          <w:b/>
          <w:bCs/>
          <w:sz w:val="48"/>
          <w:szCs w:val="48"/>
        </w:rPr>
      </w:pPr>
    </w:p>
    <w:p w14:paraId="10DD27EF" w14:textId="77777777" w:rsidR="00F93D51" w:rsidRDefault="00F93D51" w:rsidP="00214D09">
      <w:pPr>
        <w:rPr>
          <w:rFonts w:ascii="黑体" w:eastAsia="黑体" w:hAnsi="黑体" w:hint="eastAsia"/>
          <w:b/>
          <w:bCs/>
          <w:sz w:val="48"/>
          <w:szCs w:val="48"/>
        </w:rPr>
      </w:pPr>
    </w:p>
    <w:p w14:paraId="607AFCDF" w14:textId="77777777" w:rsidR="00F93D51" w:rsidRDefault="00F93D51" w:rsidP="00214D09">
      <w:pPr>
        <w:rPr>
          <w:rFonts w:ascii="黑体" w:eastAsia="黑体" w:hAnsi="黑体" w:hint="eastAsia"/>
          <w:b/>
          <w:bCs/>
          <w:sz w:val="48"/>
          <w:szCs w:val="48"/>
        </w:rPr>
      </w:pPr>
    </w:p>
    <w:p w14:paraId="6E3C4F7E" w14:textId="77777777" w:rsidR="00F93D51" w:rsidRDefault="00F93D51" w:rsidP="00214D09">
      <w:pPr>
        <w:rPr>
          <w:rFonts w:ascii="黑体" w:eastAsia="黑体" w:hAnsi="黑体" w:hint="eastAsia"/>
          <w:b/>
          <w:bCs/>
          <w:sz w:val="48"/>
          <w:szCs w:val="48"/>
        </w:rPr>
      </w:pPr>
    </w:p>
    <w:p w14:paraId="31847E7D" w14:textId="77777777" w:rsidR="00F93D51" w:rsidRPr="009F2E3A" w:rsidRDefault="00F93D51" w:rsidP="00214D09">
      <w:pPr>
        <w:rPr>
          <w:rFonts w:ascii="黑体" w:eastAsia="黑体" w:hAnsi="黑体" w:hint="eastAsia"/>
          <w:b/>
          <w:bCs/>
          <w:szCs w:val="22"/>
        </w:rPr>
      </w:pPr>
    </w:p>
    <w:tbl>
      <w:tblPr>
        <w:tblStyle w:val="af3"/>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985"/>
      </w:tblGrid>
      <w:tr w:rsidR="009F2E3A" w:rsidRPr="00214D09" w14:paraId="03AA79C2" w14:textId="77777777" w:rsidTr="00214D09">
        <w:trPr>
          <w:jc w:val="center"/>
        </w:trPr>
        <w:tc>
          <w:tcPr>
            <w:tcW w:w="1276" w:type="dxa"/>
            <w:tcBorders>
              <w:bottom w:val="nil"/>
            </w:tcBorders>
          </w:tcPr>
          <w:p w14:paraId="400802C8" w14:textId="67030495" w:rsidR="009F2E3A" w:rsidRPr="00214D09" w:rsidRDefault="009F2E3A" w:rsidP="00214D09">
            <w:pPr>
              <w:jc w:val="right"/>
              <w:rPr>
                <w:rFonts w:hint="eastAsia"/>
                <w:b/>
                <w:bCs/>
                <w:sz w:val="28"/>
                <w:szCs w:val="28"/>
              </w:rPr>
            </w:pPr>
            <w:r w:rsidRPr="00214D09">
              <w:rPr>
                <w:b/>
                <w:bCs/>
                <w:sz w:val="28"/>
                <w:szCs w:val="28"/>
              </w:rPr>
              <w:t>姓名</w:t>
            </w:r>
            <w:r w:rsidRPr="00214D09">
              <w:rPr>
                <w:rFonts w:hint="eastAsia"/>
                <w:b/>
                <w:bCs/>
                <w:sz w:val="28"/>
                <w:szCs w:val="28"/>
              </w:rPr>
              <w:t>：</w:t>
            </w:r>
          </w:p>
        </w:tc>
        <w:tc>
          <w:tcPr>
            <w:tcW w:w="1985" w:type="dxa"/>
            <w:tcBorders>
              <w:bottom w:val="single" w:sz="4" w:space="0" w:color="auto"/>
            </w:tcBorders>
          </w:tcPr>
          <w:p w14:paraId="0E5F9381" w14:textId="3751DE2B" w:rsidR="009F2E3A" w:rsidRPr="00214D09" w:rsidRDefault="009F2E3A" w:rsidP="00214D09">
            <w:pPr>
              <w:rPr>
                <w:rFonts w:hint="eastAsia"/>
                <w:sz w:val="28"/>
                <w:szCs w:val="28"/>
              </w:rPr>
            </w:pPr>
            <w:r w:rsidRPr="00214D09">
              <w:rPr>
                <w:rFonts w:hint="eastAsia"/>
                <w:sz w:val="28"/>
                <w:szCs w:val="28"/>
              </w:rPr>
              <w:t>李梓涵</w:t>
            </w:r>
          </w:p>
        </w:tc>
      </w:tr>
      <w:tr w:rsidR="009F2E3A" w:rsidRPr="00214D09" w14:paraId="32A1EC7C" w14:textId="77777777" w:rsidTr="00214D09">
        <w:trPr>
          <w:jc w:val="center"/>
        </w:trPr>
        <w:tc>
          <w:tcPr>
            <w:tcW w:w="1276" w:type="dxa"/>
            <w:tcBorders>
              <w:top w:val="nil"/>
              <w:bottom w:val="nil"/>
            </w:tcBorders>
          </w:tcPr>
          <w:p w14:paraId="3E0DBC4D" w14:textId="0FC08034" w:rsidR="009F2E3A" w:rsidRPr="00214D09" w:rsidRDefault="009F2E3A" w:rsidP="00214D09">
            <w:pPr>
              <w:jc w:val="right"/>
              <w:rPr>
                <w:rFonts w:hint="eastAsia"/>
                <w:b/>
                <w:bCs/>
                <w:sz w:val="28"/>
                <w:szCs w:val="28"/>
              </w:rPr>
            </w:pPr>
            <w:r w:rsidRPr="00214D09">
              <w:rPr>
                <w:b/>
                <w:bCs/>
                <w:sz w:val="28"/>
                <w:szCs w:val="28"/>
              </w:rPr>
              <w:t>学号：</w:t>
            </w:r>
          </w:p>
        </w:tc>
        <w:tc>
          <w:tcPr>
            <w:tcW w:w="1985" w:type="dxa"/>
            <w:tcBorders>
              <w:top w:val="single" w:sz="4" w:space="0" w:color="auto"/>
            </w:tcBorders>
          </w:tcPr>
          <w:p w14:paraId="2FFDB1FC" w14:textId="63C6B4F9" w:rsidR="009F2E3A" w:rsidRPr="00214D09" w:rsidRDefault="009F2E3A" w:rsidP="00214D09">
            <w:pPr>
              <w:rPr>
                <w:rFonts w:hint="eastAsia"/>
                <w:sz w:val="28"/>
                <w:szCs w:val="28"/>
              </w:rPr>
            </w:pPr>
            <w:r w:rsidRPr="00214D09">
              <w:rPr>
                <w:rFonts w:hint="eastAsia"/>
                <w:sz w:val="28"/>
                <w:szCs w:val="28"/>
              </w:rPr>
              <w:t>2025244124</w:t>
            </w:r>
          </w:p>
        </w:tc>
      </w:tr>
    </w:tbl>
    <w:p w14:paraId="57A0F01B" w14:textId="77777777" w:rsidR="00F93D51" w:rsidRPr="009F2E3A" w:rsidRDefault="00F93D51" w:rsidP="00214D09">
      <w:pPr>
        <w:rPr>
          <w:rFonts w:ascii="黑体" w:eastAsia="黑体" w:hAnsi="黑体" w:hint="eastAsia"/>
          <w:b/>
          <w:bCs/>
          <w:szCs w:val="22"/>
        </w:rPr>
      </w:pPr>
    </w:p>
    <w:p w14:paraId="21436DEF" w14:textId="77777777" w:rsidR="00F93D51" w:rsidRPr="009F2E3A" w:rsidRDefault="00F93D51" w:rsidP="00214D09">
      <w:pPr>
        <w:rPr>
          <w:rFonts w:ascii="黑体" w:eastAsia="黑体" w:hAnsi="黑体" w:hint="eastAsia"/>
          <w:b/>
          <w:bCs/>
          <w:szCs w:val="22"/>
        </w:rPr>
      </w:pPr>
    </w:p>
    <w:sdt>
      <w:sdtPr>
        <w:rPr>
          <w:rFonts w:asciiTheme="minorHAnsi" w:eastAsiaTheme="minorEastAsia" w:hAnsiTheme="minorHAnsi" w:cstheme="minorBidi"/>
          <w:color w:val="auto"/>
          <w:kern w:val="2"/>
          <w:sz w:val="22"/>
          <w:szCs w:val="24"/>
          <w:lang w:val="zh-CN"/>
          <w14:ligatures w14:val="standardContextual"/>
        </w:rPr>
        <w:id w:val="695662187"/>
        <w:docPartObj>
          <w:docPartGallery w:val="Table of Contents"/>
          <w:docPartUnique/>
        </w:docPartObj>
      </w:sdtPr>
      <w:sdtEndPr>
        <w:rPr>
          <w:b/>
          <w:bCs/>
        </w:rPr>
      </w:sdtEndPr>
      <w:sdtContent>
        <w:p w14:paraId="46914B0B" w14:textId="0EC7740B" w:rsidR="00F93D51" w:rsidRDefault="00F93D51" w:rsidP="00214D09">
          <w:pPr>
            <w:pStyle w:val="TOC"/>
            <w:rPr>
              <w:rFonts w:hint="eastAsia"/>
            </w:rPr>
          </w:pPr>
          <w:r>
            <w:rPr>
              <w:lang w:val="zh-CN"/>
            </w:rPr>
            <w:t>目录</w:t>
          </w:r>
        </w:p>
        <w:p w14:paraId="78F76EF1" w14:textId="39EAC556" w:rsidR="001679A7" w:rsidRDefault="00F93D51" w:rsidP="00214D09">
          <w:pPr>
            <w:pStyle w:val="TOC1"/>
            <w:tabs>
              <w:tab w:val="right" w:leader="dot" w:pos="8296"/>
            </w:tabs>
            <w:rPr>
              <w:rFonts w:hint="eastAsia"/>
              <w:noProof/>
            </w:rPr>
          </w:pPr>
          <w:r>
            <w:fldChar w:fldCharType="begin"/>
          </w:r>
          <w:r>
            <w:instrText xml:space="preserve"> TOC \o "1-3" \h \z \u </w:instrText>
          </w:r>
          <w:r>
            <w:fldChar w:fldCharType="separate"/>
          </w:r>
          <w:hyperlink w:anchor="_Toc218612338" w:history="1">
            <w:r w:rsidR="001679A7" w:rsidRPr="00D10920">
              <w:rPr>
                <w:rStyle w:val="af2"/>
                <w:rFonts w:hint="eastAsia"/>
                <w:noProof/>
              </w:rPr>
              <w:t>摘要</w:t>
            </w:r>
            <w:r w:rsidR="001679A7">
              <w:rPr>
                <w:rFonts w:hint="eastAsia"/>
                <w:noProof/>
                <w:webHidden/>
              </w:rPr>
              <w:tab/>
            </w:r>
            <w:r w:rsidR="001679A7">
              <w:rPr>
                <w:rFonts w:hint="eastAsia"/>
                <w:noProof/>
                <w:webHidden/>
              </w:rPr>
              <w:fldChar w:fldCharType="begin"/>
            </w:r>
            <w:r w:rsidR="001679A7">
              <w:rPr>
                <w:rFonts w:hint="eastAsia"/>
                <w:noProof/>
                <w:webHidden/>
              </w:rPr>
              <w:instrText xml:space="preserve"> </w:instrText>
            </w:r>
            <w:r w:rsidR="001679A7">
              <w:rPr>
                <w:noProof/>
                <w:webHidden/>
              </w:rPr>
              <w:instrText>PAGEREF _Toc218612338 \h</w:instrText>
            </w:r>
            <w:r w:rsidR="001679A7">
              <w:rPr>
                <w:rFonts w:hint="eastAsia"/>
                <w:noProof/>
                <w:webHidden/>
              </w:rPr>
              <w:instrText xml:space="preserve"> </w:instrText>
            </w:r>
            <w:r w:rsidR="001679A7">
              <w:rPr>
                <w:rFonts w:hint="eastAsia"/>
                <w:noProof/>
                <w:webHidden/>
              </w:rPr>
            </w:r>
            <w:r w:rsidR="001679A7">
              <w:rPr>
                <w:rFonts w:hint="eastAsia"/>
                <w:noProof/>
                <w:webHidden/>
              </w:rPr>
              <w:fldChar w:fldCharType="separate"/>
            </w:r>
            <w:r w:rsidR="001679A7">
              <w:rPr>
                <w:rFonts w:hint="eastAsia"/>
                <w:noProof/>
                <w:webHidden/>
              </w:rPr>
              <w:t>2</w:t>
            </w:r>
            <w:r w:rsidR="001679A7">
              <w:rPr>
                <w:rFonts w:hint="eastAsia"/>
                <w:noProof/>
                <w:webHidden/>
              </w:rPr>
              <w:fldChar w:fldCharType="end"/>
            </w:r>
          </w:hyperlink>
        </w:p>
        <w:p w14:paraId="47680CDC" w14:textId="0C2959B8" w:rsidR="001679A7" w:rsidRDefault="001679A7" w:rsidP="00214D09">
          <w:pPr>
            <w:pStyle w:val="TOC1"/>
            <w:tabs>
              <w:tab w:val="right" w:leader="dot" w:pos="8296"/>
            </w:tabs>
            <w:rPr>
              <w:rFonts w:hint="eastAsia"/>
              <w:noProof/>
            </w:rPr>
          </w:pPr>
          <w:hyperlink w:anchor="_Toc218612339" w:history="1">
            <w:r w:rsidRPr="00D10920">
              <w:rPr>
                <w:rStyle w:val="af2"/>
                <w:rFonts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DC230C1" w14:textId="6F0AD649" w:rsidR="001679A7" w:rsidRDefault="001679A7" w:rsidP="00214D09">
          <w:pPr>
            <w:pStyle w:val="TOC1"/>
            <w:tabs>
              <w:tab w:val="right" w:leader="dot" w:pos="8296"/>
            </w:tabs>
            <w:rPr>
              <w:rFonts w:hint="eastAsia"/>
              <w:noProof/>
            </w:rPr>
          </w:pPr>
          <w:hyperlink w:anchor="_Toc218612340" w:history="1">
            <w:r w:rsidRPr="00D10920">
              <w:rPr>
                <w:rStyle w:val="af2"/>
                <w:rFonts w:hint="eastAsia"/>
                <w:noProof/>
              </w:rPr>
              <w:t>二、唐宋裂变：金融化商业模式的首次突破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DD55E57" w14:textId="558E33E8" w:rsidR="001679A7" w:rsidRDefault="001679A7" w:rsidP="00214D09">
          <w:pPr>
            <w:pStyle w:val="TOC2"/>
            <w:tabs>
              <w:tab w:val="right" w:leader="dot" w:pos="8296"/>
            </w:tabs>
            <w:ind w:left="440"/>
            <w:rPr>
              <w:rFonts w:hint="eastAsia"/>
              <w:noProof/>
            </w:rPr>
          </w:pPr>
          <w:hyperlink w:anchor="_Toc218612341" w:history="1">
            <w:r w:rsidRPr="00D10920">
              <w:rPr>
                <w:rStyle w:val="af2"/>
                <w:rFonts w:hint="eastAsia"/>
                <w:noProof/>
              </w:rPr>
              <w:t>2.1 飞钱交子——信用货币的制度创新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D90FDC2" w14:textId="44F62737" w:rsidR="001679A7" w:rsidRDefault="001679A7" w:rsidP="00214D09">
          <w:pPr>
            <w:pStyle w:val="TOC2"/>
            <w:tabs>
              <w:tab w:val="right" w:leader="dot" w:pos="8296"/>
            </w:tabs>
            <w:ind w:left="440"/>
            <w:rPr>
              <w:rFonts w:hint="eastAsia"/>
              <w:noProof/>
            </w:rPr>
          </w:pPr>
          <w:hyperlink w:anchor="_Toc218612342" w:history="1">
            <w:r w:rsidRPr="00D10920">
              <w:rPr>
                <w:rStyle w:val="af2"/>
                <w:rFonts w:hint="eastAsia"/>
                <w:noProof/>
              </w:rPr>
              <w:t>2.2 历史意义与当代借鉴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E63C042" w14:textId="0B387082" w:rsidR="001679A7" w:rsidRDefault="001679A7" w:rsidP="00214D09">
          <w:pPr>
            <w:pStyle w:val="TOC1"/>
            <w:tabs>
              <w:tab w:val="right" w:leader="dot" w:pos="8296"/>
            </w:tabs>
            <w:rPr>
              <w:rFonts w:hint="eastAsia"/>
              <w:noProof/>
            </w:rPr>
          </w:pPr>
          <w:hyperlink w:anchor="_Toc218612343" w:history="1">
            <w:r w:rsidRPr="00D10920">
              <w:rPr>
                <w:rStyle w:val="af2"/>
                <w:rFonts w:hint="eastAsia"/>
                <w:noProof/>
              </w:rPr>
              <w:t>三、明清成熟：商帮制度的组织创新与声誉资本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3D39A70" w14:textId="49053608" w:rsidR="001679A7" w:rsidRDefault="001679A7" w:rsidP="00214D09">
          <w:pPr>
            <w:pStyle w:val="TOC1"/>
            <w:tabs>
              <w:tab w:val="right" w:leader="dot" w:pos="8296"/>
            </w:tabs>
            <w:rPr>
              <w:rFonts w:hint="eastAsia"/>
              <w:noProof/>
            </w:rPr>
          </w:pPr>
          <w:hyperlink w:anchor="_Toc218612344" w:history="1">
            <w:r w:rsidRPr="00D10920">
              <w:rPr>
                <w:rStyle w:val="af2"/>
                <w:rFonts w:hint="eastAsia"/>
                <w:noProof/>
              </w:rPr>
              <w:t>四、改革开放：制度试错与商业模式大爆炸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7D89B32" w14:textId="0017AF80" w:rsidR="001679A7" w:rsidRDefault="001679A7" w:rsidP="00214D09">
          <w:pPr>
            <w:pStyle w:val="TOC2"/>
            <w:tabs>
              <w:tab w:val="right" w:leader="dot" w:pos="8296"/>
            </w:tabs>
            <w:ind w:left="440"/>
            <w:rPr>
              <w:rFonts w:hint="eastAsia"/>
              <w:noProof/>
            </w:rPr>
          </w:pPr>
          <w:hyperlink w:anchor="_Toc218612345" w:history="1">
            <w:r w:rsidRPr="00D10920">
              <w:rPr>
                <w:rStyle w:val="af2"/>
                <w:rFonts w:hint="eastAsia"/>
                <w:noProof/>
              </w:rPr>
              <w:t>4.1乡镇企业模糊产权模式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BC6A535" w14:textId="4DCAF118" w:rsidR="001679A7" w:rsidRDefault="001679A7" w:rsidP="00214D09">
          <w:pPr>
            <w:pStyle w:val="TOC2"/>
            <w:tabs>
              <w:tab w:val="right" w:leader="dot" w:pos="8296"/>
            </w:tabs>
            <w:ind w:left="440"/>
            <w:rPr>
              <w:rFonts w:hint="eastAsia"/>
              <w:noProof/>
            </w:rPr>
          </w:pPr>
          <w:hyperlink w:anchor="_Toc218612346" w:history="1">
            <w:r w:rsidRPr="00D10920">
              <w:rPr>
                <w:rStyle w:val="af2"/>
                <w:rFonts w:hint="eastAsia"/>
                <w:noProof/>
              </w:rPr>
              <w:t>4.2 历史意义与当代借鉴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EBCA623" w14:textId="16D35391" w:rsidR="001679A7" w:rsidRDefault="001679A7" w:rsidP="00214D09">
          <w:pPr>
            <w:pStyle w:val="TOC1"/>
            <w:tabs>
              <w:tab w:val="right" w:leader="dot" w:pos="8296"/>
            </w:tabs>
            <w:rPr>
              <w:rFonts w:hint="eastAsia"/>
              <w:noProof/>
            </w:rPr>
          </w:pPr>
          <w:hyperlink w:anchor="_Toc218612347" w:history="1">
            <w:r w:rsidRPr="00D10920">
              <w:rPr>
                <w:rStyle w:val="af2"/>
                <w:rFonts w:hint="eastAsia"/>
                <w:noProof/>
              </w:rPr>
              <w:t>五、历史基因与数字经济制度构建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63E7C49" w14:textId="7077C6B3" w:rsidR="001679A7" w:rsidRDefault="001679A7" w:rsidP="00214D09">
          <w:pPr>
            <w:pStyle w:val="TOC2"/>
            <w:tabs>
              <w:tab w:val="right" w:leader="dot" w:pos="8296"/>
            </w:tabs>
            <w:ind w:left="440"/>
            <w:rPr>
              <w:rFonts w:hint="eastAsia"/>
              <w:noProof/>
            </w:rPr>
          </w:pPr>
          <w:hyperlink w:anchor="_Toc218612348" w:history="1">
            <w:r w:rsidRPr="00D10920">
              <w:rPr>
                <w:rStyle w:val="af2"/>
                <w:rFonts w:hint="eastAsia"/>
                <w:noProof/>
              </w:rPr>
              <w:t>5.1 千年制度基因的三重内核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632C1D4" w14:textId="5482A3ED" w:rsidR="001679A7" w:rsidRDefault="001679A7" w:rsidP="00214D09">
          <w:pPr>
            <w:pStyle w:val="TOC2"/>
            <w:tabs>
              <w:tab w:val="right" w:leader="dot" w:pos="8296"/>
            </w:tabs>
            <w:ind w:left="440"/>
            <w:rPr>
              <w:rFonts w:hint="eastAsia"/>
              <w:noProof/>
            </w:rPr>
          </w:pPr>
          <w:hyperlink w:anchor="_Toc218612349" w:history="1">
            <w:r w:rsidRPr="00D10920">
              <w:rPr>
                <w:rStyle w:val="af2"/>
                <w:rFonts w:hint="eastAsia"/>
                <w:noProof/>
              </w:rPr>
              <w:t>5.2 对数字经济的四项启示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442BC88" w14:textId="12C47503" w:rsidR="001679A7" w:rsidRDefault="001679A7" w:rsidP="00214D09">
          <w:pPr>
            <w:pStyle w:val="TOC1"/>
            <w:tabs>
              <w:tab w:val="right" w:leader="dot" w:pos="8296"/>
            </w:tabs>
            <w:rPr>
              <w:rFonts w:hint="eastAsia"/>
              <w:noProof/>
            </w:rPr>
          </w:pPr>
          <w:hyperlink w:anchor="_Toc218612350" w:history="1">
            <w:r w:rsidRPr="00D10920">
              <w:rPr>
                <w:rStyle w:val="af2"/>
                <w:rFonts w:hint="eastAsia"/>
                <w:noProof/>
              </w:rPr>
              <w:t>六、结论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F477111" w14:textId="72C6E783" w:rsidR="001679A7" w:rsidRDefault="001679A7" w:rsidP="00214D09">
          <w:pPr>
            <w:pStyle w:val="TOC1"/>
            <w:tabs>
              <w:tab w:val="right" w:leader="dot" w:pos="8296"/>
            </w:tabs>
            <w:rPr>
              <w:rFonts w:hint="eastAsia"/>
              <w:noProof/>
            </w:rPr>
          </w:pPr>
          <w:hyperlink w:anchor="_Toc218612351" w:history="1">
            <w:r w:rsidRPr="00D10920">
              <w:rPr>
                <w:rStyle w:val="af2"/>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_Toc218612351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EF8BE4F" w14:textId="62C973D6" w:rsidR="00F93D51" w:rsidRDefault="00F93D51" w:rsidP="00214D09">
          <w:pPr>
            <w:rPr>
              <w:rFonts w:hint="eastAsia"/>
            </w:rPr>
          </w:pPr>
          <w:r>
            <w:rPr>
              <w:b/>
              <w:bCs/>
              <w:lang w:val="zh-CN"/>
            </w:rPr>
            <w:fldChar w:fldCharType="end"/>
          </w:r>
        </w:p>
      </w:sdtContent>
    </w:sdt>
    <w:p w14:paraId="25F5EABD" w14:textId="77777777" w:rsidR="00F93D51" w:rsidRDefault="00F93D51" w:rsidP="00214D09">
      <w:pPr>
        <w:rPr>
          <w:rFonts w:ascii="黑体" w:eastAsia="黑体" w:hAnsi="黑体" w:hint="eastAsia"/>
          <w:b/>
          <w:bCs/>
          <w:sz w:val="48"/>
          <w:szCs w:val="48"/>
        </w:rPr>
      </w:pPr>
    </w:p>
    <w:p w14:paraId="7338C9A5" w14:textId="77777777" w:rsidR="001679A7" w:rsidRDefault="001679A7" w:rsidP="00214D09">
      <w:pPr>
        <w:rPr>
          <w:rFonts w:ascii="黑体" w:eastAsia="黑体" w:hAnsi="黑体" w:hint="eastAsia"/>
          <w:b/>
          <w:bCs/>
          <w:sz w:val="48"/>
          <w:szCs w:val="48"/>
        </w:rPr>
      </w:pPr>
    </w:p>
    <w:p w14:paraId="5784A12E" w14:textId="77777777" w:rsidR="001679A7" w:rsidRDefault="001679A7" w:rsidP="00214D09">
      <w:pPr>
        <w:rPr>
          <w:rFonts w:ascii="黑体" w:eastAsia="黑体" w:hAnsi="黑体" w:hint="eastAsia"/>
          <w:b/>
          <w:bCs/>
          <w:sz w:val="48"/>
          <w:szCs w:val="48"/>
        </w:rPr>
      </w:pPr>
    </w:p>
    <w:p w14:paraId="1EDA3762" w14:textId="77777777" w:rsidR="001679A7" w:rsidRDefault="001679A7" w:rsidP="00214D09">
      <w:pPr>
        <w:rPr>
          <w:rFonts w:ascii="黑体" w:eastAsia="黑体" w:hAnsi="黑体" w:hint="eastAsia"/>
          <w:b/>
          <w:bCs/>
          <w:sz w:val="48"/>
          <w:szCs w:val="48"/>
        </w:rPr>
      </w:pPr>
    </w:p>
    <w:p w14:paraId="4F95BDA7" w14:textId="77777777" w:rsidR="001679A7" w:rsidRDefault="001679A7" w:rsidP="00214D09">
      <w:pPr>
        <w:rPr>
          <w:rFonts w:ascii="黑体" w:eastAsia="黑体" w:hAnsi="黑体" w:hint="eastAsia"/>
          <w:b/>
          <w:bCs/>
          <w:sz w:val="48"/>
          <w:szCs w:val="48"/>
        </w:rPr>
      </w:pPr>
    </w:p>
    <w:p w14:paraId="03E7FF62" w14:textId="77777777" w:rsidR="001679A7" w:rsidRPr="00D4471A" w:rsidRDefault="001679A7" w:rsidP="00214D09">
      <w:pPr>
        <w:rPr>
          <w:rFonts w:ascii="黑体" w:eastAsia="黑体" w:hAnsi="黑体" w:hint="eastAsia"/>
          <w:b/>
          <w:bCs/>
          <w:sz w:val="48"/>
          <w:szCs w:val="48"/>
        </w:rPr>
      </w:pPr>
    </w:p>
    <w:p w14:paraId="0B4C5C2F" w14:textId="50CE887B" w:rsidR="000E54C6" w:rsidRPr="00807FF2" w:rsidRDefault="006C5524" w:rsidP="00214D09">
      <w:pPr>
        <w:pStyle w:val="1"/>
        <w:rPr>
          <w:rFonts w:hint="eastAsia"/>
        </w:rPr>
      </w:pPr>
      <w:bookmarkStart w:id="0" w:name="_Toc218612338"/>
      <w:r w:rsidRPr="00807FF2">
        <w:rPr>
          <w:rFonts w:hint="eastAsia"/>
        </w:rPr>
        <w:lastRenderedPageBreak/>
        <w:t>摘要</w:t>
      </w:r>
      <w:bookmarkEnd w:id="0"/>
    </w:p>
    <w:p w14:paraId="4539F361" w14:textId="2E9E7AEE" w:rsidR="006C5524" w:rsidRPr="00807FF2" w:rsidRDefault="006E562C" w:rsidP="00541847">
      <w:pPr>
        <w:ind w:firstLineChars="200" w:firstLine="440"/>
        <w:rPr>
          <w:rFonts w:ascii="宋体" w:eastAsia="宋体" w:hAnsi="宋体" w:hint="eastAsia"/>
        </w:rPr>
      </w:pPr>
      <w:r w:rsidRPr="00807FF2">
        <w:rPr>
          <w:rFonts w:ascii="宋体" w:eastAsia="宋体" w:hAnsi="宋体" w:hint="eastAsia"/>
        </w:rPr>
        <w:t>文章</w:t>
      </w:r>
      <w:r w:rsidR="00DA1A9C">
        <w:rPr>
          <w:rFonts w:ascii="宋体" w:eastAsia="宋体" w:hAnsi="宋体" w:hint="eastAsia"/>
        </w:rPr>
        <w:t>聚焦中</w:t>
      </w:r>
      <w:r w:rsidRPr="00807FF2">
        <w:rPr>
          <w:rFonts w:ascii="宋体" w:eastAsia="宋体" w:hAnsi="宋体"/>
        </w:rPr>
        <w:t>国</w:t>
      </w:r>
      <w:r w:rsidR="00DA1A9C">
        <w:rPr>
          <w:rFonts w:ascii="宋体" w:eastAsia="宋体" w:hAnsi="宋体" w:hint="eastAsia"/>
        </w:rPr>
        <w:t>近千年间</w:t>
      </w:r>
      <w:r w:rsidRPr="00807FF2">
        <w:rPr>
          <w:rFonts w:ascii="宋体" w:eastAsia="宋体" w:hAnsi="宋体"/>
        </w:rPr>
        <w:t>"强国家</w:t>
      </w:r>
      <w:proofErr w:type="gramStart"/>
      <w:r w:rsidRPr="00807FF2">
        <w:rPr>
          <w:rFonts w:ascii="宋体" w:eastAsia="宋体" w:hAnsi="宋体"/>
        </w:rPr>
        <w:t>—关系</w:t>
      </w:r>
      <w:proofErr w:type="gramEnd"/>
      <w:r w:rsidRPr="00807FF2">
        <w:rPr>
          <w:rFonts w:ascii="宋体" w:eastAsia="宋体" w:hAnsi="宋体"/>
        </w:rPr>
        <w:t>嵌入—实用调适"的商业制度</w:t>
      </w:r>
      <w:r w:rsidR="00DA1A9C">
        <w:rPr>
          <w:rFonts w:ascii="宋体" w:eastAsia="宋体" w:hAnsi="宋体" w:hint="eastAsia"/>
        </w:rPr>
        <w:t>，探究其</w:t>
      </w:r>
      <w:r w:rsidRPr="00807FF2">
        <w:rPr>
          <w:rFonts w:ascii="宋体" w:eastAsia="宋体" w:hAnsi="宋体"/>
        </w:rPr>
        <w:t>对数字经济演进的深层影响。聚焦三大转型节点：唐宋飞钱、交子以联保机制与准备金制度</w:t>
      </w:r>
      <w:r w:rsidR="00024599">
        <w:rPr>
          <w:rFonts w:ascii="宋体" w:eastAsia="宋体" w:hAnsi="宋体" w:hint="eastAsia"/>
        </w:rPr>
        <w:t>，阐明对</w:t>
      </w:r>
      <w:r w:rsidRPr="00807FF2">
        <w:rPr>
          <w:rFonts w:ascii="宋体" w:eastAsia="宋体" w:hAnsi="宋体"/>
        </w:rPr>
        <w:t>央行数字货币</w:t>
      </w:r>
      <w:r w:rsidR="00024599">
        <w:rPr>
          <w:rFonts w:ascii="宋体" w:eastAsia="宋体" w:hAnsi="宋体" w:hint="eastAsia"/>
        </w:rPr>
        <w:t>进行</w:t>
      </w:r>
      <w:r w:rsidRPr="00807FF2">
        <w:rPr>
          <w:rFonts w:ascii="宋体" w:eastAsia="宋体" w:hAnsi="宋体"/>
        </w:rPr>
        <w:t>刚性规则约束</w:t>
      </w:r>
      <w:r w:rsidR="00024599">
        <w:rPr>
          <w:rFonts w:ascii="宋体" w:eastAsia="宋体" w:hAnsi="宋体" w:hint="eastAsia"/>
        </w:rPr>
        <w:t>的必要性</w:t>
      </w:r>
      <w:r w:rsidRPr="00807FF2">
        <w:rPr>
          <w:rFonts w:ascii="宋体" w:eastAsia="宋体" w:hAnsi="宋体"/>
        </w:rPr>
        <w:t>；明清晋商以"</w:t>
      </w:r>
      <w:proofErr w:type="gramStart"/>
      <w:r w:rsidRPr="00807FF2">
        <w:rPr>
          <w:rFonts w:ascii="宋体" w:eastAsia="宋体" w:hAnsi="宋体"/>
        </w:rPr>
        <w:t>身股制</w:t>
      </w:r>
      <w:proofErr w:type="gramEnd"/>
      <w:r w:rsidRPr="00807FF2">
        <w:rPr>
          <w:rFonts w:ascii="宋体" w:eastAsia="宋体" w:hAnsi="宋体"/>
        </w:rPr>
        <w:t>"将声誉资本转化为可交易产权，为平台经济算法信用与"</w:t>
      </w:r>
      <w:proofErr w:type="gramStart"/>
      <w:r w:rsidRPr="00807FF2">
        <w:rPr>
          <w:rFonts w:ascii="宋体" w:eastAsia="宋体" w:hAnsi="宋体"/>
        </w:rPr>
        <w:t>数据身股</w:t>
      </w:r>
      <w:proofErr w:type="gramEnd"/>
      <w:r w:rsidRPr="00807FF2">
        <w:rPr>
          <w:rFonts w:ascii="宋体" w:eastAsia="宋体" w:hAnsi="宋体"/>
        </w:rPr>
        <w:t>"提供范式；改革开放"模糊产权"乡镇企业通过边缘创新倒</w:t>
      </w:r>
      <w:proofErr w:type="gramStart"/>
      <w:r w:rsidRPr="00807FF2">
        <w:rPr>
          <w:rFonts w:ascii="宋体" w:eastAsia="宋体" w:hAnsi="宋体"/>
        </w:rPr>
        <w:t>逼制度</w:t>
      </w:r>
      <w:proofErr w:type="gramEnd"/>
      <w:r w:rsidRPr="00807FF2">
        <w:rPr>
          <w:rFonts w:ascii="宋体" w:eastAsia="宋体" w:hAnsi="宋体"/>
        </w:rPr>
        <w:t>确认，催生数据要素"三权分置"构想。当监管异化为攫取工具</w:t>
      </w:r>
      <w:proofErr w:type="gramStart"/>
      <w:r w:rsidRPr="00807FF2">
        <w:rPr>
          <w:rFonts w:ascii="宋体" w:eastAsia="宋体" w:hAnsi="宋体"/>
        </w:rPr>
        <w:t>时创新</w:t>
      </w:r>
      <w:proofErr w:type="gramEnd"/>
      <w:r w:rsidRPr="00807FF2">
        <w:rPr>
          <w:rFonts w:ascii="宋体" w:eastAsia="宋体" w:hAnsi="宋体"/>
        </w:rPr>
        <w:t>生态必然枯萎。</w:t>
      </w:r>
      <w:r w:rsidR="00024599">
        <w:rPr>
          <w:rFonts w:ascii="宋体" w:eastAsia="宋体" w:hAnsi="宋体" w:hint="eastAsia"/>
        </w:rPr>
        <w:t>对于制度的设立和适应性，文章提出</w:t>
      </w:r>
      <w:r w:rsidRPr="00807FF2">
        <w:rPr>
          <w:rFonts w:ascii="宋体" w:eastAsia="宋体" w:hAnsi="宋体"/>
        </w:rPr>
        <w:t>设立监管沙盒、激活传统信任网络、</w:t>
      </w:r>
      <w:proofErr w:type="gramStart"/>
      <w:r w:rsidRPr="00807FF2">
        <w:rPr>
          <w:rFonts w:ascii="宋体" w:eastAsia="宋体" w:hAnsi="宋体"/>
        </w:rPr>
        <w:t>平衡国家</w:t>
      </w:r>
      <w:proofErr w:type="gramEnd"/>
      <w:r w:rsidRPr="00807FF2">
        <w:rPr>
          <w:rFonts w:ascii="宋体" w:eastAsia="宋体" w:hAnsi="宋体"/>
        </w:rPr>
        <w:t>控制力与市场活力，将"特许监管""关系嵌入"转化为"算法透明""数据信用"</w:t>
      </w:r>
      <w:r w:rsidR="00DB0736">
        <w:rPr>
          <w:rFonts w:ascii="宋体" w:eastAsia="宋体" w:hAnsi="宋体" w:hint="eastAsia"/>
        </w:rPr>
        <w:t>等</w:t>
      </w:r>
      <w:r w:rsidR="001C3FC6">
        <w:rPr>
          <w:rFonts w:ascii="宋体" w:eastAsia="宋体" w:hAnsi="宋体" w:hint="eastAsia"/>
        </w:rPr>
        <w:t>建议</w:t>
      </w:r>
      <w:r w:rsidRPr="00807FF2">
        <w:rPr>
          <w:rFonts w:ascii="宋体" w:eastAsia="宋体" w:hAnsi="宋体"/>
        </w:rPr>
        <w:t>。</w:t>
      </w:r>
    </w:p>
    <w:p w14:paraId="68B7A63F" w14:textId="09D62F19" w:rsidR="00B66FA7" w:rsidRPr="00807FF2" w:rsidRDefault="00B66FA7" w:rsidP="00214D09">
      <w:pPr>
        <w:pStyle w:val="1"/>
        <w:rPr>
          <w:rFonts w:hint="eastAsia"/>
        </w:rPr>
      </w:pPr>
      <w:bookmarkStart w:id="1" w:name="_Toc218612339"/>
      <w:r w:rsidRPr="00807FF2">
        <w:t>一</w:t>
      </w:r>
      <w:r w:rsidR="000F572A" w:rsidRPr="00807FF2">
        <w:rPr>
          <w:rFonts w:hint="eastAsia"/>
        </w:rPr>
        <w:t>、</w:t>
      </w:r>
      <w:r w:rsidRPr="00807FF2">
        <w:t>绪论</w:t>
      </w:r>
      <w:bookmarkEnd w:id="1"/>
    </w:p>
    <w:p w14:paraId="68719D4C" w14:textId="23AED0C5" w:rsidR="00B66FA7" w:rsidRPr="00B66FA7" w:rsidRDefault="00B66FA7" w:rsidP="00541847">
      <w:pPr>
        <w:ind w:firstLineChars="200" w:firstLine="440"/>
        <w:rPr>
          <w:rFonts w:ascii="宋体" w:eastAsia="宋体" w:hAnsi="宋体" w:hint="eastAsia"/>
        </w:rPr>
      </w:pPr>
      <w:r w:rsidRPr="00B66FA7">
        <w:rPr>
          <w:rFonts w:ascii="宋体" w:eastAsia="宋体" w:hAnsi="宋体"/>
        </w:rPr>
        <w:t>数字经济时代面临数据产权模糊、平台治理失序等制度性困境，单纯移植西方理论难以解释中国平台企业的崛起路径。构建“制度成本—创新租金”分析框架，认为商业模式创新的本质是市场主体在制度约束下通过降低交易成本获取超额利润的过程。中国三千年商业史呈现出独特的“强国家—关系嵌入—实用调适”制度基因，其周期性波动直接塑造创新空间。聚焦唐宋金融化突破、明清商帮组织化、改革开放边缘创新三个转型节点，旨在揭示历史制度如何沉淀为当代数字经济演进的底层逻辑。</w:t>
      </w:r>
    </w:p>
    <w:p w14:paraId="69AC4FBD" w14:textId="3BB7271C" w:rsidR="00B66FA7" w:rsidRPr="00807FF2" w:rsidRDefault="00B66FA7" w:rsidP="00214D09">
      <w:pPr>
        <w:pStyle w:val="1"/>
        <w:rPr>
          <w:rFonts w:hint="eastAsia"/>
        </w:rPr>
      </w:pPr>
      <w:bookmarkStart w:id="2" w:name="_Toc218612340"/>
      <w:r w:rsidRPr="00807FF2">
        <w:t>二</w:t>
      </w:r>
      <w:r w:rsidR="000F572A" w:rsidRPr="00807FF2">
        <w:rPr>
          <w:rFonts w:hint="eastAsia"/>
        </w:rPr>
        <w:t>、</w:t>
      </w:r>
      <w:r w:rsidRPr="00807FF2">
        <w:t>唐宋裂变：金融化商业模式的首次突破</w:t>
      </w:r>
      <w:bookmarkEnd w:id="2"/>
    </w:p>
    <w:p w14:paraId="127BEB6A" w14:textId="3AA2A278" w:rsidR="00B66FA7" w:rsidRDefault="00B66FA7" w:rsidP="00541847">
      <w:pPr>
        <w:ind w:firstLineChars="200" w:firstLine="440"/>
        <w:rPr>
          <w:rFonts w:ascii="宋体" w:eastAsia="宋体" w:hAnsi="宋体" w:hint="eastAsia"/>
        </w:rPr>
      </w:pPr>
      <w:r w:rsidRPr="00B66FA7">
        <w:rPr>
          <w:rFonts w:ascii="宋体" w:eastAsia="宋体" w:hAnsi="宋体"/>
        </w:rPr>
        <w:t>唐宋之际，两税法将人头税转为财产税，标志着国家财政从人身控制转向资产确权，《唐律疏议》更以成文法形式确立契约效力，使商业交易的制度成本下降40%以上</w:t>
      </w:r>
      <w:r w:rsidR="00B110C1" w:rsidRPr="00541847">
        <w:rPr>
          <w:rFonts w:ascii="宋体" w:eastAsia="宋体" w:hAnsi="宋体" w:hint="eastAsia"/>
        </w:rPr>
        <w:fldChar w:fldCharType="begin"/>
      </w:r>
      <w:r w:rsidR="00B110C1" w:rsidRPr="00541847">
        <w:rPr>
          <w:rFonts w:ascii="宋体" w:eastAsia="宋体" w:hAnsi="宋体" w:hint="eastAsia"/>
        </w:rPr>
        <w:instrText xml:space="preserve"> </w:instrText>
      </w:r>
      <w:r w:rsidR="00B110C1" w:rsidRPr="00541847">
        <w:rPr>
          <w:rFonts w:ascii="宋体" w:eastAsia="宋体" w:hAnsi="宋体"/>
        </w:rPr>
        <w:instrText>REF _Ref218611889 \r \h</w:instrText>
      </w:r>
      <w:r w:rsidR="00B110C1" w:rsidRPr="00541847">
        <w:rPr>
          <w:rFonts w:ascii="宋体" w:eastAsia="宋体" w:hAnsi="宋体" w:hint="eastAsia"/>
        </w:rPr>
        <w:instrText xml:space="preserve"> </w:instrText>
      </w:r>
      <w:r w:rsidR="00154D52" w:rsidRPr="00541847">
        <w:rPr>
          <w:rFonts w:ascii="宋体" w:eastAsia="宋体" w:hAnsi="宋体" w:hint="eastAsia"/>
        </w:rPr>
        <w:instrText xml:space="preserve"> \* MERGEFORMAT </w:instrText>
      </w:r>
      <w:r w:rsidR="00B110C1" w:rsidRPr="00541847">
        <w:rPr>
          <w:rFonts w:ascii="宋体" w:eastAsia="宋体" w:hAnsi="宋体" w:hint="eastAsia"/>
        </w:rPr>
      </w:r>
      <w:r w:rsidR="00B110C1" w:rsidRPr="00541847">
        <w:rPr>
          <w:rFonts w:ascii="宋体" w:eastAsia="宋体" w:hAnsi="宋体" w:hint="eastAsia"/>
        </w:rPr>
        <w:fldChar w:fldCharType="separate"/>
      </w:r>
      <w:r w:rsidR="00B110C1" w:rsidRPr="00541847">
        <w:rPr>
          <w:rFonts w:ascii="宋体" w:eastAsia="宋体" w:hAnsi="宋体" w:hint="eastAsia"/>
        </w:rPr>
        <w:t>[1]</w:t>
      </w:r>
      <w:r w:rsidR="00B110C1" w:rsidRPr="00541847">
        <w:rPr>
          <w:rFonts w:ascii="宋体" w:eastAsia="宋体" w:hAnsi="宋体" w:hint="eastAsia"/>
        </w:rPr>
        <w:fldChar w:fldCharType="end"/>
      </w:r>
      <w:r w:rsidRPr="00B66FA7">
        <w:rPr>
          <w:rFonts w:ascii="宋体" w:eastAsia="宋体" w:hAnsi="宋体"/>
        </w:rPr>
        <w:t>。均田制瓦解释放土地流动性，跨区贸易规模激增，但铜钱运输成本高昂催生制度套利机会。</w:t>
      </w:r>
    </w:p>
    <w:p w14:paraId="17723B1F" w14:textId="7D217A3F" w:rsidR="00F65E2C" w:rsidRPr="001C3053" w:rsidRDefault="00F65E2C" w:rsidP="00214D09">
      <w:pPr>
        <w:pStyle w:val="2"/>
        <w:rPr>
          <w:rFonts w:hint="eastAsia"/>
        </w:rPr>
      </w:pPr>
      <w:bookmarkStart w:id="3" w:name="_Toc218612341"/>
      <w:r w:rsidRPr="001C3053">
        <w:rPr>
          <w:rFonts w:hint="eastAsia"/>
        </w:rPr>
        <w:t xml:space="preserve">2.1 </w:t>
      </w:r>
      <w:proofErr w:type="gramStart"/>
      <w:r w:rsidRPr="001C3053">
        <w:t>飞钱交</w:t>
      </w:r>
      <w:proofErr w:type="gramEnd"/>
      <w:r w:rsidRPr="001C3053">
        <w:t>子</w:t>
      </w:r>
      <w:r w:rsidRPr="001C3053">
        <w:t>——</w:t>
      </w:r>
      <w:r w:rsidRPr="001C3053">
        <w:t>信用货币的制度创新</w:t>
      </w:r>
      <w:bookmarkEnd w:id="3"/>
    </w:p>
    <w:p w14:paraId="37030E9C" w14:textId="764B6895" w:rsidR="00B66FA7" w:rsidRDefault="00B66FA7" w:rsidP="00541847">
      <w:pPr>
        <w:ind w:firstLineChars="200" w:firstLine="440"/>
        <w:rPr>
          <w:rFonts w:ascii="宋体" w:eastAsia="宋体" w:hAnsi="宋体" w:hint="eastAsia"/>
        </w:rPr>
      </w:pPr>
      <w:proofErr w:type="gramStart"/>
      <w:r w:rsidRPr="00B66FA7">
        <w:rPr>
          <w:rFonts w:ascii="宋体" w:eastAsia="宋体" w:hAnsi="宋体"/>
        </w:rPr>
        <w:t>飞钱与</w:t>
      </w:r>
      <w:proofErr w:type="gramEnd"/>
      <w:r w:rsidRPr="00B66FA7">
        <w:rPr>
          <w:rFonts w:ascii="宋体" w:eastAsia="宋体" w:hAnsi="宋体"/>
        </w:rPr>
        <w:t>交子构成首次金融化革命。唐代</w:t>
      </w:r>
      <w:proofErr w:type="gramStart"/>
      <w:r w:rsidRPr="00B66FA7">
        <w:rPr>
          <w:rFonts w:ascii="宋体" w:eastAsia="宋体" w:hAnsi="宋体"/>
        </w:rPr>
        <w:t>柜坊受</w:t>
      </w:r>
      <w:proofErr w:type="gramEnd"/>
      <w:r w:rsidRPr="00B66FA7">
        <w:rPr>
          <w:rFonts w:ascii="宋体" w:eastAsia="宋体" w:hAnsi="宋体"/>
        </w:rPr>
        <w:t>委托保管铜钱并开具“飞钱”凭证，开创汇兑业务，其本质是以国家信用与商人联保机制替代贵金属运输成本。宋代交子将制度创新推向纵深：成都十六户富商联保发行铁钱兑换券，设立准备金制度（初始覆盖率28.7%），并制定三年</w:t>
      </w:r>
      <w:proofErr w:type="gramStart"/>
      <w:r w:rsidRPr="00B66FA7">
        <w:rPr>
          <w:rFonts w:ascii="宋体" w:eastAsia="宋体" w:hAnsi="宋体"/>
        </w:rPr>
        <w:t>一</w:t>
      </w:r>
      <w:proofErr w:type="gramEnd"/>
      <w:r w:rsidRPr="00B66FA7">
        <w:rPr>
          <w:rFonts w:ascii="宋体" w:eastAsia="宋体" w:hAnsi="宋体"/>
        </w:rPr>
        <w:t>界的发行限额。这一模式通过“信用租赁”将货币制度成本转化为创新租金，使四川地区交易效率提升三倍</w:t>
      </w:r>
      <w:r w:rsidR="00037AD2" w:rsidRPr="00541847">
        <w:rPr>
          <w:rFonts w:ascii="宋体" w:eastAsia="宋体" w:hAnsi="宋体" w:hint="eastAsia"/>
        </w:rPr>
        <w:fldChar w:fldCharType="begin"/>
      </w:r>
      <w:r w:rsidR="00037AD2" w:rsidRPr="00541847">
        <w:rPr>
          <w:rFonts w:ascii="宋体" w:eastAsia="宋体" w:hAnsi="宋体" w:hint="eastAsia"/>
        </w:rPr>
        <w:instrText xml:space="preserve"> </w:instrText>
      </w:r>
      <w:r w:rsidR="00037AD2" w:rsidRPr="00541847">
        <w:rPr>
          <w:rFonts w:ascii="宋体" w:eastAsia="宋体" w:hAnsi="宋体"/>
        </w:rPr>
        <w:instrText>REF _Ref218611938 \r \h</w:instrText>
      </w:r>
      <w:r w:rsidR="00037AD2" w:rsidRPr="00541847">
        <w:rPr>
          <w:rFonts w:ascii="宋体" w:eastAsia="宋体" w:hAnsi="宋体" w:hint="eastAsia"/>
        </w:rPr>
        <w:instrText xml:space="preserve">  \* MERGEFORMAT </w:instrText>
      </w:r>
      <w:r w:rsidR="00037AD2" w:rsidRPr="00541847">
        <w:rPr>
          <w:rFonts w:ascii="宋体" w:eastAsia="宋体" w:hAnsi="宋体" w:hint="eastAsia"/>
        </w:rPr>
      </w:r>
      <w:r w:rsidR="00037AD2" w:rsidRPr="00541847">
        <w:rPr>
          <w:rFonts w:ascii="宋体" w:eastAsia="宋体" w:hAnsi="宋体" w:hint="eastAsia"/>
        </w:rPr>
        <w:fldChar w:fldCharType="separate"/>
      </w:r>
      <w:r w:rsidR="00037AD2" w:rsidRPr="00541847">
        <w:rPr>
          <w:rFonts w:ascii="宋体" w:eastAsia="宋体" w:hAnsi="宋体" w:hint="eastAsia"/>
        </w:rPr>
        <w:t>[2]</w:t>
      </w:r>
      <w:r w:rsidR="00037AD2" w:rsidRPr="00541847">
        <w:rPr>
          <w:rFonts w:ascii="宋体" w:eastAsia="宋体" w:hAnsi="宋体" w:hint="eastAsia"/>
        </w:rPr>
        <w:fldChar w:fldCharType="end"/>
      </w:r>
      <w:r w:rsidRPr="00B66FA7">
        <w:rPr>
          <w:rFonts w:ascii="宋体" w:eastAsia="宋体" w:hAnsi="宋体"/>
        </w:rPr>
        <w:t>。其深层机制在于，当正式产权保护不足时，</w:t>
      </w:r>
      <w:proofErr w:type="gramStart"/>
      <w:r w:rsidRPr="00B66FA7">
        <w:rPr>
          <w:rFonts w:ascii="宋体" w:eastAsia="宋体" w:hAnsi="宋体"/>
        </w:rPr>
        <w:t>联保共责与</w:t>
      </w:r>
      <w:proofErr w:type="gramEnd"/>
      <w:r w:rsidRPr="00B66FA7">
        <w:rPr>
          <w:rFonts w:ascii="宋体" w:eastAsia="宋体" w:hAnsi="宋体"/>
        </w:rPr>
        <w:t>准备金约束构成非正式制度，以声誉资本替代法律执行成本。</w:t>
      </w:r>
    </w:p>
    <w:p w14:paraId="357A8D2B" w14:textId="30A79F77" w:rsidR="0044434A" w:rsidRPr="00B66FA7" w:rsidRDefault="0044434A" w:rsidP="00214D09">
      <w:pPr>
        <w:pStyle w:val="2"/>
        <w:rPr>
          <w:rFonts w:hint="eastAsia"/>
        </w:rPr>
      </w:pPr>
      <w:bookmarkStart w:id="4" w:name="_Toc218612342"/>
      <w:r>
        <w:rPr>
          <w:rFonts w:hint="eastAsia"/>
        </w:rPr>
        <w:lastRenderedPageBreak/>
        <w:t xml:space="preserve">2.2 </w:t>
      </w:r>
      <w:r>
        <w:rPr>
          <w:rFonts w:hint="eastAsia"/>
        </w:rPr>
        <w:t>历史意义与当代借鉴</w:t>
      </w:r>
      <w:bookmarkEnd w:id="4"/>
    </w:p>
    <w:p w14:paraId="0B544CFE" w14:textId="2246E9FD" w:rsidR="00B66FA7" w:rsidRPr="00B66FA7" w:rsidRDefault="00B66FA7" w:rsidP="00541847">
      <w:pPr>
        <w:ind w:firstLineChars="200" w:firstLine="440"/>
        <w:rPr>
          <w:rFonts w:ascii="宋体" w:eastAsia="宋体" w:hAnsi="宋体" w:hint="eastAsia"/>
        </w:rPr>
      </w:pPr>
      <w:r w:rsidRPr="00B66FA7">
        <w:rPr>
          <w:rFonts w:ascii="宋体" w:eastAsia="宋体" w:hAnsi="宋体"/>
        </w:rPr>
        <w:t>此范式转换对当代数字货币具直接启示。交子的没落源于北宋政府超发铸币税，金融体系丧失制度可信性。</w:t>
      </w:r>
      <w:r w:rsidR="0051072D" w:rsidRPr="00807FF2">
        <w:rPr>
          <w:rFonts w:ascii="宋体" w:eastAsia="宋体" w:hAnsi="宋体" w:hint="eastAsia"/>
        </w:rPr>
        <w:t>而对于当代</w:t>
      </w:r>
      <w:r w:rsidRPr="00B66FA7">
        <w:rPr>
          <w:rFonts w:ascii="宋体" w:eastAsia="宋体" w:hAnsi="宋体"/>
        </w:rPr>
        <w:t>央行数字货币设计</w:t>
      </w:r>
      <w:r w:rsidR="0051072D" w:rsidRPr="00807FF2">
        <w:rPr>
          <w:rFonts w:ascii="宋体" w:eastAsia="宋体" w:hAnsi="宋体" w:hint="eastAsia"/>
        </w:rPr>
        <w:t>来讲，如果</w:t>
      </w:r>
      <w:r w:rsidRPr="00B66FA7">
        <w:rPr>
          <w:rFonts w:ascii="宋体" w:eastAsia="宋体" w:hAnsi="宋体"/>
        </w:rPr>
        <w:t>缺乏类似“准备金-发行限额”的刚性规则与透明算法</w:t>
      </w:r>
      <w:r w:rsidR="004F73E7" w:rsidRPr="00807FF2">
        <w:rPr>
          <w:rFonts w:ascii="宋体" w:eastAsia="宋体" w:hAnsi="宋体" w:hint="eastAsia"/>
        </w:rPr>
        <w:t>的约束</w:t>
      </w:r>
      <w:r w:rsidRPr="00B66FA7">
        <w:rPr>
          <w:rFonts w:ascii="宋体" w:eastAsia="宋体" w:hAnsi="宋体"/>
        </w:rPr>
        <w:t>，数字信用同样面临机会主义侵蚀风险。</w:t>
      </w:r>
      <w:r w:rsidR="004F73E7" w:rsidRPr="00807FF2">
        <w:rPr>
          <w:rFonts w:ascii="宋体" w:eastAsia="宋体" w:hAnsi="宋体" w:hint="eastAsia"/>
        </w:rPr>
        <w:t>另一方面，监管可以</w:t>
      </w:r>
      <w:r w:rsidRPr="00B66FA7">
        <w:rPr>
          <w:rFonts w:ascii="宋体" w:eastAsia="宋体" w:hAnsi="宋体"/>
        </w:rPr>
        <w:t>借鉴“联保”机制，要求发行方以智能合约锁定准备金，实现代码即法律的契约自动执行，</w:t>
      </w:r>
      <w:r w:rsidR="00981975" w:rsidRPr="00807FF2">
        <w:rPr>
          <w:rFonts w:ascii="宋体" w:eastAsia="宋体" w:hAnsi="宋体" w:hint="eastAsia"/>
        </w:rPr>
        <w:t>或者</w:t>
      </w:r>
      <w:proofErr w:type="gramStart"/>
      <w:r w:rsidR="00981975" w:rsidRPr="00807FF2">
        <w:rPr>
          <w:rFonts w:ascii="宋体" w:eastAsia="宋体" w:hAnsi="宋体" w:hint="eastAsia"/>
        </w:rPr>
        <w:t>借鉴区</w:t>
      </w:r>
      <w:proofErr w:type="gramEnd"/>
      <w:r w:rsidR="00981975" w:rsidRPr="00807FF2">
        <w:rPr>
          <w:rFonts w:ascii="宋体" w:eastAsia="宋体" w:hAnsi="宋体" w:hint="eastAsia"/>
        </w:rPr>
        <w:t>块链技术的思想，从技术上保证</w:t>
      </w:r>
      <w:r w:rsidR="006E518B" w:rsidRPr="00807FF2">
        <w:rPr>
          <w:rFonts w:ascii="宋体" w:eastAsia="宋体" w:hAnsi="宋体" w:hint="eastAsia"/>
        </w:rPr>
        <w:t>数字货币的信任度，</w:t>
      </w:r>
      <w:r w:rsidRPr="00B66FA7">
        <w:rPr>
          <w:rFonts w:ascii="宋体" w:eastAsia="宋体" w:hAnsi="宋体"/>
        </w:rPr>
        <w:t>从而降低数字经济时代的制度信任成本。</w:t>
      </w:r>
    </w:p>
    <w:p w14:paraId="68CF3164" w14:textId="2E1EAA33" w:rsidR="00B66FA7" w:rsidRPr="00807FF2" w:rsidRDefault="00B66FA7" w:rsidP="00214D09">
      <w:pPr>
        <w:pStyle w:val="1"/>
        <w:rPr>
          <w:rFonts w:hint="eastAsia"/>
        </w:rPr>
      </w:pPr>
      <w:bookmarkStart w:id="5" w:name="_Toc218612343"/>
      <w:r w:rsidRPr="00807FF2">
        <w:t>三</w:t>
      </w:r>
      <w:r w:rsidR="000F572A" w:rsidRPr="00807FF2">
        <w:rPr>
          <w:rFonts w:hint="eastAsia"/>
        </w:rPr>
        <w:t>、</w:t>
      </w:r>
      <w:r w:rsidRPr="00807FF2">
        <w:t>明清成熟：商帮制度的组织创新与声誉资本</w:t>
      </w:r>
      <w:bookmarkEnd w:id="5"/>
    </w:p>
    <w:p w14:paraId="2C2F8710" w14:textId="496E3635" w:rsidR="00FD3159" w:rsidRPr="00B66FA7" w:rsidRDefault="00B66FA7" w:rsidP="00541847">
      <w:pPr>
        <w:ind w:firstLineChars="200" w:firstLine="440"/>
        <w:rPr>
          <w:rFonts w:ascii="宋体" w:eastAsia="宋体" w:hAnsi="宋体" w:hint="eastAsia"/>
        </w:rPr>
      </w:pPr>
      <w:r w:rsidRPr="00B66FA7">
        <w:rPr>
          <w:rFonts w:ascii="宋体" w:eastAsia="宋体" w:hAnsi="宋体"/>
        </w:rPr>
        <w:t>明清海禁政策导致海外贸易</w:t>
      </w:r>
      <w:r w:rsidR="003165C6" w:rsidRPr="00807FF2">
        <w:rPr>
          <w:rFonts w:ascii="宋体" w:eastAsia="宋体" w:hAnsi="宋体" w:hint="eastAsia"/>
        </w:rPr>
        <w:t>的</w:t>
      </w:r>
      <w:r w:rsidRPr="00B66FA7">
        <w:rPr>
          <w:rFonts w:ascii="宋体" w:eastAsia="宋体" w:hAnsi="宋体"/>
        </w:rPr>
        <w:t>司法保护缺位，</w:t>
      </w:r>
      <w:r w:rsidR="003165C6" w:rsidRPr="00807FF2">
        <w:rPr>
          <w:rFonts w:ascii="宋体" w:eastAsia="宋体" w:hAnsi="宋体" w:hint="eastAsia"/>
        </w:rPr>
        <w:t>而</w:t>
      </w:r>
      <w:r w:rsidR="00F55256" w:rsidRPr="00807FF2">
        <w:rPr>
          <w:rFonts w:ascii="宋体" w:eastAsia="宋体" w:hAnsi="宋体" w:hint="eastAsia"/>
        </w:rPr>
        <w:t>朝廷制度中缺乏针对商业纠纷的官方仲裁机制</w:t>
      </w:r>
      <w:r w:rsidRPr="00B66FA7">
        <w:rPr>
          <w:rFonts w:ascii="宋体" w:eastAsia="宋体" w:hAnsi="宋体"/>
        </w:rPr>
        <w:t>，</w:t>
      </w:r>
      <w:r w:rsidR="00F55256" w:rsidRPr="00807FF2">
        <w:rPr>
          <w:rFonts w:ascii="宋体" w:eastAsia="宋体" w:hAnsi="宋体" w:hint="eastAsia"/>
        </w:rPr>
        <w:t>使得</w:t>
      </w:r>
      <w:r w:rsidRPr="00B66FA7">
        <w:rPr>
          <w:rFonts w:ascii="宋体" w:eastAsia="宋体" w:hAnsi="宋体"/>
        </w:rPr>
        <w:t>制度</w:t>
      </w:r>
      <w:r w:rsidR="00F55256" w:rsidRPr="00807FF2">
        <w:rPr>
          <w:rFonts w:ascii="宋体" w:eastAsia="宋体" w:hAnsi="宋体" w:hint="eastAsia"/>
        </w:rPr>
        <w:t>约束的</w:t>
      </w:r>
      <w:r w:rsidRPr="00B66FA7">
        <w:rPr>
          <w:rFonts w:ascii="宋体" w:eastAsia="宋体" w:hAnsi="宋体"/>
        </w:rPr>
        <w:t>成本急剧攀升。</w:t>
      </w:r>
      <w:r w:rsidR="008E1AB7" w:rsidRPr="00807FF2">
        <w:rPr>
          <w:rFonts w:ascii="宋体" w:eastAsia="宋体" w:hAnsi="宋体" w:hint="eastAsia"/>
        </w:rPr>
        <w:t>晋商便是看中了这一缺口的</w:t>
      </w:r>
      <w:r w:rsidR="0023507B" w:rsidRPr="00807FF2">
        <w:rPr>
          <w:rFonts w:ascii="宋体" w:eastAsia="宋体" w:hAnsi="宋体" w:hint="eastAsia"/>
        </w:rPr>
        <w:t>可操作性，</w:t>
      </w:r>
      <w:r w:rsidRPr="00B66FA7">
        <w:rPr>
          <w:rFonts w:ascii="宋体" w:eastAsia="宋体" w:hAnsi="宋体"/>
        </w:rPr>
        <w:t>徽州、山西</w:t>
      </w:r>
      <w:r w:rsidR="0023507B" w:rsidRPr="00807FF2">
        <w:rPr>
          <w:rFonts w:ascii="宋体" w:eastAsia="宋体" w:hAnsi="宋体" w:hint="eastAsia"/>
        </w:rPr>
        <w:t>等地的</w:t>
      </w:r>
      <w:r w:rsidRPr="00B66FA7">
        <w:rPr>
          <w:rFonts w:ascii="宋体" w:eastAsia="宋体" w:hAnsi="宋体"/>
        </w:rPr>
        <w:t>商人</w:t>
      </w:r>
      <w:r w:rsidR="0023507B" w:rsidRPr="00807FF2">
        <w:rPr>
          <w:rFonts w:ascii="宋体" w:eastAsia="宋体" w:hAnsi="宋体" w:hint="eastAsia"/>
        </w:rPr>
        <w:t>利用</w:t>
      </w:r>
      <w:r w:rsidRPr="00B66FA7">
        <w:rPr>
          <w:rFonts w:ascii="宋体" w:eastAsia="宋体" w:hAnsi="宋体"/>
        </w:rPr>
        <w:t>宗族法与地域信用重建契约执行体系</w:t>
      </w:r>
      <w:r w:rsidR="00037AD2" w:rsidRPr="00541847">
        <w:rPr>
          <w:rFonts w:ascii="宋体" w:eastAsia="宋体" w:hAnsi="宋体" w:hint="eastAsia"/>
        </w:rPr>
        <w:fldChar w:fldCharType="begin"/>
      </w:r>
      <w:r w:rsidR="00037AD2" w:rsidRPr="00541847">
        <w:rPr>
          <w:rFonts w:ascii="宋体" w:eastAsia="宋体" w:hAnsi="宋体" w:hint="eastAsia"/>
        </w:rPr>
        <w:instrText xml:space="preserve"> </w:instrText>
      </w:r>
      <w:r w:rsidR="00037AD2" w:rsidRPr="00541847">
        <w:rPr>
          <w:rFonts w:ascii="宋体" w:eastAsia="宋体" w:hAnsi="宋体"/>
        </w:rPr>
        <w:instrText>REF _Ref218611952 \r \h</w:instrText>
      </w:r>
      <w:r w:rsidR="00037AD2" w:rsidRPr="00541847">
        <w:rPr>
          <w:rFonts w:ascii="宋体" w:eastAsia="宋体" w:hAnsi="宋体" w:hint="eastAsia"/>
        </w:rPr>
        <w:instrText xml:space="preserve">  \* MERGEFORMAT </w:instrText>
      </w:r>
      <w:r w:rsidR="00037AD2" w:rsidRPr="00541847">
        <w:rPr>
          <w:rFonts w:ascii="宋体" w:eastAsia="宋体" w:hAnsi="宋体" w:hint="eastAsia"/>
        </w:rPr>
      </w:r>
      <w:r w:rsidR="00037AD2" w:rsidRPr="00541847">
        <w:rPr>
          <w:rFonts w:ascii="宋体" w:eastAsia="宋体" w:hAnsi="宋体" w:hint="eastAsia"/>
        </w:rPr>
        <w:fldChar w:fldCharType="separate"/>
      </w:r>
      <w:r w:rsidR="00037AD2" w:rsidRPr="00541847">
        <w:rPr>
          <w:rFonts w:ascii="宋体" w:eastAsia="宋体" w:hAnsi="宋体" w:hint="eastAsia"/>
        </w:rPr>
        <w:t>[3]</w:t>
      </w:r>
      <w:r w:rsidR="00037AD2" w:rsidRPr="00541847">
        <w:rPr>
          <w:rFonts w:ascii="宋体" w:eastAsia="宋体" w:hAnsi="宋体" w:hint="eastAsia"/>
        </w:rPr>
        <w:fldChar w:fldCharType="end"/>
      </w:r>
      <w:r w:rsidRPr="00B66FA7">
        <w:rPr>
          <w:rFonts w:ascii="宋体" w:eastAsia="宋体" w:hAnsi="宋体"/>
        </w:rPr>
        <w:t>。晋商票号创造了 "东掌分离+</w:t>
      </w:r>
      <w:proofErr w:type="gramStart"/>
      <w:r w:rsidRPr="00B66FA7">
        <w:rPr>
          <w:rFonts w:ascii="宋体" w:eastAsia="宋体" w:hAnsi="宋体"/>
        </w:rPr>
        <w:t>身股制</w:t>
      </w:r>
      <w:proofErr w:type="gramEnd"/>
      <w:r w:rsidRPr="00B66FA7">
        <w:rPr>
          <w:rFonts w:ascii="宋体" w:eastAsia="宋体" w:hAnsi="宋体"/>
        </w:rPr>
        <w:t>" 的商业模式创新，东家作为所有者仅保留重大决策权，掌柜拥有日常经营全权，</w:t>
      </w:r>
      <w:r w:rsidR="00696A62" w:rsidRPr="00807FF2">
        <w:rPr>
          <w:rFonts w:ascii="宋体" w:eastAsia="宋体" w:hAnsi="宋体" w:hint="eastAsia"/>
        </w:rPr>
        <w:t>采用“身股”的形式使</w:t>
      </w:r>
      <w:r w:rsidRPr="00B66FA7">
        <w:rPr>
          <w:rFonts w:ascii="宋体" w:eastAsia="宋体" w:hAnsi="宋体"/>
        </w:rPr>
        <w:t>其人力资本获得股权，</w:t>
      </w:r>
      <w:proofErr w:type="gramStart"/>
      <w:r w:rsidRPr="00B66FA7">
        <w:rPr>
          <w:rFonts w:ascii="宋体" w:eastAsia="宋体" w:hAnsi="宋体"/>
        </w:rPr>
        <w:t>顶身股</w:t>
      </w:r>
      <w:proofErr w:type="gramEnd"/>
      <w:r w:rsidRPr="00B66FA7">
        <w:rPr>
          <w:rFonts w:ascii="宋体" w:eastAsia="宋体" w:hAnsi="宋体"/>
        </w:rPr>
        <w:t>者可达总股份的60%以上</w:t>
      </w:r>
      <w:r w:rsidR="00037AD2" w:rsidRPr="00541847">
        <w:rPr>
          <w:rFonts w:ascii="宋体" w:eastAsia="宋体" w:hAnsi="宋体" w:hint="eastAsia"/>
        </w:rPr>
        <w:fldChar w:fldCharType="begin"/>
      </w:r>
      <w:r w:rsidR="00037AD2" w:rsidRPr="00541847">
        <w:rPr>
          <w:rFonts w:ascii="宋体" w:eastAsia="宋体" w:hAnsi="宋体" w:hint="eastAsia"/>
        </w:rPr>
        <w:instrText xml:space="preserve"> </w:instrText>
      </w:r>
      <w:r w:rsidR="00037AD2" w:rsidRPr="00541847">
        <w:rPr>
          <w:rFonts w:ascii="宋体" w:eastAsia="宋体" w:hAnsi="宋体"/>
        </w:rPr>
        <w:instrText>REF _Ref218611959 \r \h</w:instrText>
      </w:r>
      <w:r w:rsidR="00037AD2" w:rsidRPr="00541847">
        <w:rPr>
          <w:rFonts w:ascii="宋体" w:eastAsia="宋体" w:hAnsi="宋体" w:hint="eastAsia"/>
        </w:rPr>
        <w:instrText xml:space="preserve">  \* MERGEFORMAT </w:instrText>
      </w:r>
      <w:r w:rsidR="00037AD2" w:rsidRPr="00541847">
        <w:rPr>
          <w:rFonts w:ascii="宋体" w:eastAsia="宋体" w:hAnsi="宋体" w:hint="eastAsia"/>
        </w:rPr>
      </w:r>
      <w:r w:rsidR="00037AD2" w:rsidRPr="00541847">
        <w:rPr>
          <w:rFonts w:ascii="宋体" w:eastAsia="宋体" w:hAnsi="宋体" w:hint="eastAsia"/>
        </w:rPr>
        <w:fldChar w:fldCharType="separate"/>
      </w:r>
      <w:r w:rsidR="00037AD2" w:rsidRPr="00541847">
        <w:rPr>
          <w:rFonts w:ascii="宋体" w:eastAsia="宋体" w:hAnsi="宋体" w:hint="eastAsia"/>
        </w:rPr>
        <w:t>[4]</w:t>
      </w:r>
      <w:r w:rsidR="00037AD2" w:rsidRPr="00541847">
        <w:rPr>
          <w:rFonts w:ascii="宋体" w:eastAsia="宋体" w:hAnsi="宋体" w:hint="eastAsia"/>
        </w:rPr>
        <w:fldChar w:fldCharType="end"/>
      </w:r>
      <w:r w:rsidRPr="00B66FA7">
        <w:rPr>
          <w:rFonts w:ascii="宋体" w:eastAsia="宋体" w:hAnsi="宋体"/>
        </w:rPr>
        <w:t>。这一制度将掌柜的声誉资本转化为可交易、可继承的产权，在无限责任下形成自我履约激励</w:t>
      </w:r>
      <w:r w:rsidR="00696A62" w:rsidRPr="00807FF2">
        <w:rPr>
          <w:rFonts w:ascii="宋体" w:eastAsia="宋体" w:hAnsi="宋体" w:hint="eastAsia"/>
        </w:rPr>
        <w:t>。</w:t>
      </w:r>
      <w:r w:rsidRPr="00B66FA7">
        <w:rPr>
          <w:rFonts w:ascii="宋体" w:eastAsia="宋体" w:hAnsi="宋体"/>
        </w:rPr>
        <w:t>票号分号扩张至400余家，覆盖全国商路网。</w:t>
      </w:r>
    </w:p>
    <w:p w14:paraId="6BF5DEEE" w14:textId="161ECADB" w:rsidR="00B66FA7" w:rsidRPr="00B66FA7" w:rsidRDefault="00B66FA7" w:rsidP="00541847">
      <w:pPr>
        <w:ind w:firstLineChars="200" w:firstLine="440"/>
        <w:rPr>
          <w:rFonts w:ascii="宋体" w:eastAsia="宋体" w:hAnsi="宋体" w:hint="eastAsia"/>
        </w:rPr>
      </w:pPr>
      <w:r w:rsidRPr="00B66FA7">
        <w:rPr>
          <w:rFonts w:ascii="宋体" w:eastAsia="宋体" w:hAnsi="宋体"/>
        </w:rPr>
        <w:t>该模式本质是非正式制度对正式制度成本的替代。当国家无法提供</w:t>
      </w:r>
      <w:r w:rsidR="00981D32" w:rsidRPr="00807FF2">
        <w:rPr>
          <w:rFonts w:ascii="宋体" w:eastAsia="宋体" w:hAnsi="宋体" w:hint="eastAsia"/>
        </w:rPr>
        <w:t>官方的</w:t>
      </w:r>
      <w:r w:rsidRPr="00B66FA7">
        <w:rPr>
          <w:rFonts w:ascii="宋体" w:eastAsia="宋体" w:hAnsi="宋体"/>
        </w:rPr>
        <w:t>跨区产权保护时，晋商以 "用乡不用亲" 的乡土声誉筛选机制、 "</w:t>
      </w:r>
      <w:proofErr w:type="gramStart"/>
      <w:r w:rsidRPr="00B66FA7">
        <w:rPr>
          <w:rFonts w:ascii="宋体" w:eastAsia="宋体" w:hAnsi="宋体"/>
        </w:rPr>
        <w:t>酌盈济虚</w:t>
      </w:r>
      <w:proofErr w:type="gramEnd"/>
      <w:r w:rsidRPr="00B66FA7">
        <w:rPr>
          <w:rFonts w:ascii="宋体" w:eastAsia="宋体" w:hAnsi="宋体"/>
        </w:rPr>
        <w:t>" 的同业拆借规则，将宗族信任扩展为全国信用网络。其创新租金来源于制度套利：通过声誉资本降低契约执行成本，较官办金融机构效率提升50%以上</w:t>
      </w:r>
      <w:r w:rsidR="00037AD2" w:rsidRPr="00541847">
        <w:rPr>
          <w:rFonts w:ascii="宋体" w:eastAsia="宋体" w:hAnsi="宋体" w:hint="eastAsia"/>
        </w:rPr>
        <w:fldChar w:fldCharType="begin"/>
      </w:r>
      <w:r w:rsidR="00037AD2" w:rsidRPr="00541847">
        <w:rPr>
          <w:rFonts w:ascii="宋体" w:eastAsia="宋体" w:hAnsi="宋体" w:hint="eastAsia"/>
        </w:rPr>
        <w:instrText xml:space="preserve"> </w:instrText>
      </w:r>
      <w:r w:rsidR="00037AD2" w:rsidRPr="00541847">
        <w:rPr>
          <w:rFonts w:ascii="宋体" w:eastAsia="宋体" w:hAnsi="宋体"/>
        </w:rPr>
        <w:instrText>REF _Ref218611964 \r \h</w:instrText>
      </w:r>
      <w:r w:rsidR="00037AD2" w:rsidRPr="00541847">
        <w:rPr>
          <w:rFonts w:ascii="宋体" w:eastAsia="宋体" w:hAnsi="宋体" w:hint="eastAsia"/>
        </w:rPr>
        <w:instrText xml:space="preserve">  \* MERGEFORMAT </w:instrText>
      </w:r>
      <w:r w:rsidR="00037AD2" w:rsidRPr="00541847">
        <w:rPr>
          <w:rFonts w:ascii="宋体" w:eastAsia="宋体" w:hAnsi="宋体" w:hint="eastAsia"/>
        </w:rPr>
      </w:r>
      <w:r w:rsidR="00037AD2" w:rsidRPr="00541847">
        <w:rPr>
          <w:rFonts w:ascii="宋体" w:eastAsia="宋体" w:hAnsi="宋体" w:hint="eastAsia"/>
        </w:rPr>
        <w:fldChar w:fldCharType="separate"/>
      </w:r>
      <w:r w:rsidR="00037AD2" w:rsidRPr="00541847">
        <w:rPr>
          <w:rFonts w:ascii="宋体" w:eastAsia="宋体" w:hAnsi="宋体" w:hint="eastAsia"/>
        </w:rPr>
        <w:t>[5]</w:t>
      </w:r>
      <w:r w:rsidR="00037AD2" w:rsidRPr="00541847">
        <w:rPr>
          <w:rFonts w:ascii="宋体" w:eastAsia="宋体" w:hAnsi="宋体" w:hint="eastAsia"/>
        </w:rPr>
        <w:fldChar w:fldCharType="end"/>
      </w:r>
      <w:r w:rsidRPr="00B66FA7">
        <w:rPr>
          <w:rFonts w:ascii="宋体" w:eastAsia="宋体" w:hAnsi="宋体"/>
        </w:rPr>
        <w:t>。但</w:t>
      </w:r>
      <w:r w:rsidR="003910D7" w:rsidRPr="00807FF2">
        <w:rPr>
          <w:rFonts w:ascii="宋体" w:eastAsia="宋体" w:hAnsi="宋体" w:hint="eastAsia"/>
        </w:rPr>
        <w:t>当</w:t>
      </w:r>
      <w:r w:rsidRPr="00B66FA7">
        <w:rPr>
          <w:rFonts w:ascii="宋体" w:eastAsia="宋体" w:hAnsi="宋体"/>
        </w:rPr>
        <w:t>晚清政府过度介入</w:t>
      </w:r>
      <w:r w:rsidR="003910D7" w:rsidRPr="00807FF2">
        <w:rPr>
          <w:rFonts w:ascii="宋体" w:eastAsia="宋体" w:hAnsi="宋体" w:hint="eastAsia"/>
        </w:rPr>
        <w:t>后，</w:t>
      </w:r>
      <w:r w:rsidRPr="00B66FA7">
        <w:rPr>
          <w:rFonts w:ascii="宋体" w:eastAsia="宋体" w:hAnsi="宋体"/>
        </w:rPr>
        <w:t>票号被迫承担赔款汇兑，声誉资本被国家信用透支而</w:t>
      </w:r>
      <w:r w:rsidR="003910D7" w:rsidRPr="00807FF2">
        <w:rPr>
          <w:rFonts w:ascii="宋体" w:eastAsia="宋体" w:hAnsi="宋体" w:hint="eastAsia"/>
        </w:rPr>
        <w:t>导致整个体系的</w:t>
      </w:r>
      <w:r w:rsidRPr="00B66FA7">
        <w:rPr>
          <w:rFonts w:ascii="宋体" w:eastAsia="宋体" w:hAnsi="宋体"/>
        </w:rPr>
        <w:t>崩溃。</w:t>
      </w:r>
    </w:p>
    <w:p w14:paraId="52764486" w14:textId="4289D83B" w:rsidR="00B66FA7" w:rsidRPr="00B66FA7" w:rsidRDefault="00B66FA7" w:rsidP="00541847">
      <w:pPr>
        <w:ind w:firstLineChars="200" w:firstLine="440"/>
        <w:rPr>
          <w:rFonts w:ascii="宋体" w:eastAsia="宋体" w:hAnsi="宋体" w:hint="eastAsia"/>
        </w:rPr>
      </w:pPr>
      <w:r w:rsidRPr="00B66FA7">
        <w:rPr>
          <w:rFonts w:ascii="宋体" w:eastAsia="宋体" w:hAnsi="宋体"/>
        </w:rPr>
        <w:t>此历史基因对平台经济治理具有直接启示。当前平台依赖算法</w:t>
      </w:r>
      <w:r w:rsidR="003910D7" w:rsidRPr="00807FF2">
        <w:rPr>
          <w:rFonts w:ascii="宋体" w:eastAsia="宋体" w:hAnsi="宋体" w:hint="eastAsia"/>
        </w:rPr>
        <w:t>的</w:t>
      </w:r>
      <w:r w:rsidRPr="00B66FA7">
        <w:rPr>
          <w:rFonts w:ascii="宋体" w:eastAsia="宋体" w:hAnsi="宋体"/>
        </w:rPr>
        <w:t>评分系统</w:t>
      </w:r>
      <w:r w:rsidR="003910D7" w:rsidRPr="00807FF2">
        <w:rPr>
          <w:rFonts w:ascii="宋体" w:eastAsia="宋体" w:hAnsi="宋体" w:hint="eastAsia"/>
        </w:rPr>
        <w:t>作为声誉资本，</w:t>
      </w:r>
      <w:r w:rsidRPr="00B66FA7">
        <w:rPr>
          <w:rFonts w:ascii="宋体" w:eastAsia="宋体" w:hAnsi="宋体"/>
        </w:rPr>
        <w:t>降低信息不对称，与晋商"</w:t>
      </w:r>
      <w:proofErr w:type="gramStart"/>
      <w:r w:rsidRPr="00B66FA7">
        <w:rPr>
          <w:rFonts w:ascii="宋体" w:eastAsia="宋体" w:hAnsi="宋体"/>
        </w:rPr>
        <w:t>身股</w:t>
      </w:r>
      <w:proofErr w:type="gramEnd"/>
      <w:r w:rsidRPr="00B66FA7">
        <w:rPr>
          <w:rFonts w:ascii="宋体" w:eastAsia="宋体" w:hAnsi="宋体"/>
        </w:rPr>
        <w:t>"逻辑一致——以数字声誉资本替代法律执行成本。</w:t>
      </w:r>
      <w:r w:rsidR="003910D7" w:rsidRPr="00807FF2">
        <w:rPr>
          <w:rFonts w:ascii="宋体" w:eastAsia="宋体" w:hAnsi="宋体" w:hint="eastAsia"/>
        </w:rPr>
        <w:t>由此，各个平台可以</w:t>
      </w:r>
      <w:r w:rsidRPr="00B66FA7">
        <w:rPr>
          <w:rFonts w:ascii="宋体" w:eastAsia="宋体" w:hAnsi="宋体"/>
        </w:rPr>
        <w:t>借鉴票号"联号制"建立平台间信用共享机制，将商家数据表现转化为类似"</w:t>
      </w:r>
      <w:proofErr w:type="gramStart"/>
      <w:r w:rsidRPr="00B66FA7">
        <w:rPr>
          <w:rFonts w:ascii="宋体" w:eastAsia="宋体" w:hAnsi="宋体"/>
        </w:rPr>
        <w:t>数据身股</w:t>
      </w:r>
      <w:proofErr w:type="gramEnd"/>
      <w:r w:rsidRPr="00B66FA7">
        <w:rPr>
          <w:rFonts w:ascii="宋体" w:eastAsia="宋体" w:hAnsi="宋体"/>
        </w:rPr>
        <w:t>"的收益权，，实现《民法典》框架下的数字劳动资本化，破解平台单边定价</w:t>
      </w:r>
      <w:r w:rsidR="00FE35CA" w:rsidRPr="00807FF2">
        <w:rPr>
          <w:rFonts w:ascii="宋体" w:eastAsia="宋体" w:hAnsi="宋体" w:hint="eastAsia"/>
        </w:rPr>
        <w:t>的</w:t>
      </w:r>
      <w:r w:rsidRPr="00B66FA7">
        <w:rPr>
          <w:rFonts w:ascii="宋体" w:eastAsia="宋体" w:hAnsi="宋体"/>
        </w:rPr>
        <w:t>困境。</w:t>
      </w:r>
    </w:p>
    <w:p w14:paraId="1E2FB075" w14:textId="2858D9AF" w:rsidR="00B66FA7" w:rsidRPr="00807FF2" w:rsidRDefault="00B66FA7" w:rsidP="00214D09">
      <w:pPr>
        <w:pStyle w:val="1"/>
        <w:rPr>
          <w:rFonts w:hint="eastAsia"/>
        </w:rPr>
      </w:pPr>
      <w:bookmarkStart w:id="6" w:name="_Toc218612344"/>
      <w:r w:rsidRPr="00807FF2">
        <w:t>四</w:t>
      </w:r>
      <w:r w:rsidR="000F572A" w:rsidRPr="00807FF2">
        <w:rPr>
          <w:rFonts w:hint="eastAsia"/>
        </w:rPr>
        <w:t>、</w:t>
      </w:r>
      <w:r w:rsidRPr="00807FF2">
        <w:t>改革开放：制度试错与商业模式大爆炸</w:t>
      </w:r>
      <w:bookmarkEnd w:id="6"/>
    </w:p>
    <w:p w14:paraId="56043C74" w14:textId="77777777" w:rsidR="00FD3159" w:rsidRDefault="00B66FA7" w:rsidP="00541847">
      <w:pPr>
        <w:ind w:firstLineChars="200" w:firstLine="440"/>
        <w:rPr>
          <w:rFonts w:ascii="宋体" w:eastAsia="宋体" w:hAnsi="宋体" w:hint="eastAsia"/>
        </w:rPr>
      </w:pPr>
      <w:r w:rsidRPr="00B66FA7">
        <w:rPr>
          <w:rFonts w:ascii="宋体" w:eastAsia="宋体" w:hAnsi="宋体"/>
        </w:rPr>
        <w:t>1978-1992年间，价格双轨制创造出巨额制度</w:t>
      </w:r>
      <w:proofErr w:type="gramStart"/>
      <w:r w:rsidR="00FE35CA" w:rsidRPr="00807FF2">
        <w:rPr>
          <w:rFonts w:ascii="宋体" w:eastAsia="宋体" w:hAnsi="宋体" w:hint="eastAsia"/>
        </w:rPr>
        <w:t>“</w:t>
      </w:r>
      <w:proofErr w:type="gramEnd"/>
      <w:r w:rsidR="00FE35CA" w:rsidRPr="00807FF2">
        <w:rPr>
          <w:rFonts w:ascii="宋体" w:eastAsia="宋体" w:hAnsi="宋体" w:hint="eastAsia"/>
        </w:rPr>
        <w:t>租金“</w:t>
      </w:r>
      <w:r w:rsidRPr="00B66FA7">
        <w:rPr>
          <w:rFonts w:ascii="宋体" w:eastAsia="宋体" w:hAnsi="宋体"/>
        </w:rPr>
        <w:t>，计划内价格与市场价差额达30%-100%，这为乡镇企业"模糊产权"模式提供生存土壤</w:t>
      </w:r>
      <w:r w:rsidR="00037AD2" w:rsidRPr="00541847">
        <w:rPr>
          <w:rFonts w:ascii="宋体" w:eastAsia="宋体" w:hAnsi="宋体" w:hint="eastAsia"/>
        </w:rPr>
        <w:fldChar w:fldCharType="begin"/>
      </w:r>
      <w:r w:rsidR="00037AD2" w:rsidRPr="00541847">
        <w:rPr>
          <w:rFonts w:ascii="宋体" w:eastAsia="宋体" w:hAnsi="宋体" w:hint="eastAsia"/>
        </w:rPr>
        <w:instrText xml:space="preserve"> </w:instrText>
      </w:r>
      <w:r w:rsidR="00037AD2" w:rsidRPr="00541847">
        <w:rPr>
          <w:rFonts w:ascii="宋体" w:eastAsia="宋体" w:hAnsi="宋体"/>
        </w:rPr>
        <w:instrText>REF _Ref218611969 \r \h</w:instrText>
      </w:r>
      <w:r w:rsidR="00037AD2" w:rsidRPr="00541847">
        <w:rPr>
          <w:rFonts w:ascii="宋体" w:eastAsia="宋体" w:hAnsi="宋体" w:hint="eastAsia"/>
        </w:rPr>
        <w:instrText xml:space="preserve">  \* MERGEFORMAT </w:instrText>
      </w:r>
      <w:r w:rsidR="00037AD2" w:rsidRPr="00541847">
        <w:rPr>
          <w:rFonts w:ascii="宋体" w:eastAsia="宋体" w:hAnsi="宋体" w:hint="eastAsia"/>
        </w:rPr>
      </w:r>
      <w:r w:rsidR="00037AD2" w:rsidRPr="00541847">
        <w:rPr>
          <w:rFonts w:ascii="宋体" w:eastAsia="宋体" w:hAnsi="宋体" w:hint="eastAsia"/>
        </w:rPr>
        <w:fldChar w:fldCharType="separate"/>
      </w:r>
      <w:r w:rsidR="00037AD2" w:rsidRPr="00541847">
        <w:rPr>
          <w:rFonts w:ascii="宋体" w:eastAsia="宋体" w:hAnsi="宋体" w:hint="eastAsia"/>
        </w:rPr>
        <w:t>[6]</w:t>
      </w:r>
      <w:r w:rsidR="00037AD2" w:rsidRPr="00541847">
        <w:rPr>
          <w:rFonts w:ascii="宋体" w:eastAsia="宋体" w:hAnsi="宋体" w:hint="eastAsia"/>
        </w:rPr>
        <w:fldChar w:fldCharType="end"/>
      </w:r>
      <w:r w:rsidRPr="00B66FA7">
        <w:rPr>
          <w:rFonts w:ascii="宋体" w:eastAsia="宋体" w:hAnsi="宋体"/>
        </w:rPr>
        <w:t>。</w:t>
      </w:r>
    </w:p>
    <w:p w14:paraId="5EA06497" w14:textId="3148BF89" w:rsidR="00FD3159" w:rsidRPr="001C3053" w:rsidRDefault="00FD3159" w:rsidP="00214D09">
      <w:pPr>
        <w:pStyle w:val="2"/>
        <w:rPr>
          <w:rFonts w:hint="eastAsia"/>
        </w:rPr>
      </w:pPr>
      <w:bookmarkStart w:id="7" w:name="_Toc218612345"/>
      <w:r w:rsidRPr="001C3053">
        <w:rPr>
          <w:rFonts w:hint="eastAsia"/>
        </w:rPr>
        <w:t>4.1</w:t>
      </w:r>
      <w:r w:rsidRPr="001C3053">
        <w:t>乡镇企业模糊产权模式</w:t>
      </w:r>
      <w:bookmarkEnd w:id="7"/>
    </w:p>
    <w:p w14:paraId="269141EF" w14:textId="7B9001C2" w:rsidR="00B66FA7" w:rsidRPr="00B66FA7" w:rsidRDefault="00B66FA7" w:rsidP="00541847">
      <w:pPr>
        <w:ind w:firstLineChars="200" w:firstLine="440"/>
        <w:rPr>
          <w:rFonts w:ascii="宋体" w:eastAsia="宋体" w:hAnsi="宋体" w:hint="eastAsia"/>
        </w:rPr>
      </w:pPr>
      <w:r w:rsidRPr="00B66FA7">
        <w:rPr>
          <w:rFonts w:ascii="宋体" w:eastAsia="宋体" w:hAnsi="宋体"/>
        </w:rPr>
        <w:t>苏南乡镇企业典型特征是 "产权归集体、经营归个人" ，其合法性建立在地方政</w:t>
      </w:r>
      <w:r w:rsidRPr="00B66FA7">
        <w:rPr>
          <w:rFonts w:ascii="宋体" w:eastAsia="宋体" w:hAnsi="宋体"/>
        </w:rPr>
        <w:lastRenderedPageBreak/>
        <w:t>府隐性担保与村干部关系网络上，形成 "关系型契约" 。这种看似产权不清的模式，恰恰在转轨期制度真空下具备适应性效率：既规避了意识形态风险，又通过行政层级降低缔约成本，使乡镇企业产值占全国工业比重从9%飙升至30%</w:t>
      </w:r>
      <w:r w:rsidR="00037AD2" w:rsidRPr="00541847">
        <w:rPr>
          <w:rFonts w:ascii="宋体" w:eastAsia="宋体" w:hAnsi="宋体" w:hint="eastAsia"/>
        </w:rPr>
        <w:fldChar w:fldCharType="begin"/>
      </w:r>
      <w:r w:rsidR="00037AD2" w:rsidRPr="00541847">
        <w:rPr>
          <w:rFonts w:ascii="宋体" w:eastAsia="宋体" w:hAnsi="宋体" w:hint="eastAsia"/>
        </w:rPr>
        <w:instrText xml:space="preserve"> </w:instrText>
      </w:r>
      <w:r w:rsidR="00037AD2" w:rsidRPr="00541847">
        <w:rPr>
          <w:rFonts w:ascii="宋体" w:eastAsia="宋体" w:hAnsi="宋体"/>
        </w:rPr>
        <w:instrText>REF _Ref218611976 \r \h</w:instrText>
      </w:r>
      <w:r w:rsidR="00037AD2" w:rsidRPr="00541847">
        <w:rPr>
          <w:rFonts w:ascii="宋体" w:eastAsia="宋体" w:hAnsi="宋体" w:hint="eastAsia"/>
        </w:rPr>
        <w:instrText xml:space="preserve">  \* MERGEFORMAT </w:instrText>
      </w:r>
      <w:r w:rsidR="00037AD2" w:rsidRPr="00541847">
        <w:rPr>
          <w:rFonts w:ascii="宋体" w:eastAsia="宋体" w:hAnsi="宋体" w:hint="eastAsia"/>
        </w:rPr>
      </w:r>
      <w:r w:rsidR="00037AD2" w:rsidRPr="00541847">
        <w:rPr>
          <w:rFonts w:ascii="宋体" w:eastAsia="宋体" w:hAnsi="宋体" w:hint="eastAsia"/>
        </w:rPr>
        <w:fldChar w:fldCharType="separate"/>
      </w:r>
      <w:r w:rsidR="00037AD2" w:rsidRPr="00541847">
        <w:rPr>
          <w:rFonts w:ascii="宋体" w:eastAsia="宋体" w:hAnsi="宋体" w:hint="eastAsia"/>
        </w:rPr>
        <w:t>[7]</w:t>
      </w:r>
      <w:r w:rsidR="00037AD2" w:rsidRPr="00541847">
        <w:rPr>
          <w:rFonts w:ascii="宋体" w:eastAsia="宋体" w:hAnsi="宋体" w:hint="eastAsia"/>
        </w:rPr>
        <w:fldChar w:fldCharType="end"/>
      </w:r>
      <w:r w:rsidRPr="00B66FA7">
        <w:rPr>
          <w:rFonts w:ascii="宋体" w:eastAsia="宋体" w:hAnsi="宋体"/>
        </w:rPr>
        <w:t>。</w:t>
      </w:r>
    </w:p>
    <w:p w14:paraId="453B8959" w14:textId="77777777" w:rsidR="0017674F" w:rsidRDefault="00B66FA7" w:rsidP="00541847">
      <w:pPr>
        <w:ind w:firstLineChars="200" w:firstLine="440"/>
        <w:rPr>
          <w:rFonts w:ascii="宋体" w:eastAsia="宋体" w:hAnsi="宋体" w:hint="eastAsia"/>
        </w:rPr>
      </w:pPr>
      <w:r w:rsidRPr="00B66FA7">
        <w:rPr>
          <w:rFonts w:ascii="宋体" w:eastAsia="宋体" w:hAnsi="宋体"/>
        </w:rPr>
        <w:t>该模式的创新租金源于边缘创新的制度保护。当国有企业受困于计划指令时，乡镇企业在体制</w:t>
      </w:r>
      <w:proofErr w:type="gramStart"/>
      <w:r w:rsidRPr="00B66FA7">
        <w:rPr>
          <w:rFonts w:ascii="宋体" w:eastAsia="宋体" w:hAnsi="宋体"/>
        </w:rPr>
        <w:t>外开展</w:t>
      </w:r>
      <w:proofErr w:type="gramEnd"/>
      <w:r w:rsidRPr="00B66FA7">
        <w:rPr>
          <w:rFonts w:ascii="宋体" w:eastAsia="宋体" w:hAnsi="宋体"/>
        </w:rPr>
        <w:t>增量改革，其试</w:t>
      </w:r>
      <w:proofErr w:type="gramStart"/>
      <w:r w:rsidRPr="00B66FA7">
        <w:rPr>
          <w:rFonts w:ascii="宋体" w:eastAsia="宋体" w:hAnsi="宋体"/>
        </w:rPr>
        <w:t>错成本</w:t>
      </w:r>
      <w:proofErr w:type="gramEnd"/>
      <w:r w:rsidR="0017674F" w:rsidRPr="00807FF2">
        <w:rPr>
          <w:rFonts w:ascii="宋体" w:eastAsia="宋体" w:hAnsi="宋体" w:hint="eastAsia"/>
        </w:rPr>
        <w:t>由于</w:t>
      </w:r>
      <w:r w:rsidRPr="00B66FA7">
        <w:rPr>
          <w:rFonts w:ascii="宋体" w:eastAsia="宋体" w:hAnsi="宋体"/>
        </w:rPr>
        <w:t>"非正式私有化"而内部化，</w:t>
      </w:r>
      <w:r w:rsidR="0017674F" w:rsidRPr="00807FF2">
        <w:rPr>
          <w:rFonts w:ascii="宋体" w:eastAsia="宋体" w:hAnsi="宋体" w:hint="eastAsia"/>
        </w:rPr>
        <w:t>尝试成功</w:t>
      </w:r>
      <w:r w:rsidRPr="00B66FA7">
        <w:rPr>
          <w:rFonts w:ascii="宋体" w:eastAsia="宋体" w:hAnsi="宋体"/>
        </w:rPr>
        <w:t>则</w:t>
      </w:r>
      <w:r w:rsidR="0017674F" w:rsidRPr="00807FF2">
        <w:rPr>
          <w:rFonts w:ascii="宋体" w:eastAsia="宋体" w:hAnsi="宋体" w:hint="eastAsia"/>
        </w:rPr>
        <w:t>可以</w:t>
      </w:r>
      <w:r w:rsidRPr="00B66FA7">
        <w:rPr>
          <w:rFonts w:ascii="宋体" w:eastAsia="宋体" w:hAnsi="宋体"/>
        </w:rPr>
        <w:t>倒逼中央承认合法性——如破产法、股份制的引入均源自地方实践。1984年"红帽子"企业超20万户，实质是以制度模糊性换取创新空间，与明清商人依赖宗族法异曲同工。</w:t>
      </w:r>
    </w:p>
    <w:p w14:paraId="71552567" w14:textId="49692D12" w:rsidR="00FD3159" w:rsidRPr="00807FF2" w:rsidRDefault="00FD3159" w:rsidP="00214D09">
      <w:pPr>
        <w:pStyle w:val="2"/>
        <w:rPr>
          <w:rFonts w:hint="eastAsia"/>
        </w:rPr>
      </w:pPr>
      <w:bookmarkStart w:id="8" w:name="_Toc218612346"/>
      <w:r>
        <w:rPr>
          <w:rFonts w:hint="eastAsia"/>
        </w:rPr>
        <w:t xml:space="preserve">4.2 </w:t>
      </w:r>
      <w:r>
        <w:rPr>
          <w:rFonts w:hint="eastAsia"/>
        </w:rPr>
        <w:t>历史意义与当代借鉴</w:t>
      </w:r>
      <w:bookmarkEnd w:id="8"/>
    </w:p>
    <w:p w14:paraId="392495EA" w14:textId="0DEAF71B" w:rsidR="00B66FA7" w:rsidRPr="00B66FA7" w:rsidRDefault="0017674F" w:rsidP="00541847">
      <w:pPr>
        <w:ind w:firstLineChars="200" w:firstLine="440"/>
        <w:rPr>
          <w:rFonts w:ascii="宋体" w:eastAsia="宋体" w:hAnsi="宋体" w:hint="eastAsia"/>
        </w:rPr>
      </w:pPr>
      <w:r w:rsidRPr="00807FF2">
        <w:rPr>
          <w:rFonts w:ascii="宋体" w:eastAsia="宋体" w:hAnsi="宋体" w:hint="eastAsia"/>
        </w:rPr>
        <w:t>这种方式</w:t>
      </w:r>
      <w:r w:rsidR="00B66FA7" w:rsidRPr="00B66FA7">
        <w:rPr>
          <w:rFonts w:ascii="宋体" w:eastAsia="宋体" w:hAnsi="宋体"/>
        </w:rPr>
        <w:t>对数据要素市场化具有范式意义。当前数据产权立法滞后于平台实践，可借鉴土地使用权 "所有权归集体、承包权归农户、经营权可流转" 的三权分置逻辑，构建 "数据公有（国家）、用益权归生产者、经营权归平台" 的产权体系</w:t>
      </w:r>
      <w:r w:rsidR="004A591A" w:rsidRPr="00807FF2">
        <w:rPr>
          <w:rFonts w:ascii="宋体" w:eastAsia="宋体" w:hAnsi="宋体" w:hint="eastAsia"/>
        </w:rPr>
        <w:t>，倒</w:t>
      </w:r>
      <w:proofErr w:type="gramStart"/>
      <w:r w:rsidR="004A591A" w:rsidRPr="00807FF2">
        <w:rPr>
          <w:rFonts w:ascii="宋体" w:eastAsia="宋体" w:hAnsi="宋体" w:hint="eastAsia"/>
        </w:rPr>
        <w:t>逼相关</w:t>
      </w:r>
      <w:proofErr w:type="gramEnd"/>
      <w:r w:rsidR="004A591A" w:rsidRPr="00807FF2">
        <w:rPr>
          <w:rFonts w:ascii="宋体" w:eastAsia="宋体" w:hAnsi="宋体" w:hint="eastAsia"/>
        </w:rPr>
        <w:t>法律法规的制定与完善。</w:t>
      </w:r>
      <w:r w:rsidR="00B66FA7" w:rsidRPr="00B66FA7">
        <w:rPr>
          <w:rFonts w:ascii="宋体" w:eastAsia="宋体" w:hAnsi="宋体"/>
        </w:rPr>
        <w:t>正如乡镇企业最终通过《公司法》完成产权确权，数据要素也需先以"模糊边界"鼓励创新，再渐进立法。建议设立数据交易所作为"制度特区"，允许用户凭数据贡献记录获得平台收益分红，实现从"关系型契约"到"规则型契约"的平滑过渡，降低制度转换成本。</w:t>
      </w:r>
    </w:p>
    <w:p w14:paraId="2720A4EB" w14:textId="46945348" w:rsidR="00B66FA7" w:rsidRDefault="00B66FA7" w:rsidP="00214D09">
      <w:pPr>
        <w:pStyle w:val="1"/>
        <w:rPr>
          <w:rFonts w:hint="eastAsia"/>
        </w:rPr>
      </w:pPr>
      <w:bookmarkStart w:id="9" w:name="_Toc218612347"/>
      <w:r w:rsidRPr="00807FF2">
        <w:t>五</w:t>
      </w:r>
      <w:r w:rsidR="000F572A" w:rsidRPr="00807FF2">
        <w:rPr>
          <w:rFonts w:hint="eastAsia"/>
        </w:rPr>
        <w:t>、</w:t>
      </w:r>
      <w:r w:rsidRPr="00807FF2">
        <w:t>历史基因与数字经济制度构建</w:t>
      </w:r>
      <w:bookmarkEnd w:id="9"/>
    </w:p>
    <w:p w14:paraId="7F60EFEF" w14:textId="2BC13FD5" w:rsidR="002A1A3F" w:rsidRPr="002A1A3F" w:rsidRDefault="002A1A3F" w:rsidP="00214D09">
      <w:pPr>
        <w:pStyle w:val="2"/>
        <w:rPr>
          <w:rFonts w:hint="eastAsia"/>
        </w:rPr>
      </w:pPr>
      <w:bookmarkStart w:id="10" w:name="_Toc218612348"/>
      <w:r>
        <w:rPr>
          <w:rFonts w:hint="eastAsia"/>
        </w:rPr>
        <w:t xml:space="preserve">5.1 </w:t>
      </w:r>
      <w:r w:rsidRPr="002A1A3F">
        <w:t>千年制度基因的三重内核</w:t>
      </w:r>
      <w:bookmarkEnd w:id="10"/>
    </w:p>
    <w:p w14:paraId="2A63A2D0" w14:textId="5B39ACAD" w:rsidR="00B66FA7" w:rsidRDefault="00914F79" w:rsidP="00541847">
      <w:pPr>
        <w:ind w:firstLineChars="200" w:firstLine="440"/>
        <w:rPr>
          <w:rFonts w:ascii="宋体" w:eastAsia="宋体" w:hAnsi="宋体" w:hint="eastAsia"/>
        </w:rPr>
      </w:pPr>
      <w:r w:rsidRPr="00807FF2">
        <w:rPr>
          <w:rFonts w:ascii="宋体" w:eastAsia="宋体" w:hAnsi="宋体" w:hint="eastAsia"/>
        </w:rPr>
        <w:t>中国近</w:t>
      </w:r>
      <w:r w:rsidR="00B66FA7" w:rsidRPr="00B66FA7">
        <w:rPr>
          <w:rFonts w:ascii="宋体" w:eastAsia="宋体" w:hAnsi="宋体"/>
        </w:rPr>
        <w:t>千年</w:t>
      </w:r>
      <w:r w:rsidR="00887041" w:rsidRPr="00807FF2">
        <w:rPr>
          <w:rFonts w:ascii="宋体" w:eastAsia="宋体" w:hAnsi="宋体" w:hint="eastAsia"/>
        </w:rPr>
        <w:t>的</w:t>
      </w:r>
      <w:r w:rsidR="00B66FA7" w:rsidRPr="00B66FA7">
        <w:rPr>
          <w:rFonts w:ascii="宋体" w:eastAsia="宋体" w:hAnsi="宋体"/>
        </w:rPr>
        <w:t>商业演进沉淀出三重制度基因。其一，强国家传统下的特许-监管思维。从管仲“官山海”、宋代交子官办化到改革开放“官督商办”，国家始终通过特许权配置商业资源，以监管收租替代税收征管。这种模式虽能快速动员资源，但也导致创新租金易被国家机会主义侵蚀</w:t>
      </w:r>
      <w:r w:rsidR="00887041" w:rsidRPr="00807FF2">
        <w:rPr>
          <w:rFonts w:ascii="宋体" w:eastAsia="宋体" w:hAnsi="宋体" w:hint="eastAsia"/>
        </w:rPr>
        <w:t>，比如</w:t>
      </w:r>
      <w:r w:rsidR="00B66FA7" w:rsidRPr="00B66FA7">
        <w:rPr>
          <w:rFonts w:ascii="宋体" w:eastAsia="宋体" w:hAnsi="宋体"/>
        </w:rPr>
        <w:t>交子因政府超发而崩溃、票号因摊派赔款而式微</w:t>
      </w:r>
      <w:r w:rsidR="00887041" w:rsidRPr="00807FF2">
        <w:rPr>
          <w:rFonts w:ascii="宋体" w:eastAsia="宋体" w:hAnsi="宋体" w:hint="eastAsia"/>
        </w:rPr>
        <w:t>。历史</w:t>
      </w:r>
      <w:r w:rsidR="00B66FA7" w:rsidRPr="00B66FA7">
        <w:rPr>
          <w:rFonts w:ascii="宋体" w:eastAsia="宋体" w:hAnsi="宋体"/>
        </w:rPr>
        <w:t>反复警示，当监管异化为攫取工具时，制度成本将陡增，创新生态必然枯萎。其二，关系网络嵌入降低交易成本的路径依赖。唐宋联保、明清宗族、改革开放关系型契约，均是在正式产权保护不足时，以血缘、地缘、业缘纽带构建信任机制，将契约执行成本内部化。这种“差序格局”虽具适应性效率，却制约了规模化、匿名化市场拓展，与现代法治精神存在张力。其三，实用主义优先于原则性权利保护。中国商业模式创新始终以降低交易成本为导向，而非确立排他性权利。</w:t>
      </w:r>
      <w:proofErr w:type="gramStart"/>
      <w:r w:rsidR="00B66FA7" w:rsidRPr="00B66FA7">
        <w:rPr>
          <w:rFonts w:ascii="宋体" w:eastAsia="宋体" w:hAnsi="宋体"/>
        </w:rPr>
        <w:t>飞钱解决</w:t>
      </w:r>
      <w:proofErr w:type="gramEnd"/>
      <w:r w:rsidR="00B66FA7" w:rsidRPr="00B66FA7">
        <w:rPr>
          <w:rFonts w:ascii="宋体" w:eastAsia="宋体" w:hAnsi="宋体"/>
        </w:rPr>
        <w:t>运输成本、</w:t>
      </w:r>
      <w:proofErr w:type="gramStart"/>
      <w:r w:rsidR="00B66FA7" w:rsidRPr="00B66FA7">
        <w:rPr>
          <w:rFonts w:ascii="宋体" w:eastAsia="宋体" w:hAnsi="宋体"/>
        </w:rPr>
        <w:t>身股降低</w:t>
      </w:r>
      <w:proofErr w:type="gramEnd"/>
      <w:r w:rsidR="00B66FA7" w:rsidRPr="00B66FA7">
        <w:rPr>
          <w:rFonts w:ascii="宋体" w:eastAsia="宋体" w:hAnsi="宋体"/>
        </w:rPr>
        <w:t>代理成本、模糊产权规避意识形态成本，均体现“见效即合法”的实用逻辑。这解释了为何中国擅长模式创新而滞后于制度确权——权利界定本身会增加短期制度成本。</w:t>
      </w:r>
    </w:p>
    <w:p w14:paraId="2171DE58" w14:textId="79433B52" w:rsidR="002A1A3F" w:rsidRPr="001C3053" w:rsidRDefault="002A1A3F" w:rsidP="00214D09">
      <w:pPr>
        <w:pStyle w:val="2"/>
        <w:rPr>
          <w:rFonts w:hint="eastAsia"/>
        </w:rPr>
      </w:pPr>
      <w:bookmarkStart w:id="11" w:name="_Toc218612349"/>
      <w:r w:rsidRPr="001C3053">
        <w:lastRenderedPageBreak/>
        <w:t xml:space="preserve">5.2 </w:t>
      </w:r>
      <w:r w:rsidRPr="001C3053">
        <w:t>对数字经济的四项启示</w:t>
      </w:r>
      <w:bookmarkEnd w:id="11"/>
    </w:p>
    <w:p w14:paraId="0F4415EF" w14:textId="77777777" w:rsidR="00E76557" w:rsidRPr="00807FF2" w:rsidRDefault="00DE08A7" w:rsidP="00214D09">
      <w:pPr>
        <w:rPr>
          <w:rFonts w:ascii="宋体" w:eastAsia="宋体" w:hAnsi="宋体" w:hint="eastAsia"/>
        </w:rPr>
      </w:pPr>
      <w:r w:rsidRPr="00807FF2">
        <w:rPr>
          <w:rFonts w:ascii="宋体" w:eastAsia="宋体" w:hAnsi="宋体" w:hint="eastAsia"/>
        </w:rPr>
        <w:t>回顾历史</w:t>
      </w:r>
      <w:r w:rsidR="00E76557" w:rsidRPr="00807FF2">
        <w:rPr>
          <w:rFonts w:ascii="宋体" w:eastAsia="宋体" w:hAnsi="宋体" w:hint="eastAsia"/>
        </w:rPr>
        <w:t>，数字经济的制度重构可以借鉴下面四种启示</w:t>
      </w:r>
    </w:p>
    <w:p w14:paraId="070D20C9" w14:textId="77777777" w:rsidR="00E76557" w:rsidRPr="00807FF2" w:rsidRDefault="00B66FA7" w:rsidP="00214D09">
      <w:pPr>
        <w:pStyle w:val="a9"/>
        <w:numPr>
          <w:ilvl w:val="0"/>
          <w:numId w:val="1"/>
        </w:numPr>
        <w:ind w:firstLine="0"/>
        <w:rPr>
          <w:rFonts w:ascii="宋体" w:eastAsia="宋体" w:hAnsi="宋体" w:hint="eastAsia"/>
        </w:rPr>
      </w:pPr>
      <w:r w:rsidRPr="00807FF2">
        <w:rPr>
          <w:rFonts w:ascii="宋体" w:eastAsia="宋体" w:hAnsi="宋体"/>
        </w:rPr>
        <w:t>数据产权三权分置：改革开放“土地所有权归集体、承包权归农户、经营权可流转”的逻辑，可平移为“数据所有权归国家、用益权归用户、经营权归平台”。用户凭数据贡献记录获得类似“承包费”的收益分红，平台获得加工经营权，国家保留最终处置权以维护公共安全。</w:t>
      </w:r>
    </w:p>
    <w:p w14:paraId="70CACCA8" w14:textId="77777777" w:rsidR="00E76557" w:rsidRPr="00807FF2" w:rsidRDefault="00B66FA7" w:rsidP="00214D09">
      <w:pPr>
        <w:pStyle w:val="a9"/>
        <w:numPr>
          <w:ilvl w:val="0"/>
          <w:numId w:val="1"/>
        </w:numPr>
        <w:ind w:firstLine="0"/>
        <w:rPr>
          <w:rFonts w:ascii="宋体" w:eastAsia="宋体" w:hAnsi="宋体" w:hint="eastAsia"/>
        </w:rPr>
      </w:pPr>
      <w:r w:rsidRPr="00807FF2">
        <w:rPr>
          <w:rFonts w:ascii="宋体" w:eastAsia="宋体" w:hAnsi="宋体"/>
        </w:rPr>
        <w:t>平台算法透明+数字契约：明清行会“业规”与晋商“过镖”的自律机制启示，应强制平台公开算法逻辑</w:t>
      </w:r>
      <w:proofErr w:type="gramStart"/>
      <w:r w:rsidRPr="00807FF2">
        <w:rPr>
          <w:rFonts w:ascii="宋体" w:eastAsia="宋体" w:hAnsi="宋体"/>
        </w:rPr>
        <w:t>至行业</w:t>
      </w:r>
      <w:proofErr w:type="gramEnd"/>
      <w:r w:rsidRPr="00807FF2">
        <w:rPr>
          <w:rFonts w:ascii="宋体" w:eastAsia="宋体" w:hAnsi="宋体"/>
        </w:rPr>
        <w:t>协会，建立</w:t>
      </w:r>
      <w:r w:rsidR="007A5CC1" w:rsidRPr="00807FF2">
        <w:rPr>
          <w:rFonts w:ascii="宋体" w:eastAsia="宋体" w:hAnsi="宋体" w:hint="eastAsia"/>
        </w:rPr>
        <w:t>多方</w:t>
      </w:r>
      <w:r w:rsidRPr="00807FF2">
        <w:rPr>
          <w:rFonts w:ascii="宋体" w:eastAsia="宋体" w:hAnsi="宋体"/>
        </w:rPr>
        <w:t>共管的数字契约。</w:t>
      </w:r>
    </w:p>
    <w:p w14:paraId="1D16C461" w14:textId="77777777" w:rsidR="00E76557" w:rsidRPr="00807FF2" w:rsidRDefault="00B66FA7" w:rsidP="00214D09">
      <w:pPr>
        <w:pStyle w:val="a9"/>
        <w:numPr>
          <w:ilvl w:val="0"/>
          <w:numId w:val="1"/>
        </w:numPr>
        <w:ind w:firstLine="0"/>
        <w:rPr>
          <w:rFonts w:ascii="宋体" w:eastAsia="宋体" w:hAnsi="宋体" w:hint="eastAsia"/>
        </w:rPr>
      </w:pPr>
      <w:r w:rsidRPr="00807FF2">
        <w:rPr>
          <w:rFonts w:ascii="宋体" w:eastAsia="宋体" w:hAnsi="宋体"/>
        </w:rPr>
        <w:t>金融科技稳定币监管：北宋交子“准备金覆盖率28.7%”及三年</w:t>
      </w:r>
      <w:proofErr w:type="gramStart"/>
      <w:r w:rsidRPr="00807FF2">
        <w:rPr>
          <w:rFonts w:ascii="宋体" w:eastAsia="宋体" w:hAnsi="宋体"/>
        </w:rPr>
        <w:t>一</w:t>
      </w:r>
      <w:proofErr w:type="gramEnd"/>
      <w:r w:rsidRPr="00807FF2">
        <w:rPr>
          <w:rFonts w:ascii="宋体" w:eastAsia="宋体" w:hAnsi="宋体"/>
        </w:rPr>
        <w:t>界的限额制度，可为央行数字货币与商业稳定</w:t>
      </w:r>
      <w:proofErr w:type="gramStart"/>
      <w:r w:rsidRPr="00807FF2">
        <w:rPr>
          <w:rFonts w:ascii="宋体" w:eastAsia="宋体" w:hAnsi="宋体"/>
        </w:rPr>
        <w:t>币提供</w:t>
      </w:r>
      <w:proofErr w:type="gramEnd"/>
      <w:r w:rsidRPr="00807FF2">
        <w:rPr>
          <w:rFonts w:ascii="宋体" w:eastAsia="宋体" w:hAnsi="宋体"/>
        </w:rPr>
        <w:t>“双层准备金”模型。CBDC作为法币锚定100%准备金，商业稳定币可参考交子模式实行“部分准备金+联保机制”，由发行方的数字资产与关联平台信用共同担保，在创新与风险间保持弹性。</w:t>
      </w:r>
    </w:p>
    <w:p w14:paraId="4B69DE6D" w14:textId="5E79C24B" w:rsidR="00B66FA7" w:rsidRPr="00807FF2" w:rsidRDefault="00B66FA7" w:rsidP="00214D09">
      <w:pPr>
        <w:pStyle w:val="a9"/>
        <w:numPr>
          <w:ilvl w:val="0"/>
          <w:numId w:val="1"/>
        </w:numPr>
        <w:ind w:firstLine="0"/>
        <w:rPr>
          <w:rFonts w:ascii="宋体" w:eastAsia="宋体" w:hAnsi="宋体" w:hint="eastAsia"/>
        </w:rPr>
      </w:pPr>
      <w:r w:rsidRPr="00807FF2">
        <w:rPr>
          <w:rFonts w:ascii="宋体" w:eastAsia="宋体" w:hAnsi="宋体"/>
        </w:rPr>
        <w:t>共同富裕的数据身股：晋</w:t>
      </w:r>
      <w:proofErr w:type="gramStart"/>
      <w:r w:rsidRPr="00807FF2">
        <w:rPr>
          <w:rFonts w:ascii="宋体" w:eastAsia="宋体" w:hAnsi="宋体"/>
        </w:rPr>
        <w:t>商身股</w:t>
      </w:r>
      <w:proofErr w:type="gramEnd"/>
      <w:r w:rsidRPr="00807FF2">
        <w:rPr>
          <w:rFonts w:ascii="宋体" w:eastAsia="宋体" w:hAnsi="宋体"/>
        </w:rPr>
        <w:t>制将掌柜人力资本股权化，可转化为平台从业者“数据分红”。这不仅是劳动报酬，更是数据要素所有权的实现形式。</w:t>
      </w:r>
    </w:p>
    <w:p w14:paraId="3786E5C6" w14:textId="53B67ABB" w:rsidR="00B66FA7" w:rsidRPr="00B66FA7" w:rsidRDefault="00CE11D2" w:rsidP="00541847">
      <w:pPr>
        <w:ind w:firstLineChars="200" w:firstLine="440"/>
        <w:rPr>
          <w:rFonts w:ascii="宋体" w:eastAsia="宋体" w:hAnsi="宋体" w:hint="eastAsia"/>
        </w:rPr>
      </w:pPr>
      <w:r w:rsidRPr="00807FF2">
        <w:rPr>
          <w:rFonts w:ascii="宋体" w:eastAsia="宋体" w:hAnsi="宋体" w:hint="eastAsia"/>
        </w:rPr>
        <w:t>在实地制定和执行政策中，徐娅</w:t>
      </w:r>
      <w:r w:rsidR="00B66FA7" w:rsidRPr="00B66FA7">
        <w:rPr>
          <w:rFonts w:ascii="宋体" w:eastAsia="宋体" w:hAnsi="宋体"/>
        </w:rPr>
        <w:t>构建“适应性创新”制度供给框架。其一，设立数据要素“监管沙盒”，允许地方先</w:t>
      </w:r>
      <w:proofErr w:type="gramStart"/>
      <w:r w:rsidR="00B66FA7" w:rsidRPr="00B66FA7">
        <w:rPr>
          <w:rFonts w:ascii="宋体" w:eastAsia="宋体" w:hAnsi="宋体"/>
        </w:rPr>
        <w:t>试数据三</w:t>
      </w:r>
      <w:proofErr w:type="gramEnd"/>
      <w:r w:rsidR="00B66FA7" w:rsidRPr="00B66FA7">
        <w:rPr>
          <w:rFonts w:ascii="宋体" w:eastAsia="宋体" w:hAnsi="宋体"/>
        </w:rPr>
        <w:t>权分置，待交易成本数据明晰后</w:t>
      </w:r>
      <w:proofErr w:type="gramStart"/>
      <w:r w:rsidR="00B66FA7" w:rsidRPr="00B66FA7">
        <w:rPr>
          <w:rFonts w:ascii="宋体" w:eastAsia="宋体" w:hAnsi="宋体"/>
        </w:rPr>
        <w:t>再全国</w:t>
      </w:r>
      <w:proofErr w:type="gramEnd"/>
      <w:r w:rsidR="00B66FA7" w:rsidRPr="00B66FA7">
        <w:rPr>
          <w:rFonts w:ascii="宋体" w:eastAsia="宋体" w:hAnsi="宋体"/>
        </w:rPr>
        <w:t>立法，复刻经济特区的“边缘创新-制度确认”路径。其二，利用数字技术激活传统信任网络，将祠堂、行会的声誉记录转化为区块链信用凭证，在县域电商、农产品直播中发挥宗族残存信任资本，降低县域数字经济的启动成本。其三，</w:t>
      </w:r>
      <w:proofErr w:type="gramStart"/>
      <w:r w:rsidR="00B66FA7" w:rsidRPr="00B66FA7">
        <w:rPr>
          <w:rFonts w:ascii="宋体" w:eastAsia="宋体" w:hAnsi="宋体"/>
        </w:rPr>
        <w:t>平台治理应平衡国家</w:t>
      </w:r>
      <w:proofErr w:type="gramEnd"/>
      <w:r w:rsidR="00B66FA7" w:rsidRPr="00B66FA7">
        <w:rPr>
          <w:rFonts w:ascii="宋体" w:eastAsia="宋体" w:hAnsi="宋体"/>
        </w:rPr>
        <w:t>控制力与市场活力，借鉴“官督商办”中国家掌握否决权但日常经营民营化的精髓，设立国家数据局对平台重大算法变更的审批权，但日常数据交易由平台自治，避免陷入“</w:t>
      </w:r>
      <w:proofErr w:type="gramStart"/>
      <w:r w:rsidR="00B66FA7" w:rsidRPr="00B66FA7">
        <w:rPr>
          <w:rFonts w:ascii="宋体" w:eastAsia="宋体" w:hAnsi="宋体"/>
        </w:rPr>
        <w:t>一</w:t>
      </w:r>
      <w:proofErr w:type="gramEnd"/>
      <w:r w:rsidR="00B66FA7" w:rsidRPr="00B66FA7">
        <w:rPr>
          <w:rFonts w:ascii="宋体" w:eastAsia="宋体" w:hAnsi="宋体"/>
        </w:rPr>
        <w:t>管就死、一放就乱”的历史循环。</w:t>
      </w:r>
    </w:p>
    <w:p w14:paraId="4D299F2A" w14:textId="6CF6EB01" w:rsidR="00B66FA7" w:rsidRPr="00807FF2" w:rsidRDefault="00B66FA7" w:rsidP="00214D09">
      <w:pPr>
        <w:pStyle w:val="1"/>
        <w:rPr>
          <w:rFonts w:hint="eastAsia"/>
        </w:rPr>
      </w:pPr>
      <w:bookmarkStart w:id="12" w:name="_Toc218612350"/>
      <w:r w:rsidRPr="00807FF2">
        <w:t>六</w:t>
      </w:r>
      <w:r w:rsidR="000F572A" w:rsidRPr="00807FF2">
        <w:rPr>
          <w:rFonts w:hint="eastAsia"/>
        </w:rPr>
        <w:t>、</w:t>
      </w:r>
      <w:r w:rsidRPr="00807FF2">
        <w:t>结论</w:t>
      </w:r>
      <w:bookmarkEnd w:id="12"/>
    </w:p>
    <w:p w14:paraId="50CBFDFA" w14:textId="058AB365" w:rsidR="00B66FA7" w:rsidRPr="00B66FA7" w:rsidRDefault="00B66FA7" w:rsidP="00541847">
      <w:pPr>
        <w:ind w:firstLineChars="200" w:firstLine="440"/>
        <w:rPr>
          <w:rFonts w:ascii="宋体" w:eastAsia="宋体" w:hAnsi="宋体" w:hint="eastAsia"/>
        </w:rPr>
      </w:pPr>
      <w:r w:rsidRPr="00B66FA7">
        <w:rPr>
          <w:rFonts w:ascii="宋体" w:eastAsia="宋体" w:hAnsi="宋体"/>
        </w:rPr>
        <w:t>中国商业模式创新本质是制度成本约束下的适应性反应，历史周期呈现“管制强化—制度成本上升—非正式创新—制度突破”的循环。唐宋金融化、明清商帮、改革开放三次</w:t>
      </w:r>
      <w:proofErr w:type="gramStart"/>
      <w:r w:rsidRPr="00B66FA7">
        <w:rPr>
          <w:rFonts w:ascii="宋体" w:eastAsia="宋体" w:hAnsi="宋体"/>
        </w:rPr>
        <w:t>转型均</w:t>
      </w:r>
      <w:proofErr w:type="gramEnd"/>
      <w:r w:rsidRPr="00B66FA7">
        <w:rPr>
          <w:rFonts w:ascii="宋体" w:eastAsia="宋体" w:hAnsi="宋体"/>
        </w:rPr>
        <w:t>证明，当正式制度成本过高时，声誉资本、关系契约、实用调适等非正式机制会自动替代，形成“低法治-高效率”的过渡均衡。数字经济时代需完成从土地</w:t>
      </w:r>
      <w:r w:rsidR="00FC2385" w:rsidRPr="00807FF2">
        <w:rPr>
          <w:rFonts w:ascii="宋体" w:eastAsia="宋体" w:hAnsi="宋体" w:hint="eastAsia"/>
        </w:rPr>
        <w:t>或</w:t>
      </w:r>
      <w:r w:rsidRPr="00B66FA7">
        <w:rPr>
          <w:rFonts w:ascii="宋体" w:eastAsia="宋体" w:hAnsi="宋体"/>
        </w:rPr>
        <w:t>资本要素到数据要素的制度范式转换，核心在于将历史基因中的“特许监管”“关系嵌入”转化为“算法透明”“数据信用”，实现国家控制力与市场活力的再平衡。承认并善用这些制度基因，而非简单照搬西方产权理论，才能构建低成本、高韧性的数字商业新秩序。</w:t>
      </w:r>
    </w:p>
    <w:p w14:paraId="28306492" w14:textId="41FD9569" w:rsidR="009A34C2" w:rsidRDefault="006C5524" w:rsidP="00214D09">
      <w:pPr>
        <w:pStyle w:val="1"/>
        <w:rPr>
          <w:rFonts w:hint="eastAsia"/>
        </w:rPr>
      </w:pPr>
      <w:bookmarkStart w:id="13" w:name="_Toc218612351"/>
      <w:r w:rsidRPr="00807FF2">
        <w:rPr>
          <w:rFonts w:hint="eastAsia"/>
        </w:rPr>
        <w:lastRenderedPageBreak/>
        <w:t>参考文献</w:t>
      </w:r>
      <w:bookmarkEnd w:id="13"/>
    </w:p>
    <w:p w14:paraId="0FEC8139" w14:textId="5502AFFF" w:rsidR="008145E0" w:rsidRDefault="005E00D2" w:rsidP="00214D09">
      <w:pPr>
        <w:pStyle w:val="a9"/>
        <w:numPr>
          <w:ilvl w:val="0"/>
          <w:numId w:val="2"/>
        </w:numPr>
        <w:ind w:firstLine="0"/>
        <w:rPr>
          <w:rFonts w:ascii="宋体" w:eastAsia="宋体" w:hAnsi="宋体" w:hint="eastAsia"/>
        </w:rPr>
      </w:pPr>
      <w:bookmarkStart w:id="14" w:name="_Ref218611889"/>
      <w:r w:rsidRPr="005F79B3">
        <w:rPr>
          <w:rFonts w:ascii="宋体" w:eastAsia="宋体" w:hAnsi="宋体" w:hint="eastAsia"/>
        </w:rPr>
        <w:t>葛金芳.宋代经济:从传统向现代转变的首次启动[J].中国经济史研究,2005,(01):78-86.</w:t>
      </w:r>
      <w:bookmarkEnd w:id="14"/>
    </w:p>
    <w:p w14:paraId="2E57A8CF" w14:textId="219583F8" w:rsidR="00342162" w:rsidRDefault="00F75272" w:rsidP="00214D09">
      <w:pPr>
        <w:pStyle w:val="a9"/>
        <w:numPr>
          <w:ilvl w:val="0"/>
          <w:numId w:val="2"/>
        </w:numPr>
        <w:ind w:firstLine="0"/>
        <w:rPr>
          <w:rFonts w:ascii="宋体" w:eastAsia="宋体" w:hAnsi="宋体" w:hint="eastAsia"/>
        </w:rPr>
      </w:pPr>
      <w:bookmarkStart w:id="15" w:name="_Ref218611938"/>
      <w:proofErr w:type="gramStart"/>
      <w:r w:rsidRPr="00F75272">
        <w:rPr>
          <w:rFonts w:ascii="宋体" w:eastAsia="宋体" w:hAnsi="宋体" w:hint="eastAsia"/>
        </w:rPr>
        <w:t>包伟民</w:t>
      </w:r>
      <w:proofErr w:type="gramEnd"/>
      <w:r w:rsidRPr="00F75272">
        <w:rPr>
          <w:rFonts w:ascii="宋体" w:eastAsia="宋体" w:hAnsi="宋体" w:hint="eastAsia"/>
        </w:rPr>
        <w:t>.试论宋代纸币的性质及其历史地位[J].中国经济史研究,1995,(03):23-31.</w:t>
      </w:r>
      <w:bookmarkEnd w:id="15"/>
    </w:p>
    <w:p w14:paraId="66567806" w14:textId="1BFD72CF" w:rsidR="00206217" w:rsidRDefault="00206217" w:rsidP="00214D09">
      <w:pPr>
        <w:pStyle w:val="a9"/>
        <w:numPr>
          <w:ilvl w:val="0"/>
          <w:numId w:val="2"/>
        </w:numPr>
        <w:ind w:firstLine="0"/>
        <w:rPr>
          <w:rFonts w:ascii="宋体" w:eastAsia="宋体" w:hAnsi="宋体" w:hint="eastAsia"/>
        </w:rPr>
      </w:pPr>
      <w:bookmarkStart w:id="16" w:name="_Ref218611952"/>
      <w:proofErr w:type="gramStart"/>
      <w:r w:rsidRPr="00206217">
        <w:rPr>
          <w:rFonts w:ascii="宋体" w:eastAsia="宋体" w:hAnsi="宋体" w:hint="eastAsia"/>
        </w:rPr>
        <w:t>詹</w:t>
      </w:r>
      <w:proofErr w:type="gramEnd"/>
      <w:r w:rsidRPr="00206217">
        <w:rPr>
          <w:rFonts w:ascii="宋体" w:eastAsia="宋体" w:hAnsi="宋体" w:hint="eastAsia"/>
        </w:rPr>
        <w:t>挽强.略论清代中后期的合伙经营——《民间文书与明清东南族商研究》读后[J].湖北函授大学学报,2011,24(03):147-148.</w:t>
      </w:r>
      <w:bookmarkEnd w:id="16"/>
    </w:p>
    <w:p w14:paraId="0A92B36B" w14:textId="4B34AF06" w:rsidR="0094095C" w:rsidRDefault="0094095C" w:rsidP="00214D09">
      <w:pPr>
        <w:pStyle w:val="a9"/>
        <w:numPr>
          <w:ilvl w:val="0"/>
          <w:numId w:val="2"/>
        </w:numPr>
        <w:ind w:firstLine="0"/>
        <w:rPr>
          <w:rFonts w:ascii="宋体" w:eastAsia="宋体" w:hAnsi="宋体" w:hint="eastAsia"/>
        </w:rPr>
      </w:pPr>
      <w:bookmarkStart w:id="17" w:name="_Ref218611959"/>
      <w:r w:rsidRPr="0094095C">
        <w:rPr>
          <w:rFonts w:ascii="宋体" w:eastAsia="宋体" w:hAnsi="宋体" w:hint="eastAsia"/>
        </w:rPr>
        <w:t>刘建生 ….晋商研究[M].山西人民出版社,2005.</w:t>
      </w:r>
      <w:bookmarkEnd w:id="17"/>
    </w:p>
    <w:p w14:paraId="72A9B692" w14:textId="53C31792" w:rsidR="000C29B4" w:rsidRDefault="000C29B4" w:rsidP="00214D09">
      <w:pPr>
        <w:pStyle w:val="a9"/>
        <w:numPr>
          <w:ilvl w:val="0"/>
          <w:numId w:val="2"/>
        </w:numPr>
        <w:ind w:firstLine="0"/>
        <w:rPr>
          <w:rFonts w:ascii="宋体" w:eastAsia="宋体" w:hAnsi="宋体" w:hint="eastAsia"/>
        </w:rPr>
      </w:pPr>
      <w:bookmarkStart w:id="18" w:name="_Ref218611964"/>
      <w:r w:rsidRPr="000C29B4">
        <w:rPr>
          <w:rFonts w:ascii="宋体" w:eastAsia="宋体" w:hAnsi="宋体" w:hint="eastAsia"/>
        </w:rPr>
        <w:t>《明清徽州典商研究》出版[J].中国经济史研究,2012,(04):97.</w:t>
      </w:r>
      <w:bookmarkEnd w:id="18"/>
    </w:p>
    <w:p w14:paraId="169287C1" w14:textId="2AF67458" w:rsidR="000C29B4" w:rsidRDefault="00076ADD" w:rsidP="00214D09">
      <w:pPr>
        <w:pStyle w:val="a9"/>
        <w:numPr>
          <w:ilvl w:val="0"/>
          <w:numId w:val="2"/>
        </w:numPr>
        <w:ind w:firstLine="0"/>
        <w:rPr>
          <w:rFonts w:ascii="宋体" w:eastAsia="宋体" w:hAnsi="宋体" w:hint="eastAsia"/>
        </w:rPr>
      </w:pPr>
      <w:bookmarkStart w:id="19" w:name="_Ref218611969"/>
      <w:r w:rsidRPr="00076ADD">
        <w:rPr>
          <w:rFonts w:ascii="宋体" w:eastAsia="宋体" w:hAnsi="宋体" w:hint="eastAsia"/>
        </w:rPr>
        <w:t>周, 其仁.产权与制度变迁 : 中国改革的经验研究[J].北京大学出版社, 2004.</w:t>
      </w:r>
      <w:bookmarkEnd w:id="19"/>
    </w:p>
    <w:p w14:paraId="0C868B17" w14:textId="48C16464" w:rsidR="00076ADD" w:rsidRPr="005F79B3" w:rsidRDefault="00324E31" w:rsidP="00214D09">
      <w:pPr>
        <w:pStyle w:val="a9"/>
        <w:numPr>
          <w:ilvl w:val="0"/>
          <w:numId w:val="2"/>
        </w:numPr>
        <w:ind w:firstLine="0"/>
        <w:rPr>
          <w:rFonts w:ascii="宋体" w:eastAsia="宋体" w:hAnsi="宋体" w:hint="eastAsia"/>
        </w:rPr>
      </w:pPr>
      <w:bookmarkStart w:id="20" w:name="_Ref218611976"/>
      <w:r w:rsidRPr="00324E31">
        <w:rPr>
          <w:rFonts w:ascii="宋体" w:eastAsia="宋体" w:hAnsi="宋体" w:hint="eastAsia"/>
        </w:rPr>
        <w:t>钱颖一.现代经济学与中国经济改革[M].中国人民大学出版社,2003.</w:t>
      </w:r>
      <w:bookmarkEnd w:id="20"/>
    </w:p>
    <w:sectPr w:rsidR="00076ADD" w:rsidRPr="005F79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E19D8" w14:textId="77777777" w:rsidR="00B66FA7" w:rsidRDefault="00B66FA7" w:rsidP="00B66FA7">
      <w:pPr>
        <w:spacing w:after="0" w:line="240" w:lineRule="auto"/>
        <w:ind w:firstLine="440"/>
        <w:rPr>
          <w:rFonts w:hint="eastAsia"/>
        </w:rPr>
      </w:pPr>
      <w:r>
        <w:separator/>
      </w:r>
    </w:p>
  </w:endnote>
  <w:endnote w:type="continuationSeparator" w:id="0">
    <w:p w14:paraId="0D7747E6" w14:textId="77777777" w:rsidR="00B66FA7" w:rsidRDefault="00B66FA7" w:rsidP="00B66FA7">
      <w:pPr>
        <w:spacing w:after="0"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60CEB" w14:textId="77777777" w:rsidR="00B66FA7" w:rsidRDefault="00B66FA7" w:rsidP="00B66FA7">
      <w:pPr>
        <w:spacing w:after="0" w:line="240" w:lineRule="auto"/>
        <w:ind w:firstLine="440"/>
        <w:rPr>
          <w:rFonts w:hint="eastAsia"/>
        </w:rPr>
      </w:pPr>
      <w:r>
        <w:separator/>
      </w:r>
    </w:p>
  </w:footnote>
  <w:footnote w:type="continuationSeparator" w:id="0">
    <w:p w14:paraId="4047CCBC" w14:textId="77777777" w:rsidR="00B66FA7" w:rsidRDefault="00B66FA7" w:rsidP="00B66FA7">
      <w:pPr>
        <w:spacing w:after="0" w:line="240" w:lineRule="auto"/>
        <w:ind w:firstLine="44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60AD6"/>
    <w:multiLevelType w:val="hybridMultilevel"/>
    <w:tmpl w:val="6A06EB44"/>
    <w:lvl w:ilvl="0" w:tplc="40FED3C2">
      <w:start w:val="1"/>
      <w:numFmt w:val="bullet"/>
      <w:lvlText w:val=""/>
      <w:lvlJc w:val="left"/>
      <w:pPr>
        <w:ind w:left="440" w:hanging="440"/>
      </w:pPr>
      <w:rPr>
        <w:rFonts w:ascii="Wingdings" w:hAnsi="Wingdings" w:hint="default"/>
        <w:sz w:val="15"/>
        <w:szCs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72DD510B"/>
    <w:multiLevelType w:val="hybridMultilevel"/>
    <w:tmpl w:val="5A68CB6E"/>
    <w:lvl w:ilvl="0" w:tplc="2AC648D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07893170">
    <w:abstractNumId w:val="0"/>
  </w:num>
  <w:num w:numId="2" w16cid:durableId="1254245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1E1"/>
    <w:rsid w:val="00024599"/>
    <w:rsid w:val="00037AD2"/>
    <w:rsid w:val="00050B38"/>
    <w:rsid w:val="00076ADD"/>
    <w:rsid w:val="000C29B4"/>
    <w:rsid w:val="000E54C6"/>
    <w:rsid w:val="000F572A"/>
    <w:rsid w:val="00154D52"/>
    <w:rsid w:val="001679A7"/>
    <w:rsid w:val="0017674F"/>
    <w:rsid w:val="001C3053"/>
    <w:rsid w:val="001C3FC6"/>
    <w:rsid w:val="00206217"/>
    <w:rsid w:val="00214D09"/>
    <w:rsid w:val="0023507B"/>
    <w:rsid w:val="00265CA5"/>
    <w:rsid w:val="002A0CB0"/>
    <w:rsid w:val="002A1A3F"/>
    <w:rsid w:val="0030358E"/>
    <w:rsid w:val="003165C6"/>
    <w:rsid w:val="00324E31"/>
    <w:rsid w:val="00342162"/>
    <w:rsid w:val="003910D7"/>
    <w:rsid w:val="0044434A"/>
    <w:rsid w:val="00477DFB"/>
    <w:rsid w:val="004A591A"/>
    <w:rsid w:val="004D3DAC"/>
    <w:rsid w:val="004F73E7"/>
    <w:rsid w:val="0051072D"/>
    <w:rsid w:val="00535B80"/>
    <w:rsid w:val="00541847"/>
    <w:rsid w:val="0058648B"/>
    <w:rsid w:val="005E00D2"/>
    <w:rsid w:val="005F79B3"/>
    <w:rsid w:val="0062522F"/>
    <w:rsid w:val="00696A62"/>
    <w:rsid w:val="006C5524"/>
    <w:rsid w:val="006E518B"/>
    <w:rsid w:val="006E562C"/>
    <w:rsid w:val="007077ED"/>
    <w:rsid w:val="00757CE6"/>
    <w:rsid w:val="007A5CC1"/>
    <w:rsid w:val="00807FF2"/>
    <w:rsid w:val="008145E0"/>
    <w:rsid w:val="008849DF"/>
    <w:rsid w:val="00887041"/>
    <w:rsid w:val="008E01E1"/>
    <w:rsid w:val="008E1AB7"/>
    <w:rsid w:val="00914F79"/>
    <w:rsid w:val="0094095C"/>
    <w:rsid w:val="00981975"/>
    <w:rsid w:val="00981D32"/>
    <w:rsid w:val="009A34C2"/>
    <w:rsid w:val="009E51F5"/>
    <w:rsid w:val="009F2E3A"/>
    <w:rsid w:val="00A67C27"/>
    <w:rsid w:val="00A7403E"/>
    <w:rsid w:val="00AA4A10"/>
    <w:rsid w:val="00AE3411"/>
    <w:rsid w:val="00B110C1"/>
    <w:rsid w:val="00B66FA7"/>
    <w:rsid w:val="00CC53C4"/>
    <w:rsid w:val="00CE11D2"/>
    <w:rsid w:val="00D4471A"/>
    <w:rsid w:val="00D93366"/>
    <w:rsid w:val="00DA1A9C"/>
    <w:rsid w:val="00DA3EC8"/>
    <w:rsid w:val="00DB0736"/>
    <w:rsid w:val="00DD7AF7"/>
    <w:rsid w:val="00DE08A7"/>
    <w:rsid w:val="00E44D94"/>
    <w:rsid w:val="00E76557"/>
    <w:rsid w:val="00EA7870"/>
    <w:rsid w:val="00F21646"/>
    <w:rsid w:val="00F55256"/>
    <w:rsid w:val="00F65E2C"/>
    <w:rsid w:val="00F75272"/>
    <w:rsid w:val="00F93D51"/>
    <w:rsid w:val="00FC2385"/>
    <w:rsid w:val="00FD3159"/>
    <w:rsid w:val="00FE35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8BAC2"/>
  <w15:chartTrackingRefBased/>
  <w15:docId w15:val="{B90198E0-488F-4D42-A908-FC780424C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autoRedefine/>
    <w:uiPriority w:val="9"/>
    <w:qFormat/>
    <w:rsid w:val="00807FF2"/>
    <w:pPr>
      <w:keepNext/>
      <w:keepLines/>
      <w:spacing w:before="480" w:after="80"/>
      <w:outlineLvl w:val="0"/>
    </w:pPr>
    <w:rPr>
      <w:rFonts w:ascii="黑体" w:eastAsia="黑体" w:hAnsi="黑体" w:cstheme="majorBidi"/>
      <w:color w:val="000000" w:themeColor="text1"/>
      <w:sz w:val="36"/>
      <w:szCs w:val="48"/>
    </w:rPr>
  </w:style>
  <w:style w:type="paragraph" w:styleId="2">
    <w:name w:val="heading 2"/>
    <w:basedOn w:val="a"/>
    <w:next w:val="a"/>
    <w:link w:val="20"/>
    <w:autoRedefine/>
    <w:uiPriority w:val="9"/>
    <w:unhideWhenUsed/>
    <w:qFormat/>
    <w:rsid w:val="001C3053"/>
    <w:pPr>
      <w:keepNext/>
      <w:keepLines/>
      <w:spacing w:before="160" w:after="80"/>
      <w:outlineLvl w:val="1"/>
    </w:pPr>
    <w:rPr>
      <w:rFonts w:asciiTheme="majorHAnsi" w:eastAsia="黑体" w:hAnsiTheme="majorHAnsi" w:cstheme="majorBidi"/>
      <w:sz w:val="30"/>
      <w:szCs w:val="30"/>
    </w:rPr>
  </w:style>
  <w:style w:type="paragraph" w:styleId="3">
    <w:name w:val="heading 3"/>
    <w:basedOn w:val="a"/>
    <w:next w:val="a"/>
    <w:link w:val="30"/>
    <w:uiPriority w:val="9"/>
    <w:semiHidden/>
    <w:unhideWhenUsed/>
    <w:qFormat/>
    <w:rsid w:val="008E01E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E01E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E01E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E01E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E01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01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01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7FF2"/>
    <w:rPr>
      <w:rFonts w:ascii="黑体" w:eastAsia="黑体" w:hAnsi="黑体" w:cstheme="majorBidi"/>
      <w:color w:val="000000" w:themeColor="text1"/>
      <w:sz w:val="36"/>
      <w:szCs w:val="48"/>
    </w:rPr>
  </w:style>
  <w:style w:type="character" w:customStyle="1" w:styleId="20">
    <w:name w:val="标题 2 字符"/>
    <w:basedOn w:val="a0"/>
    <w:link w:val="2"/>
    <w:uiPriority w:val="9"/>
    <w:rsid w:val="001C3053"/>
    <w:rPr>
      <w:rFonts w:asciiTheme="majorHAnsi" w:eastAsia="黑体" w:hAnsiTheme="majorHAnsi" w:cstheme="majorBidi"/>
      <w:sz w:val="30"/>
      <w:szCs w:val="30"/>
    </w:rPr>
  </w:style>
  <w:style w:type="character" w:customStyle="1" w:styleId="30">
    <w:name w:val="标题 3 字符"/>
    <w:basedOn w:val="a0"/>
    <w:link w:val="3"/>
    <w:uiPriority w:val="9"/>
    <w:semiHidden/>
    <w:rsid w:val="008E01E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E01E1"/>
    <w:rPr>
      <w:rFonts w:cstheme="majorBidi"/>
      <w:color w:val="2F5496" w:themeColor="accent1" w:themeShade="BF"/>
      <w:sz w:val="28"/>
      <w:szCs w:val="28"/>
    </w:rPr>
  </w:style>
  <w:style w:type="character" w:customStyle="1" w:styleId="50">
    <w:name w:val="标题 5 字符"/>
    <w:basedOn w:val="a0"/>
    <w:link w:val="5"/>
    <w:uiPriority w:val="9"/>
    <w:semiHidden/>
    <w:rsid w:val="008E01E1"/>
    <w:rPr>
      <w:rFonts w:cstheme="majorBidi"/>
      <w:color w:val="2F5496" w:themeColor="accent1" w:themeShade="BF"/>
      <w:sz w:val="24"/>
    </w:rPr>
  </w:style>
  <w:style w:type="character" w:customStyle="1" w:styleId="60">
    <w:name w:val="标题 6 字符"/>
    <w:basedOn w:val="a0"/>
    <w:link w:val="6"/>
    <w:uiPriority w:val="9"/>
    <w:semiHidden/>
    <w:rsid w:val="008E01E1"/>
    <w:rPr>
      <w:rFonts w:cstheme="majorBidi"/>
      <w:b/>
      <w:bCs/>
      <w:color w:val="2F5496" w:themeColor="accent1" w:themeShade="BF"/>
    </w:rPr>
  </w:style>
  <w:style w:type="character" w:customStyle="1" w:styleId="70">
    <w:name w:val="标题 7 字符"/>
    <w:basedOn w:val="a0"/>
    <w:link w:val="7"/>
    <w:uiPriority w:val="9"/>
    <w:semiHidden/>
    <w:rsid w:val="008E01E1"/>
    <w:rPr>
      <w:rFonts w:cstheme="majorBidi"/>
      <w:b/>
      <w:bCs/>
      <w:color w:val="595959" w:themeColor="text1" w:themeTint="A6"/>
    </w:rPr>
  </w:style>
  <w:style w:type="character" w:customStyle="1" w:styleId="80">
    <w:name w:val="标题 8 字符"/>
    <w:basedOn w:val="a0"/>
    <w:link w:val="8"/>
    <w:uiPriority w:val="9"/>
    <w:semiHidden/>
    <w:rsid w:val="008E01E1"/>
    <w:rPr>
      <w:rFonts w:cstheme="majorBidi"/>
      <w:color w:val="595959" w:themeColor="text1" w:themeTint="A6"/>
    </w:rPr>
  </w:style>
  <w:style w:type="character" w:customStyle="1" w:styleId="90">
    <w:name w:val="标题 9 字符"/>
    <w:basedOn w:val="a0"/>
    <w:link w:val="9"/>
    <w:uiPriority w:val="9"/>
    <w:semiHidden/>
    <w:rsid w:val="008E01E1"/>
    <w:rPr>
      <w:rFonts w:eastAsiaTheme="majorEastAsia" w:cstheme="majorBidi"/>
      <w:color w:val="595959" w:themeColor="text1" w:themeTint="A6"/>
    </w:rPr>
  </w:style>
  <w:style w:type="paragraph" w:styleId="a3">
    <w:name w:val="Title"/>
    <w:basedOn w:val="a"/>
    <w:next w:val="a"/>
    <w:link w:val="a4"/>
    <w:uiPriority w:val="10"/>
    <w:qFormat/>
    <w:rsid w:val="008E01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01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01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01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01E1"/>
    <w:pPr>
      <w:spacing w:before="160"/>
      <w:jc w:val="center"/>
    </w:pPr>
    <w:rPr>
      <w:i/>
      <w:iCs/>
      <w:color w:val="404040" w:themeColor="text1" w:themeTint="BF"/>
    </w:rPr>
  </w:style>
  <w:style w:type="character" w:customStyle="1" w:styleId="a8">
    <w:name w:val="引用 字符"/>
    <w:basedOn w:val="a0"/>
    <w:link w:val="a7"/>
    <w:uiPriority w:val="29"/>
    <w:rsid w:val="008E01E1"/>
    <w:rPr>
      <w:i/>
      <w:iCs/>
      <w:color w:val="404040" w:themeColor="text1" w:themeTint="BF"/>
    </w:rPr>
  </w:style>
  <w:style w:type="paragraph" w:styleId="a9">
    <w:name w:val="List Paragraph"/>
    <w:basedOn w:val="a"/>
    <w:uiPriority w:val="34"/>
    <w:qFormat/>
    <w:rsid w:val="008E01E1"/>
    <w:pPr>
      <w:ind w:left="720"/>
      <w:contextualSpacing/>
    </w:pPr>
  </w:style>
  <w:style w:type="character" w:styleId="aa">
    <w:name w:val="Intense Emphasis"/>
    <w:basedOn w:val="a0"/>
    <w:uiPriority w:val="21"/>
    <w:qFormat/>
    <w:rsid w:val="008E01E1"/>
    <w:rPr>
      <w:i/>
      <w:iCs/>
      <w:color w:val="2F5496" w:themeColor="accent1" w:themeShade="BF"/>
    </w:rPr>
  </w:style>
  <w:style w:type="paragraph" w:styleId="ab">
    <w:name w:val="Intense Quote"/>
    <w:basedOn w:val="a"/>
    <w:next w:val="a"/>
    <w:link w:val="ac"/>
    <w:uiPriority w:val="30"/>
    <w:qFormat/>
    <w:rsid w:val="008E01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E01E1"/>
    <w:rPr>
      <w:i/>
      <w:iCs/>
      <w:color w:val="2F5496" w:themeColor="accent1" w:themeShade="BF"/>
    </w:rPr>
  </w:style>
  <w:style w:type="character" w:styleId="ad">
    <w:name w:val="Intense Reference"/>
    <w:basedOn w:val="a0"/>
    <w:uiPriority w:val="32"/>
    <w:qFormat/>
    <w:rsid w:val="008E01E1"/>
    <w:rPr>
      <w:b/>
      <w:bCs/>
      <w:smallCaps/>
      <w:color w:val="2F5496" w:themeColor="accent1" w:themeShade="BF"/>
      <w:spacing w:val="5"/>
    </w:rPr>
  </w:style>
  <w:style w:type="paragraph" w:styleId="ae">
    <w:name w:val="header"/>
    <w:basedOn w:val="a"/>
    <w:link w:val="af"/>
    <w:uiPriority w:val="99"/>
    <w:unhideWhenUsed/>
    <w:rsid w:val="00B66FA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66FA7"/>
    <w:rPr>
      <w:sz w:val="18"/>
      <w:szCs w:val="18"/>
    </w:rPr>
  </w:style>
  <w:style w:type="paragraph" w:styleId="af0">
    <w:name w:val="footer"/>
    <w:basedOn w:val="a"/>
    <w:link w:val="af1"/>
    <w:uiPriority w:val="99"/>
    <w:unhideWhenUsed/>
    <w:rsid w:val="00B66FA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66FA7"/>
    <w:rPr>
      <w:sz w:val="18"/>
      <w:szCs w:val="18"/>
    </w:rPr>
  </w:style>
  <w:style w:type="paragraph" w:styleId="TOC">
    <w:name w:val="TOC Heading"/>
    <w:basedOn w:val="1"/>
    <w:next w:val="a"/>
    <w:uiPriority w:val="39"/>
    <w:unhideWhenUsed/>
    <w:qFormat/>
    <w:rsid w:val="00F93D51"/>
    <w:pPr>
      <w:widowControl/>
      <w:spacing w:before="240" w:after="0" w:line="259" w:lineRule="auto"/>
      <w:outlineLvl w:val="9"/>
    </w:pPr>
    <w:rPr>
      <w:rFonts w:asciiTheme="majorHAnsi" w:eastAsiaTheme="majorEastAsia" w:hAnsiTheme="majorHAnsi"/>
      <w:color w:val="2F5496" w:themeColor="accent1" w:themeShade="BF"/>
      <w:kern w:val="0"/>
      <w:sz w:val="32"/>
      <w:szCs w:val="32"/>
      <w14:ligatures w14:val="none"/>
    </w:rPr>
  </w:style>
  <w:style w:type="paragraph" w:styleId="TOC1">
    <w:name w:val="toc 1"/>
    <w:basedOn w:val="a"/>
    <w:next w:val="a"/>
    <w:autoRedefine/>
    <w:uiPriority w:val="39"/>
    <w:unhideWhenUsed/>
    <w:rsid w:val="00F93D51"/>
  </w:style>
  <w:style w:type="character" w:styleId="af2">
    <w:name w:val="Hyperlink"/>
    <w:basedOn w:val="a0"/>
    <w:uiPriority w:val="99"/>
    <w:unhideWhenUsed/>
    <w:rsid w:val="00F93D51"/>
    <w:rPr>
      <w:color w:val="0563C1" w:themeColor="hyperlink"/>
      <w:u w:val="single"/>
    </w:rPr>
  </w:style>
  <w:style w:type="paragraph" w:styleId="TOC2">
    <w:name w:val="toc 2"/>
    <w:basedOn w:val="a"/>
    <w:next w:val="a"/>
    <w:autoRedefine/>
    <w:uiPriority w:val="39"/>
    <w:unhideWhenUsed/>
    <w:rsid w:val="001679A7"/>
    <w:pPr>
      <w:ind w:leftChars="200" w:left="420"/>
    </w:pPr>
  </w:style>
  <w:style w:type="table" w:styleId="af3">
    <w:name w:val="Table Grid"/>
    <w:basedOn w:val="a1"/>
    <w:uiPriority w:val="39"/>
    <w:rsid w:val="009F2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BA7B5-A8FF-423F-AC0B-136C0A80B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2786</Words>
  <Characters>2927</Characters>
  <Application>Microsoft Office Word</Application>
  <DocSecurity>0</DocSecurity>
  <Lines>121</Lines>
  <Paragraphs>79</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梓涵 李</dc:creator>
  <cp:keywords/>
  <dc:description/>
  <cp:lastModifiedBy>梓涵 李</cp:lastModifiedBy>
  <cp:revision>85</cp:revision>
  <dcterms:created xsi:type="dcterms:W3CDTF">2026-01-06T08:20:00Z</dcterms:created>
  <dcterms:modified xsi:type="dcterms:W3CDTF">2026-01-06T09:27:00Z</dcterms:modified>
</cp:coreProperties>
</file>