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Mining guild escape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(hyperdrive broken (8 turns till repaired), enemy territory, 14 turn counter, 1 debris in player deployment zone + 6 random asteroids, recommended players 3, rank F)</w:t>
      </w: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Light red: Friendly Deployment Zone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Green: Obstacle Placement Area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Enemies: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Start:</w:t>
        <w:tab/>
        <w:t xml:space="preserve">h4 mining guild TIE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h5 mining guild TIE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R3:</w:t>
        <w:tab/>
        <w:t xml:space="preserve">hD6 mining guild TIEx2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R7:</w:t>
        <w:tab/>
        <w:t xml:space="preserve">hD6 mining guild TIEx2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R9:</w:t>
        <w:tab/>
        <w:t xml:space="preserve">hD6 mining guild TIEx2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hD6 mining guild TIE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Goal: Escape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Payout: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Standard (in stolen goods(tibanna gas))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Spectacle Fight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(friendly territory, 10 turn counter, 10 debris and 3 asteroids, recommended players Any, rank Variable, players fly in random rental ships of the same Tier as the Rank of mission)</w:t>
      </w: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Light red: Friendly Deployment Zone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Green: Obstacle Placement Area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After running, becomes Available again after 3 missions with next tier unlocked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Enemies: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Start:</w:t>
        <w:tab/>
        <w:t xml:space="preserve">hD2 random ship of the same Tier as the mission’s Rank(standard initiative)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Repeat above for each player beyond the first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Goal: Survive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Payout: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Cowardice will not be tolerated, escape = 0 pay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½ Standard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¼ base price of each ship destroyed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Survival bonus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Base ship price</w:t>
        <w:tab/>
        <w:t xml:space="preserve">Payout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800-1000</w:t>
        <w:tab/>
        <w:tab/>
        <w:t xml:space="preserve">800cr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1000-1200</w:t>
        <w:tab/>
        <w:tab/>
        <w:t xml:space="preserve">400cr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1200-1400</w:t>
        <w:tab/>
        <w:tab/>
        <w:t xml:space="preserve">200cr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1400-1600</w:t>
        <w:tab/>
        <w:tab/>
        <w:t xml:space="preserve">100cr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1600-1800</w:t>
        <w:tab/>
        <w:tab/>
        <w:t xml:space="preserve">50cr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1800-2000</w:t>
        <w:tab/>
        <w:tab/>
        <w:t xml:space="preserve">25cr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2000+</w:t>
        <w:tab/>
        <w:tab/>
        <w:tab/>
        <w:t xml:space="preserve">0cr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Escape with Tibanna Gas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(Hyperdrive disabled, enemy territory, 10 turn counter, 18 random asteroids, recommended players 2, rank 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Light red: Friendly Deployment Zone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Dark red: Friendly Escape Edge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Green: Obstacle Placement Area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Enemies: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Round 1:</w:t>
        <w:tab/>
        <w:t xml:space="preserve">hD6 mining guild TIE (After friendly forces placed)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hD6 mining guild TIE (After friendly forces placed)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Each round after: hD6 mining guild TIE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Goal: Escape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Payout: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2exp to each player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Bonus 1exp to each escapee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1000cr per escapee (in stolen goods(tibanna gas))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Bonus: 100cr per undamaged escapee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