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08C37" w14:textId="77777777" w:rsidR="00013A20" w:rsidRDefault="00013A20" w:rsidP="003124A4">
      <w:pPr>
        <w:spacing w:line="360" w:lineRule="auto"/>
        <w:jc w:val="center"/>
        <w:rPr>
          <w:rFonts w:ascii="Times New Roman" w:hAnsi="Times New Roman" w:cs="Times New Roman"/>
          <w:b/>
          <w:bCs/>
        </w:rPr>
      </w:pPr>
    </w:p>
    <w:p w14:paraId="2251E3F5" w14:textId="77777777" w:rsidR="00013A20" w:rsidRDefault="00013A20" w:rsidP="003124A4">
      <w:pPr>
        <w:spacing w:line="360" w:lineRule="auto"/>
        <w:jc w:val="center"/>
        <w:rPr>
          <w:rFonts w:ascii="Times New Roman" w:hAnsi="Times New Roman" w:cs="Times New Roman"/>
          <w:b/>
          <w:bCs/>
        </w:rPr>
      </w:pPr>
    </w:p>
    <w:p w14:paraId="192C1544" w14:textId="77777777" w:rsidR="00013A20" w:rsidRDefault="00013A20" w:rsidP="003124A4">
      <w:pPr>
        <w:spacing w:line="360" w:lineRule="auto"/>
        <w:jc w:val="center"/>
        <w:rPr>
          <w:rFonts w:ascii="Times New Roman" w:hAnsi="Times New Roman" w:cs="Times New Roman"/>
          <w:b/>
          <w:bCs/>
        </w:rPr>
      </w:pPr>
    </w:p>
    <w:p w14:paraId="564DD9DC" w14:textId="77777777" w:rsidR="00013A20" w:rsidRDefault="00013A20" w:rsidP="003124A4">
      <w:pPr>
        <w:spacing w:line="360" w:lineRule="auto"/>
        <w:jc w:val="center"/>
        <w:rPr>
          <w:rFonts w:ascii="Times New Roman" w:hAnsi="Times New Roman" w:cs="Times New Roman"/>
          <w:b/>
          <w:bCs/>
        </w:rPr>
      </w:pPr>
    </w:p>
    <w:p w14:paraId="6C2C0CDF" w14:textId="77777777" w:rsidR="00013A20" w:rsidRDefault="00013A20" w:rsidP="003124A4">
      <w:pPr>
        <w:spacing w:line="360" w:lineRule="auto"/>
        <w:jc w:val="center"/>
        <w:rPr>
          <w:rFonts w:ascii="Times New Roman" w:hAnsi="Times New Roman" w:cs="Times New Roman"/>
          <w:b/>
          <w:bCs/>
        </w:rPr>
      </w:pPr>
    </w:p>
    <w:p w14:paraId="425D07BC" w14:textId="77777777" w:rsidR="00013A20" w:rsidRDefault="00013A20" w:rsidP="003124A4">
      <w:pPr>
        <w:spacing w:line="360" w:lineRule="auto"/>
        <w:jc w:val="center"/>
        <w:rPr>
          <w:rFonts w:ascii="Times New Roman" w:hAnsi="Times New Roman" w:cs="Times New Roman"/>
          <w:b/>
          <w:bCs/>
        </w:rPr>
      </w:pPr>
    </w:p>
    <w:p w14:paraId="0F835AE0" w14:textId="77777777" w:rsidR="00013A20" w:rsidRDefault="00013A20" w:rsidP="003124A4">
      <w:pPr>
        <w:spacing w:line="360" w:lineRule="auto"/>
        <w:jc w:val="center"/>
        <w:rPr>
          <w:rFonts w:ascii="Times New Roman" w:hAnsi="Times New Roman" w:cs="Times New Roman"/>
          <w:b/>
          <w:bCs/>
        </w:rPr>
      </w:pPr>
    </w:p>
    <w:p w14:paraId="296AFB0E" w14:textId="77777777" w:rsidR="00013A20" w:rsidRDefault="00013A20" w:rsidP="003124A4">
      <w:pPr>
        <w:spacing w:line="360" w:lineRule="auto"/>
        <w:jc w:val="center"/>
        <w:rPr>
          <w:rFonts w:ascii="Times New Roman" w:hAnsi="Times New Roman" w:cs="Times New Roman"/>
          <w:b/>
          <w:bCs/>
        </w:rPr>
      </w:pPr>
    </w:p>
    <w:p w14:paraId="6A546FBC" w14:textId="77777777" w:rsidR="00013A20" w:rsidRDefault="00013A20" w:rsidP="003124A4">
      <w:pPr>
        <w:spacing w:line="360" w:lineRule="auto"/>
        <w:jc w:val="center"/>
        <w:rPr>
          <w:rFonts w:ascii="Times New Roman" w:hAnsi="Times New Roman" w:cs="Times New Roman"/>
          <w:b/>
          <w:bCs/>
        </w:rPr>
      </w:pPr>
    </w:p>
    <w:p w14:paraId="3925DFCF" w14:textId="77777777" w:rsidR="00013A20" w:rsidRDefault="00013A20" w:rsidP="003124A4">
      <w:pPr>
        <w:spacing w:line="360" w:lineRule="auto"/>
        <w:jc w:val="center"/>
        <w:rPr>
          <w:rFonts w:ascii="Times New Roman" w:hAnsi="Times New Roman" w:cs="Times New Roman"/>
          <w:b/>
          <w:bCs/>
        </w:rPr>
      </w:pPr>
    </w:p>
    <w:p w14:paraId="3396DE60" w14:textId="77777777" w:rsidR="00013A20" w:rsidRDefault="00013A20" w:rsidP="003124A4">
      <w:pPr>
        <w:spacing w:line="360" w:lineRule="auto"/>
        <w:jc w:val="center"/>
        <w:rPr>
          <w:rFonts w:ascii="Times New Roman" w:hAnsi="Times New Roman" w:cs="Times New Roman"/>
          <w:b/>
          <w:bCs/>
        </w:rPr>
      </w:pPr>
    </w:p>
    <w:p w14:paraId="77B98922" w14:textId="4E906C99" w:rsidR="00D60925" w:rsidRDefault="00680D43" w:rsidP="003124A4">
      <w:pPr>
        <w:spacing w:line="360" w:lineRule="auto"/>
        <w:jc w:val="center"/>
        <w:rPr>
          <w:rFonts w:ascii="Times New Roman" w:hAnsi="Times New Roman" w:cs="Times New Roman"/>
          <w:b/>
          <w:bCs/>
        </w:rPr>
      </w:pPr>
      <w:r>
        <w:rPr>
          <w:rFonts w:ascii="Times New Roman" w:hAnsi="Times New Roman" w:cs="Times New Roman"/>
          <w:b/>
          <w:bCs/>
        </w:rPr>
        <w:t>Portfolio Reflection</w:t>
      </w:r>
    </w:p>
    <w:p w14:paraId="51BCBFDD" w14:textId="48F19A4E" w:rsidR="00013A20" w:rsidRPr="00013A20" w:rsidRDefault="00013A20" w:rsidP="003124A4">
      <w:pPr>
        <w:spacing w:line="360" w:lineRule="auto"/>
        <w:jc w:val="center"/>
        <w:rPr>
          <w:rFonts w:ascii="Times New Roman" w:hAnsi="Times New Roman" w:cs="Times New Roman"/>
        </w:rPr>
      </w:pPr>
      <w:r w:rsidRPr="00013A20">
        <w:rPr>
          <w:rFonts w:ascii="Times New Roman" w:hAnsi="Times New Roman" w:cs="Times New Roman"/>
        </w:rPr>
        <w:t>Cristian Chalarca</w:t>
      </w:r>
    </w:p>
    <w:p w14:paraId="511959ED" w14:textId="77777777" w:rsidR="00013A20" w:rsidRPr="00013A20" w:rsidRDefault="00013A20" w:rsidP="003124A4">
      <w:pPr>
        <w:spacing w:line="360" w:lineRule="auto"/>
        <w:jc w:val="center"/>
        <w:rPr>
          <w:rFonts w:ascii="Times New Roman" w:hAnsi="Times New Roman" w:cs="Times New Roman"/>
        </w:rPr>
      </w:pPr>
      <w:r w:rsidRPr="00013A20">
        <w:rPr>
          <w:rFonts w:ascii="Times New Roman" w:hAnsi="Times New Roman" w:cs="Times New Roman"/>
        </w:rPr>
        <w:t>Southern New Hampshire University</w:t>
      </w:r>
    </w:p>
    <w:p w14:paraId="549BAE5D" w14:textId="46B83497" w:rsidR="00013A20" w:rsidRPr="00013A20" w:rsidRDefault="003E1A1F" w:rsidP="003124A4">
      <w:pPr>
        <w:spacing w:line="360" w:lineRule="auto"/>
        <w:jc w:val="center"/>
        <w:rPr>
          <w:rFonts w:ascii="Times New Roman" w:hAnsi="Times New Roman" w:cs="Times New Roman"/>
        </w:rPr>
      </w:pPr>
      <w:r>
        <w:rPr>
          <w:rFonts w:ascii="Times New Roman" w:hAnsi="Times New Roman" w:cs="Times New Roman"/>
        </w:rPr>
        <w:t>CS-405 Secure Coding</w:t>
      </w:r>
    </w:p>
    <w:p w14:paraId="737D1ABF" w14:textId="3F3EEE7F" w:rsidR="00013A20" w:rsidRPr="00013A20" w:rsidRDefault="00013A20" w:rsidP="003124A4">
      <w:pPr>
        <w:spacing w:line="360" w:lineRule="auto"/>
        <w:jc w:val="center"/>
        <w:rPr>
          <w:rFonts w:ascii="Times New Roman" w:hAnsi="Times New Roman" w:cs="Times New Roman"/>
        </w:rPr>
      </w:pPr>
      <w:r w:rsidRPr="00013A20">
        <w:rPr>
          <w:rFonts w:ascii="Times New Roman" w:hAnsi="Times New Roman" w:cs="Times New Roman"/>
        </w:rPr>
        <w:t xml:space="preserve">Professor: </w:t>
      </w:r>
      <w:r>
        <w:rPr>
          <w:rFonts w:ascii="Times New Roman" w:hAnsi="Times New Roman" w:cs="Times New Roman"/>
        </w:rPr>
        <w:t xml:space="preserve">Dr. </w:t>
      </w:r>
      <w:r w:rsidR="003E1A1F">
        <w:rPr>
          <w:rFonts w:ascii="Times New Roman" w:hAnsi="Times New Roman" w:cs="Times New Roman"/>
        </w:rPr>
        <w:t>Mimi Tam</w:t>
      </w:r>
    </w:p>
    <w:p w14:paraId="2177FFFC" w14:textId="13A1FE80" w:rsidR="00013A20" w:rsidRDefault="00013A20" w:rsidP="003124A4">
      <w:pPr>
        <w:spacing w:line="360" w:lineRule="auto"/>
        <w:jc w:val="center"/>
        <w:rPr>
          <w:rFonts w:ascii="Times New Roman" w:hAnsi="Times New Roman" w:cs="Times New Roman"/>
        </w:rPr>
      </w:pPr>
      <w:r w:rsidRPr="00013A20">
        <w:rPr>
          <w:rFonts w:ascii="Times New Roman" w:hAnsi="Times New Roman" w:cs="Times New Roman"/>
        </w:rPr>
        <w:t>0</w:t>
      </w:r>
      <w:r w:rsidR="00FB21A6">
        <w:rPr>
          <w:rFonts w:ascii="Times New Roman" w:hAnsi="Times New Roman" w:cs="Times New Roman"/>
        </w:rPr>
        <w:t>8</w:t>
      </w:r>
      <w:r w:rsidRPr="00013A20">
        <w:rPr>
          <w:rFonts w:ascii="Times New Roman" w:hAnsi="Times New Roman" w:cs="Times New Roman"/>
        </w:rPr>
        <w:t>/</w:t>
      </w:r>
      <w:r w:rsidR="00680D43">
        <w:rPr>
          <w:rFonts w:ascii="Times New Roman" w:hAnsi="Times New Roman" w:cs="Times New Roman"/>
        </w:rPr>
        <w:t>24</w:t>
      </w:r>
      <w:r w:rsidRPr="00013A20">
        <w:rPr>
          <w:rFonts w:ascii="Times New Roman" w:hAnsi="Times New Roman" w:cs="Times New Roman"/>
        </w:rPr>
        <w:t>/202</w:t>
      </w:r>
      <w:r>
        <w:rPr>
          <w:rFonts w:ascii="Times New Roman" w:hAnsi="Times New Roman" w:cs="Times New Roman"/>
        </w:rPr>
        <w:t>5</w:t>
      </w:r>
    </w:p>
    <w:p w14:paraId="5E771743" w14:textId="77777777" w:rsidR="00013A20" w:rsidRDefault="00013A20" w:rsidP="003124A4">
      <w:pPr>
        <w:spacing w:line="360" w:lineRule="auto"/>
        <w:rPr>
          <w:rFonts w:ascii="Times New Roman" w:hAnsi="Times New Roman" w:cs="Times New Roman"/>
        </w:rPr>
      </w:pPr>
      <w:r>
        <w:rPr>
          <w:rFonts w:ascii="Times New Roman" w:hAnsi="Times New Roman" w:cs="Times New Roman"/>
        </w:rPr>
        <w:br w:type="page"/>
      </w:r>
    </w:p>
    <w:p w14:paraId="54A82F97" w14:textId="77777777" w:rsidR="00EF10D1" w:rsidRPr="00EF10D1" w:rsidRDefault="00EF10D1" w:rsidP="00EF10D1">
      <w:pPr>
        <w:spacing w:line="480" w:lineRule="auto"/>
        <w:rPr>
          <w:rFonts w:ascii="Times New Roman" w:hAnsi="Times New Roman" w:cs="Times New Roman"/>
          <w:b/>
        </w:rPr>
      </w:pPr>
      <w:r w:rsidRPr="00EF10D1">
        <w:rPr>
          <w:rFonts w:ascii="Times New Roman" w:hAnsi="Times New Roman" w:cs="Times New Roman"/>
          <w:b/>
        </w:rPr>
        <w:lastRenderedPageBreak/>
        <w:t>Adoption of a Secure Coding Standard</w:t>
      </w:r>
    </w:p>
    <w:p w14:paraId="7048476D" w14:textId="3CFDD028" w:rsidR="00EF10D1" w:rsidRPr="00EF10D1" w:rsidRDefault="00EF10D1" w:rsidP="00EF10D1">
      <w:pPr>
        <w:spacing w:line="480" w:lineRule="auto"/>
        <w:ind w:firstLine="720"/>
        <w:rPr>
          <w:rFonts w:ascii="Times New Roman" w:hAnsi="Times New Roman" w:cs="Times New Roman"/>
          <w:bCs/>
        </w:rPr>
      </w:pPr>
      <w:r w:rsidRPr="00EF10D1">
        <w:rPr>
          <w:rFonts w:ascii="Times New Roman" w:hAnsi="Times New Roman" w:cs="Times New Roman"/>
          <w:bCs/>
        </w:rPr>
        <w:t>Adopting a secure coding standard early in the software development life cycle ensures that security is not an afterthought but a built-in requirement. The SEI CERT C++ Coding Standard highlights the importance of consistent practices, such as proper input validation, memory management, and exception handling, to prevent vulnerabilities before they surface (Ballman, n.d.)</w:t>
      </w:r>
      <w:r>
        <w:rPr>
          <w:rFonts w:ascii="Times New Roman" w:hAnsi="Times New Roman" w:cs="Times New Roman"/>
          <w:bCs/>
        </w:rPr>
        <w:t xml:space="preserve">. </w:t>
      </w:r>
      <w:r w:rsidRPr="00EF10D1">
        <w:rPr>
          <w:rFonts w:ascii="Times New Roman" w:hAnsi="Times New Roman" w:cs="Times New Roman"/>
          <w:bCs/>
        </w:rPr>
        <w:t>When security is left to the end, vulnerabilities may be deeply embedded in design or logic, requiring expensive rework and creating risks if overlooked. By establishing a secure coding standard from the start, teams create a shared language of safety, making code reviews, audits, and long-term maintenance more effective while reducing overall risk.</w:t>
      </w:r>
    </w:p>
    <w:p w14:paraId="1FE9182F" w14:textId="77777777" w:rsidR="00EF10D1" w:rsidRPr="00EF10D1" w:rsidRDefault="00EF10D1" w:rsidP="00EF10D1">
      <w:pPr>
        <w:spacing w:line="480" w:lineRule="auto"/>
        <w:rPr>
          <w:rFonts w:ascii="Times New Roman" w:hAnsi="Times New Roman" w:cs="Times New Roman"/>
          <w:b/>
        </w:rPr>
      </w:pPr>
      <w:r w:rsidRPr="00EF10D1">
        <w:rPr>
          <w:rFonts w:ascii="Times New Roman" w:hAnsi="Times New Roman" w:cs="Times New Roman"/>
          <w:b/>
        </w:rPr>
        <w:t>Evaluation and Assessment of Risk and Cost Benefit of Mitigation</w:t>
      </w:r>
    </w:p>
    <w:p w14:paraId="71681567" w14:textId="5489E899" w:rsidR="00EF10D1" w:rsidRPr="00EF10D1" w:rsidRDefault="00EF10D1" w:rsidP="00EF10D1">
      <w:pPr>
        <w:spacing w:line="480" w:lineRule="auto"/>
        <w:ind w:firstLine="720"/>
        <w:rPr>
          <w:rFonts w:ascii="Times New Roman" w:hAnsi="Times New Roman" w:cs="Times New Roman"/>
          <w:bCs/>
        </w:rPr>
      </w:pPr>
      <w:r w:rsidRPr="00EF10D1">
        <w:rPr>
          <w:rFonts w:ascii="Times New Roman" w:hAnsi="Times New Roman" w:cs="Times New Roman"/>
          <w:bCs/>
        </w:rPr>
        <w:t>A key principle from cybersecurity frameworks such as NIST is that not all risks can or should be mitigated equally; instead, organizations must evaluate both the likelihood and impact of threats. As emphasized in NIST Special Publication 800-30 on risk assessment, cost-benefit analysis is essential for understanding when the expense of mitigation outweighs the potential damage of exploitation (NIST, 2012). For example, encrypting sensitive customer data is a high-value mitigation with clear benefits, while implementing overly complex protections for low-risk processes may waste resources. By quantifying both risk and mitigation costs, developers and managers can make informed decisions that balance security, performance, and budget.</w:t>
      </w:r>
    </w:p>
    <w:p w14:paraId="410A0049" w14:textId="77777777" w:rsidR="00EF10D1" w:rsidRPr="00EF10D1" w:rsidRDefault="00EF10D1" w:rsidP="00EF10D1">
      <w:pPr>
        <w:spacing w:line="480" w:lineRule="auto"/>
        <w:rPr>
          <w:rFonts w:ascii="Times New Roman" w:hAnsi="Times New Roman" w:cs="Times New Roman"/>
          <w:b/>
        </w:rPr>
      </w:pPr>
      <w:r w:rsidRPr="00EF10D1">
        <w:rPr>
          <w:rFonts w:ascii="Times New Roman" w:hAnsi="Times New Roman" w:cs="Times New Roman"/>
          <w:b/>
        </w:rPr>
        <w:t>Zero Trust</w:t>
      </w:r>
    </w:p>
    <w:p w14:paraId="37B9D1B4" w14:textId="77777777" w:rsidR="00EF10D1" w:rsidRPr="00EF10D1" w:rsidRDefault="00EF10D1" w:rsidP="00EF10D1">
      <w:pPr>
        <w:spacing w:line="480" w:lineRule="auto"/>
        <w:ind w:firstLine="720"/>
        <w:rPr>
          <w:rFonts w:ascii="Times New Roman" w:hAnsi="Times New Roman" w:cs="Times New Roman"/>
          <w:bCs/>
        </w:rPr>
      </w:pPr>
      <w:r w:rsidRPr="00EF10D1">
        <w:rPr>
          <w:rFonts w:ascii="Times New Roman" w:hAnsi="Times New Roman" w:cs="Times New Roman"/>
          <w:bCs/>
        </w:rPr>
        <w:t xml:space="preserve">The Zero Trust model shifts the mindset from perimeter-based defense to continuous verification. Instead of assuming users and systems inside a network are safe, Zero Trust requires constant authentication, authorization, and validation at every step. NIST SP 800-207 describes </w:t>
      </w:r>
      <w:r w:rsidRPr="00EF10D1">
        <w:rPr>
          <w:rFonts w:ascii="Times New Roman" w:hAnsi="Times New Roman" w:cs="Times New Roman"/>
          <w:bCs/>
        </w:rPr>
        <w:lastRenderedPageBreak/>
        <w:t>this approach as essential in today’s distributed and cloud-based environments, where implicit trust can easily be exploited (Rose et al., 2020). For developers, this translates into writing code that enforces least-privilege access, validates inputs, and strengthens identity checks. Zero Trust directly aligns with modern security realities, ensuring that every request is scrutinized and attackers face barriers at every layer.</w:t>
      </w:r>
    </w:p>
    <w:p w14:paraId="3EB2E465" w14:textId="77777777" w:rsidR="00EF10D1" w:rsidRPr="00EF10D1" w:rsidRDefault="00EF10D1" w:rsidP="00EF10D1">
      <w:pPr>
        <w:spacing w:line="480" w:lineRule="auto"/>
        <w:rPr>
          <w:rFonts w:ascii="Times New Roman" w:hAnsi="Times New Roman" w:cs="Times New Roman"/>
          <w:b/>
        </w:rPr>
      </w:pPr>
      <w:r w:rsidRPr="00EF10D1">
        <w:rPr>
          <w:rFonts w:ascii="Times New Roman" w:hAnsi="Times New Roman" w:cs="Times New Roman"/>
          <w:b/>
        </w:rPr>
        <w:t>Implementation and Recommendations of Security Policies</w:t>
      </w:r>
    </w:p>
    <w:p w14:paraId="666CBDF9" w14:textId="3B4D58A7" w:rsidR="00C706A0" w:rsidRDefault="00EF10D1" w:rsidP="00EF10D1">
      <w:pPr>
        <w:pStyle w:val="ListParagraph"/>
        <w:spacing w:line="480" w:lineRule="auto"/>
        <w:ind w:left="0" w:firstLine="720"/>
        <w:rPr>
          <w:rFonts w:ascii="Times New Roman" w:hAnsi="Times New Roman" w:cs="Times New Roman"/>
          <w:bCs/>
        </w:rPr>
      </w:pPr>
      <w:r w:rsidRPr="00EF10D1">
        <w:rPr>
          <w:rFonts w:ascii="Times New Roman" w:hAnsi="Times New Roman" w:cs="Times New Roman"/>
          <w:bCs/>
        </w:rPr>
        <w:t xml:space="preserve">Effective security policies translate high-level principles into actionable practices and organizational procedures. These policies should cover areas such as access control, secure data handling, audit logging, and incident response, while also providing compliance guidelines aligned with secure coding standards </w:t>
      </w:r>
      <w:r w:rsidR="009A1006" w:rsidRPr="009A1006">
        <w:rPr>
          <w:rFonts w:ascii="Times New Roman" w:hAnsi="Times New Roman" w:cs="Times New Roman"/>
          <w:bCs/>
        </w:rPr>
        <w:t>(Cichonski et al., 2012)</w:t>
      </w:r>
      <w:r w:rsidR="009A1006">
        <w:rPr>
          <w:rFonts w:ascii="Times New Roman" w:hAnsi="Times New Roman" w:cs="Times New Roman"/>
          <w:bCs/>
        </w:rPr>
        <w:t xml:space="preserve">. </w:t>
      </w:r>
      <w:r w:rsidRPr="00EF10D1">
        <w:rPr>
          <w:rFonts w:ascii="Times New Roman" w:hAnsi="Times New Roman" w:cs="Times New Roman"/>
          <w:bCs/>
        </w:rPr>
        <w:t>Implementation requires both technical measures</w:t>
      </w:r>
      <w:r w:rsidR="006B0344">
        <w:rPr>
          <w:rFonts w:ascii="Times New Roman" w:hAnsi="Times New Roman" w:cs="Times New Roman"/>
          <w:bCs/>
        </w:rPr>
        <w:t xml:space="preserve">, </w:t>
      </w:r>
      <w:r w:rsidRPr="00EF10D1">
        <w:rPr>
          <w:rFonts w:ascii="Times New Roman" w:hAnsi="Times New Roman" w:cs="Times New Roman"/>
          <w:bCs/>
        </w:rPr>
        <w:t>such as enforcing multi-factor authentication</w:t>
      </w:r>
      <w:r w:rsidR="006B0344">
        <w:rPr>
          <w:rFonts w:ascii="Times New Roman" w:hAnsi="Times New Roman" w:cs="Times New Roman"/>
          <w:bCs/>
        </w:rPr>
        <w:t xml:space="preserve">, </w:t>
      </w:r>
      <w:r w:rsidRPr="00EF10D1">
        <w:rPr>
          <w:rFonts w:ascii="Times New Roman" w:hAnsi="Times New Roman" w:cs="Times New Roman"/>
          <w:bCs/>
        </w:rPr>
        <w:t>and cultural ones, like developer training and ongoing awareness programs. Recommendations include periodic reviews of policies against evolving threats, automated compliance checks integrated into CI/CD pipelines, and alignment with frameworks such as ISO/IEC 27001 and NIST. As emphasized in course readings, security policies should be treated as living documents that evolve with technology and threat landscapes</w:t>
      </w:r>
      <w:r w:rsidR="009A1006">
        <w:rPr>
          <w:rFonts w:ascii="Times New Roman" w:hAnsi="Times New Roman" w:cs="Times New Roman"/>
          <w:bCs/>
        </w:rPr>
        <w:t>.</w:t>
      </w:r>
    </w:p>
    <w:p w14:paraId="589CBE45" w14:textId="77777777" w:rsidR="009A1006" w:rsidRDefault="009A1006" w:rsidP="009A1006">
      <w:pPr>
        <w:spacing w:line="480" w:lineRule="auto"/>
        <w:rPr>
          <w:rFonts w:ascii="Times New Roman" w:hAnsi="Times New Roman" w:cs="Times New Roman"/>
          <w:bCs/>
        </w:rPr>
      </w:pPr>
    </w:p>
    <w:p w14:paraId="0602A380" w14:textId="77777777" w:rsidR="009A1006" w:rsidRDefault="009A1006" w:rsidP="009A1006">
      <w:pPr>
        <w:spacing w:line="480" w:lineRule="auto"/>
        <w:rPr>
          <w:rFonts w:ascii="Times New Roman" w:hAnsi="Times New Roman" w:cs="Times New Roman"/>
          <w:bCs/>
        </w:rPr>
      </w:pPr>
    </w:p>
    <w:p w14:paraId="767C78AC" w14:textId="77777777" w:rsidR="009A1006" w:rsidRDefault="009A1006" w:rsidP="009A1006">
      <w:pPr>
        <w:spacing w:line="480" w:lineRule="auto"/>
        <w:rPr>
          <w:rFonts w:ascii="Times New Roman" w:hAnsi="Times New Roman" w:cs="Times New Roman"/>
          <w:bCs/>
        </w:rPr>
      </w:pPr>
    </w:p>
    <w:p w14:paraId="2E6372B8" w14:textId="77777777" w:rsidR="009A1006" w:rsidRDefault="009A1006" w:rsidP="009A1006">
      <w:pPr>
        <w:spacing w:line="480" w:lineRule="auto"/>
        <w:rPr>
          <w:rFonts w:ascii="Times New Roman" w:hAnsi="Times New Roman" w:cs="Times New Roman"/>
          <w:bCs/>
        </w:rPr>
      </w:pPr>
    </w:p>
    <w:p w14:paraId="594BA0BA" w14:textId="77777777" w:rsidR="009A1006" w:rsidRDefault="009A1006" w:rsidP="009A1006">
      <w:pPr>
        <w:spacing w:line="480" w:lineRule="auto"/>
        <w:rPr>
          <w:rFonts w:ascii="Times New Roman" w:hAnsi="Times New Roman" w:cs="Times New Roman"/>
          <w:bCs/>
        </w:rPr>
      </w:pPr>
    </w:p>
    <w:p w14:paraId="5648BE08" w14:textId="5553211D" w:rsidR="009A1006" w:rsidRDefault="009A1006" w:rsidP="009A1006">
      <w:pPr>
        <w:spacing w:line="480" w:lineRule="auto"/>
        <w:rPr>
          <w:rFonts w:ascii="Times New Roman" w:hAnsi="Times New Roman" w:cs="Times New Roman"/>
          <w:bCs/>
        </w:rPr>
      </w:pPr>
      <w:r>
        <w:rPr>
          <w:rFonts w:ascii="Times New Roman" w:hAnsi="Times New Roman" w:cs="Times New Roman"/>
          <w:bCs/>
        </w:rPr>
        <w:lastRenderedPageBreak/>
        <w:t>REFERENCES:</w:t>
      </w:r>
    </w:p>
    <w:p w14:paraId="1CF6283A" w14:textId="71EDB9A5" w:rsidR="009A1006" w:rsidRPr="009A1006" w:rsidRDefault="009A1006" w:rsidP="009A1006">
      <w:pPr>
        <w:pStyle w:val="ListParagraph"/>
        <w:numPr>
          <w:ilvl w:val="0"/>
          <w:numId w:val="47"/>
        </w:numPr>
        <w:spacing w:line="480" w:lineRule="auto"/>
        <w:rPr>
          <w:rFonts w:ascii="Times New Roman" w:hAnsi="Times New Roman" w:cs="Times New Roman"/>
          <w:bCs/>
        </w:rPr>
      </w:pPr>
      <w:r w:rsidRPr="009A1006">
        <w:rPr>
          <w:rFonts w:ascii="Times New Roman" w:hAnsi="Times New Roman" w:cs="Times New Roman"/>
          <w:bCs/>
        </w:rPr>
        <w:t xml:space="preserve">Ballman, A. (n.d.). SEI CERT C++ Coding Standard Rules for Developing Safe, Reliable, and Secure Systems in C++ 2016 Edition. </w:t>
      </w:r>
      <w:hyperlink r:id="rId5" w:history="1">
        <w:r w:rsidRPr="009A1006">
          <w:rPr>
            <w:rStyle w:val="Hyperlink"/>
            <w:rFonts w:ascii="Times New Roman" w:hAnsi="Times New Roman" w:cs="Times New Roman"/>
            <w:bCs/>
          </w:rPr>
          <w:t>https://resources.sei.cmu.edu/downloads/secure-coding/assets/sei-cert-cpp-coding-standard-2016-v01.pdf</w:t>
        </w:r>
      </w:hyperlink>
    </w:p>
    <w:p w14:paraId="41E47C7B" w14:textId="2E572C42" w:rsidR="009A1006" w:rsidRPr="009A1006" w:rsidRDefault="009A1006" w:rsidP="009A1006">
      <w:pPr>
        <w:pStyle w:val="ListParagraph"/>
        <w:numPr>
          <w:ilvl w:val="0"/>
          <w:numId w:val="47"/>
        </w:numPr>
        <w:spacing w:line="480" w:lineRule="auto"/>
        <w:rPr>
          <w:rFonts w:ascii="Times New Roman" w:hAnsi="Times New Roman" w:cs="Times New Roman"/>
          <w:bCs/>
        </w:rPr>
      </w:pPr>
      <w:r w:rsidRPr="009A1006">
        <w:rPr>
          <w:rFonts w:ascii="Times New Roman" w:hAnsi="Times New Roman" w:cs="Times New Roman"/>
          <w:bCs/>
        </w:rPr>
        <w:t xml:space="preserve">Cichonski, P., Millar, T., Grance, T., &amp; Scarfone, K. (2012). Computer security incident handling guide. Computer Security Incident Handling Guide, 2(2). </w:t>
      </w:r>
      <w:hyperlink r:id="rId6" w:history="1">
        <w:r w:rsidRPr="009A1006">
          <w:rPr>
            <w:rStyle w:val="Hyperlink"/>
            <w:rFonts w:ascii="Times New Roman" w:hAnsi="Times New Roman" w:cs="Times New Roman"/>
            <w:bCs/>
          </w:rPr>
          <w:t>https://doi.org/10.6028/nist.sp.800-61r2</w:t>
        </w:r>
      </w:hyperlink>
    </w:p>
    <w:p w14:paraId="420C8C49" w14:textId="0E335EEB" w:rsidR="009A1006" w:rsidRPr="009A1006" w:rsidRDefault="009A1006" w:rsidP="009A1006">
      <w:pPr>
        <w:pStyle w:val="ListParagraph"/>
        <w:numPr>
          <w:ilvl w:val="0"/>
          <w:numId w:val="47"/>
        </w:numPr>
        <w:spacing w:line="480" w:lineRule="auto"/>
        <w:rPr>
          <w:rFonts w:ascii="Times New Roman" w:hAnsi="Times New Roman" w:cs="Times New Roman"/>
          <w:bCs/>
        </w:rPr>
      </w:pPr>
      <w:r w:rsidRPr="009A1006">
        <w:rPr>
          <w:rFonts w:ascii="Times New Roman" w:hAnsi="Times New Roman" w:cs="Times New Roman"/>
          <w:bCs/>
        </w:rPr>
        <w:t xml:space="preserve">NIST. (2012). Guide for Conducting Risk Assessments NIST Special Publication 800-30 Revision 1 JOINT TASK FORCE TRANSFORMATION INITIATIVE. In NIST. NIST. </w:t>
      </w:r>
      <w:hyperlink r:id="rId7" w:history="1">
        <w:r w:rsidRPr="009A1006">
          <w:rPr>
            <w:rStyle w:val="Hyperlink"/>
            <w:rFonts w:ascii="Times New Roman" w:hAnsi="Times New Roman" w:cs="Times New Roman"/>
            <w:bCs/>
          </w:rPr>
          <w:t>https://nvlpubs.nist.gov/nistpubs/legacy/sp/nistspecialpublication800-30r1.pdf</w:t>
        </w:r>
      </w:hyperlink>
    </w:p>
    <w:p w14:paraId="790F5710" w14:textId="2A0F8E1F" w:rsidR="009A1006" w:rsidRPr="009A1006" w:rsidRDefault="009A1006" w:rsidP="009A1006">
      <w:pPr>
        <w:pStyle w:val="ListParagraph"/>
        <w:numPr>
          <w:ilvl w:val="0"/>
          <w:numId w:val="47"/>
        </w:numPr>
        <w:spacing w:line="480" w:lineRule="auto"/>
        <w:rPr>
          <w:rFonts w:ascii="Times New Roman" w:hAnsi="Times New Roman" w:cs="Times New Roman"/>
          <w:bCs/>
        </w:rPr>
      </w:pPr>
      <w:r w:rsidRPr="009A1006">
        <w:rPr>
          <w:rFonts w:ascii="Times New Roman" w:hAnsi="Times New Roman" w:cs="Times New Roman"/>
          <w:bCs/>
        </w:rPr>
        <w:t xml:space="preserve">Rose, S., Borchert, O., Mitchell, S., &amp; Connelly, S. (2020). Zero trust architecture. NIST Special Publication 800-207, 1(800-207). </w:t>
      </w:r>
      <w:hyperlink r:id="rId8" w:history="1">
        <w:r w:rsidRPr="009A1006">
          <w:rPr>
            <w:rStyle w:val="Hyperlink"/>
            <w:rFonts w:ascii="Times New Roman" w:hAnsi="Times New Roman" w:cs="Times New Roman"/>
            <w:bCs/>
          </w:rPr>
          <w:t>https://doi.org/10.6028/nist.sp.800-207</w:t>
        </w:r>
      </w:hyperlink>
    </w:p>
    <w:p w14:paraId="42BBA8DB" w14:textId="77777777" w:rsidR="009A1006" w:rsidRPr="009A1006" w:rsidRDefault="009A1006" w:rsidP="009A1006">
      <w:pPr>
        <w:spacing w:line="480" w:lineRule="auto"/>
        <w:rPr>
          <w:rFonts w:ascii="Times New Roman" w:hAnsi="Times New Roman" w:cs="Times New Roman"/>
          <w:bCs/>
        </w:rPr>
      </w:pPr>
    </w:p>
    <w:sectPr w:rsidR="009A1006" w:rsidRPr="009A1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DE3"/>
    <w:multiLevelType w:val="hybridMultilevel"/>
    <w:tmpl w:val="211E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85018"/>
    <w:multiLevelType w:val="hybridMultilevel"/>
    <w:tmpl w:val="0FE41EF2"/>
    <w:lvl w:ilvl="0" w:tplc="4D44B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C05A8"/>
    <w:multiLevelType w:val="hybridMultilevel"/>
    <w:tmpl w:val="569E4D0E"/>
    <w:lvl w:ilvl="0" w:tplc="16FAC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C4E1F"/>
    <w:multiLevelType w:val="hybridMultilevel"/>
    <w:tmpl w:val="8250B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23390"/>
    <w:multiLevelType w:val="multilevel"/>
    <w:tmpl w:val="9616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52B72"/>
    <w:multiLevelType w:val="hybridMultilevel"/>
    <w:tmpl w:val="B0543B5C"/>
    <w:lvl w:ilvl="0" w:tplc="6B46D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EF48C1"/>
    <w:multiLevelType w:val="hybridMultilevel"/>
    <w:tmpl w:val="7BD64A40"/>
    <w:lvl w:ilvl="0" w:tplc="16FAC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02397"/>
    <w:multiLevelType w:val="multilevel"/>
    <w:tmpl w:val="0140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B4AEF"/>
    <w:multiLevelType w:val="multilevel"/>
    <w:tmpl w:val="EAC4F132"/>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F0CF1"/>
    <w:multiLevelType w:val="hybridMultilevel"/>
    <w:tmpl w:val="5A0C1AC2"/>
    <w:lvl w:ilvl="0" w:tplc="0D6C3AF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80C58"/>
    <w:multiLevelType w:val="hybridMultilevel"/>
    <w:tmpl w:val="6E9E3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D086F"/>
    <w:multiLevelType w:val="hybridMultilevel"/>
    <w:tmpl w:val="7EA64D96"/>
    <w:lvl w:ilvl="0" w:tplc="0D6C3AF4">
      <w:start w:val="1"/>
      <w:numFmt w:val="decimal"/>
      <w:lvlText w:val="%1."/>
      <w:lvlJc w:val="left"/>
      <w:pPr>
        <w:ind w:left="108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940CB2"/>
    <w:multiLevelType w:val="hybridMultilevel"/>
    <w:tmpl w:val="52D05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B72B95"/>
    <w:multiLevelType w:val="hybridMultilevel"/>
    <w:tmpl w:val="947E1A42"/>
    <w:lvl w:ilvl="0" w:tplc="F230C1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2401F3"/>
    <w:multiLevelType w:val="hybridMultilevel"/>
    <w:tmpl w:val="E59E8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9018B"/>
    <w:multiLevelType w:val="multilevel"/>
    <w:tmpl w:val="D5860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81AA2"/>
    <w:multiLevelType w:val="hybridMultilevel"/>
    <w:tmpl w:val="036CA2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2C37700D"/>
    <w:multiLevelType w:val="hybridMultilevel"/>
    <w:tmpl w:val="D090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9F2A74"/>
    <w:multiLevelType w:val="hybridMultilevel"/>
    <w:tmpl w:val="0BDE8E58"/>
    <w:lvl w:ilvl="0" w:tplc="E8E6461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C643F"/>
    <w:multiLevelType w:val="hybridMultilevel"/>
    <w:tmpl w:val="0E0AD426"/>
    <w:lvl w:ilvl="0" w:tplc="F230C10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B161F"/>
    <w:multiLevelType w:val="hybridMultilevel"/>
    <w:tmpl w:val="3930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C6D08"/>
    <w:multiLevelType w:val="hybridMultilevel"/>
    <w:tmpl w:val="36604888"/>
    <w:lvl w:ilvl="0" w:tplc="16FAC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937DD3"/>
    <w:multiLevelType w:val="hybridMultilevel"/>
    <w:tmpl w:val="6ED6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A53DE6"/>
    <w:multiLevelType w:val="multilevel"/>
    <w:tmpl w:val="DBF2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6D3705"/>
    <w:multiLevelType w:val="hybridMultilevel"/>
    <w:tmpl w:val="1244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A1E4D"/>
    <w:multiLevelType w:val="hybridMultilevel"/>
    <w:tmpl w:val="5456C528"/>
    <w:lvl w:ilvl="0" w:tplc="0409000F">
      <w:start w:val="1"/>
      <w:numFmt w:val="decimal"/>
      <w:lvlText w:val="%1."/>
      <w:lvlJc w:val="left"/>
      <w:pPr>
        <w:ind w:left="720" w:hanging="360"/>
      </w:pPr>
      <w:rPr>
        <w:rFonts w:hint="default"/>
      </w:rPr>
    </w:lvl>
    <w:lvl w:ilvl="1" w:tplc="12E4F0E4">
      <w:start w:val="5"/>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A7E36"/>
    <w:multiLevelType w:val="hybridMultilevel"/>
    <w:tmpl w:val="5886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6F0A10"/>
    <w:multiLevelType w:val="hybridMultilevel"/>
    <w:tmpl w:val="776E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8B20FA"/>
    <w:multiLevelType w:val="hybridMultilevel"/>
    <w:tmpl w:val="8BDAD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C1F50"/>
    <w:multiLevelType w:val="hybridMultilevel"/>
    <w:tmpl w:val="6B9E18B6"/>
    <w:lvl w:ilvl="0" w:tplc="16FAC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C30827"/>
    <w:multiLevelType w:val="hybridMultilevel"/>
    <w:tmpl w:val="8A2064BC"/>
    <w:lvl w:ilvl="0" w:tplc="E8E64610">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544306"/>
    <w:multiLevelType w:val="hybridMultilevel"/>
    <w:tmpl w:val="C360CF2A"/>
    <w:lvl w:ilvl="0" w:tplc="16FAC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C47EE7"/>
    <w:multiLevelType w:val="hybridMultilevel"/>
    <w:tmpl w:val="63FC3388"/>
    <w:lvl w:ilvl="0" w:tplc="73D88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D94172"/>
    <w:multiLevelType w:val="hybridMultilevel"/>
    <w:tmpl w:val="D66A4DEA"/>
    <w:lvl w:ilvl="0" w:tplc="16FAC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2A024A"/>
    <w:multiLevelType w:val="hybridMultilevel"/>
    <w:tmpl w:val="1DD28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14189"/>
    <w:multiLevelType w:val="hybridMultilevel"/>
    <w:tmpl w:val="9A32EB5E"/>
    <w:lvl w:ilvl="0" w:tplc="F230C1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79315E"/>
    <w:multiLevelType w:val="hybridMultilevel"/>
    <w:tmpl w:val="E6E8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01157D"/>
    <w:multiLevelType w:val="hybridMultilevel"/>
    <w:tmpl w:val="1CA89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DC641A"/>
    <w:multiLevelType w:val="hybridMultilevel"/>
    <w:tmpl w:val="D1C65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517502"/>
    <w:multiLevelType w:val="hybridMultilevel"/>
    <w:tmpl w:val="4D46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A713C4"/>
    <w:multiLevelType w:val="multilevel"/>
    <w:tmpl w:val="C98EC6C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20604"/>
    <w:multiLevelType w:val="hybridMultilevel"/>
    <w:tmpl w:val="DC32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AC41E8"/>
    <w:multiLevelType w:val="hybridMultilevel"/>
    <w:tmpl w:val="646C1524"/>
    <w:lvl w:ilvl="0" w:tplc="73D8812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41578A"/>
    <w:multiLevelType w:val="hybridMultilevel"/>
    <w:tmpl w:val="1BC24DE8"/>
    <w:lvl w:ilvl="0" w:tplc="3380F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611C42"/>
    <w:multiLevelType w:val="multilevel"/>
    <w:tmpl w:val="6946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715C8"/>
    <w:multiLevelType w:val="hybridMultilevel"/>
    <w:tmpl w:val="94841E2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6" w15:restartNumberingAfterBreak="0">
    <w:nsid w:val="7BEB3093"/>
    <w:multiLevelType w:val="hybridMultilevel"/>
    <w:tmpl w:val="4558D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296710">
    <w:abstractNumId w:val="26"/>
  </w:num>
  <w:num w:numId="2" w16cid:durableId="1360816306">
    <w:abstractNumId w:val="22"/>
  </w:num>
  <w:num w:numId="3" w16cid:durableId="1651523175">
    <w:abstractNumId w:val="14"/>
  </w:num>
  <w:num w:numId="4" w16cid:durableId="1420832207">
    <w:abstractNumId w:val="0"/>
  </w:num>
  <w:num w:numId="5" w16cid:durableId="1087193408">
    <w:abstractNumId w:val="46"/>
  </w:num>
  <w:num w:numId="6" w16cid:durableId="30570939">
    <w:abstractNumId w:val="25"/>
  </w:num>
  <w:num w:numId="7" w16cid:durableId="817459708">
    <w:abstractNumId w:val="17"/>
  </w:num>
  <w:num w:numId="8" w16cid:durableId="353456529">
    <w:abstractNumId w:val="38"/>
  </w:num>
  <w:num w:numId="9" w16cid:durableId="150291236">
    <w:abstractNumId w:val="29"/>
  </w:num>
  <w:num w:numId="10" w16cid:durableId="1042629420">
    <w:abstractNumId w:val="2"/>
  </w:num>
  <w:num w:numId="11" w16cid:durableId="98112520">
    <w:abstractNumId w:val="1"/>
  </w:num>
  <w:num w:numId="12" w16cid:durableId="311495259">
    <w:abstractNumId w:val="36"/>
  </w:num>
  <w:num w:numId="13" w16cid:durableId="1040473522">
    <w:abstractNumId w:val="6"/>
  </w:num>
  <w:num w:numId="14" w16cid:durableId="428543944">
    <w:abstractNumId w:val="21"/>
  </w:num>
  <w:num w:numId="15" w16cid:durableId="100609963">
    <w:abstractNumId w:val="40"/>
  </w:num>
  <w:num w:numId="16" w16cid:durableId="790586795">
    <w:abstractNumId w:val="20"/>
  </w:num>
  <w:num w:numId="17" w16cid:durableId="1781991976">
    <w:abstractNumId w:val="31"/>
  </w:num>
  <w:num w:numId="18" w16cid:durableId="1389108014">
    <w:abstractNumId w:val="33"/>
  </w:num>
  <w:num w:numId="19" w16cid:durableId="1555500968">
    <w:abstractNumId w:val="8"/>
  </w:num>
  <w:num w:numId="20" w16cid:durableId="1533032499">
    <w:abstractNumId w:val="27"/>
  </w:num>
  <w:num w:numId="21" w16cid:durableId="706831756">
    <w:abstractNumId w:val="41"/>
  </w:num>
  <w:num w:numId="22" w16cid:durableId="585069195">
    <w:abstractNumId w:val="10"/>
  </w:num>
  <w:num w:numId="23" w16cid:durableId="615063708">
    <w:abstractNumId w:val="28"/>
  </w:num>
  <w:num w:numId="24" w16cid:durableId="38936879">
    <w:abstractNumId w:val="32"/>
  </w:num>
  <w:num w:numId="25" w16cid:durableId="1185636347">
    <w:abstractNumId w:val="42"/>
  </w:num>
  <w:num w:numId="26" w16cid:durableId="1287740590">
    <w:abstractNumId w:val="11"/>
  </w:num>
  <w:num w:numId="27" w16cid:durableId="979850266">
    <w:abstractNumId w:val="9"/>
  </w:num>
  <w:num w:numId="28" w16cid:durableId="655453707">
    <w:abstractNumId w:val="35"/>
  </w:num>
  <w:num w:numId="29" w16cid:durableId="80880573">
    <w:abstractNumId w:val="13"/>
  </w:num>
  <w:num w:numId="30" w16cid:durableId="832063964">
    <w:abstractNumId w:val="19"/>
  </w:num>
  <w:num w:numId="31" w16cid:durableId="1446653347">
    <w:abstractNumId w:val="3"/>
  </w:num>
  <w:num w:numId="32" w16cid:durableId="1715500421">
    <w:abstractNumId w:val="24"/>
  </w:num>
  <w:num w:numId="33" w16cid:durableId="510460468">
    <w:abstractNumId w:val="18"/>
  </w:num>
  <w:num w:numId="34" w16cid:durableId="1506434719">
    <w:abstractNumId w:val="5"/>
  </w:num>
  <w:num w:numId="35" w16cid:durableId="114834455">
    <w:abstractNumId w:val="37"/>
  </w:num>
  <w:num w:numId="36" w16cid:durableId="406538558">
    <w:abstractNumId w:val="43"/>
  </w:num>
  <w:num w:numId="37" w16cid:durableId="1979066035">
    <w:abstractNumId w:val="7"/>
  </w:num>
  <w:num w:numId="38" w16cid:durableId="2026902010">
    <w:abstractNumId w:val="30"/>
  </w:num>
  <w:num w:numId="39" w16cid:durableId="1210066973">
    <w:abstractNumId w:val="23"/>
  </w:num>
  <w:num w:numId="40" w16cid:durableId="948195508">
    <w:abstractNumId w:val="4"/>
  </w:num>
  <w:num w:numId="41" w16cid:durableId="871839701">
    <w:abstractNumId w:val="15"/>
  </w:num>
  <w:num w:numId="42" w16cid:durableId="781729764">
    <w:abstractNumId w:val="44"/>
  </w:num>
  <w:num w:numId="43" w16cid:durableId="767313984">
    <w:abstractNumId w:val="45"/>
  </w:num>
  <w:num w:numId="44" w16cid:durableId="541409526">
    <w:abstractNumId w:val="34"/>
  </w:num>
  <w:num w:numId="45" w16cid:durableId="328095954">
    <w:abstractNumId w:val="12"/>
  </w:num>
  <w:num w:numId="46" w16cid:durableId="2004043751">
    <w:abstractNumId w:val="16"/>
  </w:num>
  <w:num w:numId="47" w16cid:durableId="49939677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20"/>
    <w:rsid w:val="00013A20"/>
    <w:rsid w:val="000F63AE"/>
    <w:rsid w:val="001454A6"/>
    <w:rsid w:val="001567B1"/>
    <w:rsid w:val="001F0904"/>
    <w:rsid w:val="002F40A8"/>
    <w:rsid w:val="003124A4"/>
    <w:rsid w:val="0035538A"/>
    <w:rsid w:val="00366352"/>
    <w:rsid w:val="00367462"/>
    <w:rsid w:val="003733B1"/>
    <w:rsid w:val="003B0E1B"/>
    <w:rsid w:val="003E1A1F"/>
    <w:rsid w:val="003F7AEA"/>
    <w:rsid w:val="004072F6"/>
    <w:rsid w:val="00415E77"/>
    <w:rsid w:val="00466F65"/>
    <w:rsid w:val="00481607"/>
    <w:rsid w:val="004D7110"/>
    <w:rsid w:val="005025B9"/>
    <w:rsid w:val="00504C69"/>
    <w:rsid w:val="00592D13"/>
    <w:rsid w:val="0061150C"/>
    <w:rsid w:val="00680D43"/>
    <w:rsid w:val="006B0344"/>
    <w:rsid w:val="0073487B"/>
    <w:rsid w:val="00741C86"/>
    <w:rsid w:val="007D4498"/>
    <w:rsid w:val="00815379"/>
    <w:rsid w:val="00840502"/>
    <w:rsid w:val="00974EE6"/>
    <w:rsid w:val="00987C09"/>
    <w:rsid w:val="009A1006"/>
    <w:rsid w:val="009A6373"/>
    <w:rsid w:val="009B3D3A"/>
    <w:rsid w:val="009C4747"/>
    <w:rsid w:val="009F00A5"/>
    <w:rsid w:val="009F33C7"/>
    <w:rsid w:val="009F5617"/>
    <w:rsid w:val="00A65324"/>
    <w:rsid w:val="00AB29CF"/>
    <w:rsid w:val="00AC64D8"/>
    <w:rsid w:val="00B101C5"/>
    <w:rsid w:val="00BD1D36"/>
    <w:rsid w:val="00C0417D"/>
    <w:rsid w:val="00C077B3"/>
    <w:rsid w:val="00C26E76"/>
    <w:rsid w:val="00C41AA0"/>
    <w:rsid w:val="00C706A0"/>
    <w:rsid w:val="00CD17DB"/>
    <w:rsid w:val="00D458F8"/>
    <w:rsid w:val="00D51CB1"/>
    <w:rsid w:val="00D60925"/>
    <w:rsid w:val="00D60A05"/>
    <w:rsid w:val="00D6422A"/>
    <w:rsid w:val="00DA405A"/>
    <w:rsid w:val="00E6764B"/>
    <w:rsid w:val="00E7538F"/>
    <w:rsid w:val="00E82986"/>
    <w:rsid w:val="00E85AC7"/>
    <w:rsid w:val="00EA241B"/>
    <w:rsid w:val="00EA6D16"/>
    <w:rsid w:val="00ED7677"/>
    <w:rsid w:val="00EF10D1"/>
    <w:rsid w:val="00F500C8"/>
    <w:rsid w:val="00F60559"/>
    <w:rsid w:val="00F7075F"/>
    <w:rsid w:val="00F80C95"/>
    <w:rsid w:val="00FB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234D"/>
  <w15:chartTrackingRefBased/>
  <w15:docId w15:val="{6E0C8F89-E90D-4552-B79E-B8D66973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A20"/>
    <w:rPr>
      <w:rFonts w:eastAsiaTheme="majorEastAsia" w:cstheme="majorBidi"/>
      <w:color w:val="272727" w:themeColor="text1" w:themeTint="D8"/>
    </w:rPr>
  </w:style>
  <w:style w:type="paragraph" w:styleId="Title">
    <w:name w:val="Title"/>
    <w:basedOn w:val="Normal"/>
    <w:next w:val="Normal"/>
    <w:link w:val="TitleChar"/>
    <w:uiPriority w:val="10"/>
    <w:qFormat/>
    <w:rsid w:val="00013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A20"/>
    <w:pPr>
      <w:spacing w:before="160"/>
      <w:jc w:val="center"/>
    </w:pPr>
    <w:rPr>
      <w:i/>
      <w:iCs/>
      <w:color w:val="404040" w:themeColor="text1" w:themeTint="BF"/>
    </w:rPr>
  </w:style>
  <w:style w:type="character" w:customStyle="1" w:styleId="QuoteChar">
    <w:name w:val="Quote Char"/>
    <w:basedOn w:val="DefaultParagraphFont"/>
    <w:link w:val="Quote"/>
    <w:uiPriority w:val="29"/>
    <w:rsid w:val="00013A20"/>
    <w:rPr>
      <w:i/>
      <w:iCs/>
      <w:color w:val="404040" w:themeColor="text1" w:themeTint="BF"/>
    </w:rPr>
  </w:style>
  <w:style w:type="paragraph" w:styleId="ListParagraph">
    <w:name w:val="List Paragraph"/>
    <w:basedOn w:val="Normal"/>
    <w:uiPriority w:val="34"/>
    <w:qFormat/>
    <w:rsid w:val="00013A20"/>
    <w:pPr>
      <w:ind w:left="720"/>
      <w:contextualSpacing/>
    </w:pPr>
  </w:style>
  <w:style w:type="character" w:styleId="IntenseEmphasis">
    <w:name w:val="Intense Emphasis"/>
    <w:basedOn w:val="DefaultParagraphFont"/>
    <w:uiPriority w:val="21"/>
    <w:qFormat/>
    <w:rsid w:val="00013A20"/>
    <w:rPr>
      <w:i/>
      <w:iCs/>
      <w:color w:val="0F4761" w:themeColor="accent1" w:themeShade="BF"/>
    </w:rPr>
  </w:style>
  <w:style w:type="paragraph" w:styleId="IntenseQuote">
    <w:name w:val="Intense Quote"/>
    <w:basedOn w:val="Normal"/>
    <w:next w:val="Normal"/>
    <w:link w:val="IntenseQuoteChar"/>
    <w:uiPriority w:val="30"/>
    <w:qFormat/>
    <w:rsid w:val="00013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A20"/>
    <w:rPr>
      <w:i/>
      <w:iCs/>
      <w:color w:val="0F4761" w:themeColor="accent1" w:themeShade="BF"/>
    </w:rPr>
  </w:style>
  <w:style w:type="character" w:styleId="IntenseReference">
    <w:name w:val="Intense Reference"/>
    <w:basedOn w:val="DefaultParagraphFont"/>
    <w:uiPriority w:val="32"/>
    <w:qFormat/>
    <w:rsid w:val="00013A20"/>
    <w:rPr>
      <w:b/>
      <w:bCs/>
      <w:smallCaps/>
      <w:color w:val="0F4761" w:themeColor="accent1" w:themeShade="BF"/>
      <w:spacing w:val="5"/>
    </w:rPr>
  </w:style>
  <w:style w:type="character" w:styleId="Hyperlink">
    <w:name w:val="Hyperlink"/>
    <w:basedOn w:val="DefaultParagraphFont"/>
    <w:uiPriority w:val="99"/>
    <w:unhideWhenUsed/>
    <w:rsid w:val="0061150C"/>
    <w:rPr>
      <w:color w:val="467886" w:themeColor="hyperlink"/>
      <w:u w:val="single"/>
    </w:rPr>
  </w:style>
  <w:style w:type="character" w:styleId="UnresolvedMention">
    <w:name w:val="Unresolved Mention"/>
    <w:basedOn w:val="DefaultParagraphFont"/>
    <w:uiPriority w:val="99"/>
    <w:semiHidden/>
    <w:unhideWhenUsed/>
    <w:rsid w:val="00611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90384">
      <w:bodyDiv w:val="1"/>
      <w:marLeft w:val="0"/>
      <w:marRight w:val="0"/>
      <w:marTop w:val="0"/>
      <w:marBottom w:val="0"/>
      <w:divBdr>
        <w:top w:val="none" w:sz="0" w:space="0" w:color="auto"/>
        <w:left w:val="none" w:sz="0" w:space="0" w:color="auto"/>
        <w:bottom w:val="none" w:sz="0" w:space="0" w:color="auto"/>
        <w:right w:val="none" w:sz="0" w:space="0" w:color="auto"/>
      </w:divBdr>
    </w:div>
    <w:div w:id="110437845">
      <w:bodyDiv w:val="1"/>
      <w:marLeft w:val="0"/>
      <w:marRight w:val="0"/>
      <w:marTop w:val="0"/>
      <w:marBottom w:val="0"/>
      <w:divBdr>
        <w:top w:val="none" w:sz="0" w:space="0" w:color="auto"/>
        <w:left w:val="none" w:sz="0" w:space="0" w:color="auto"/>
        <w:bottom w:val="none" w:sz="0" w:space="0" w:color="auto"/>
        <w:right w:val="none" w:sz="0" w:space="0" w:color="auto"/>
      </w:divBdr>
    </w:div>
    <w:div w:id="175729079">
      <w:bodyDiv w:val="1"/>
      <w:marLeft w:val="0"/>
      <w:marRight w:val="0"/>
      <w:marTop w:val="0"/>
      <w:marBottom w:val="0"/>
      <w:divBdr>
        <w:top w:val="none" w:sz="0" w:space="0" w:color="auto"/>
        <w:left w:val="none" w:sz="0" w:space="0" w:color="auto"/>
        <w:bottom w:val="none" w:sz="0" w:space="0" w:color="auto"/>
        <w:right w:val="none" w:sz="0" w:space="0" w:color="auto"/>
      </w:divBdr>
    </w:div>
    <w:div w:id="356738441">
      <w:bodyDiv w:val="1"/>
      <w:marLeft w:val="0"/>
      <w:marRight w:val="0"/>
      <w:marTop w:val="0"/>
      <w:marBottom w:val="0"/>
      <w:divBdr>
        <w:top w:val="none" w:sz="0" w:space="0" w:color="auto"/>
        <w:left w:val="none" w:sz="0" w:space="0" w:color="auto"/>
        <w:bottom w:val="none" w:sz="0" w:space="0" w:color="auto"/>
        <w:right w:val="none" w:sz="0" w:space="0" w:color="auto"/>
      </w:divBdr>
    </w:div>
    <w:div w:id="515196480">
      <w:bodyDiv w:val="1"/>
      <w:marLeft w:val="0"/>
      <w:marRight w:val="0"/>
      <w:marTop w:val="0"/>
      <w:marBottom w:val="0"/>
      <w:divBdr>
        <w:top w:val="none" w:sz="0" w:space="0" w:color="auto"/>
        <w:left w:val="none" w:sz="0" w:space="0" w:color="auto"/>
        <w:bottom w:val="none" w:sz="0" w:space="0" w:color="auto"/>
        <w:right w:val="none" w:sz="0" w:space="0" w:color="auto"/>
      </w:divBdr>
    </w:div>
    <w:div w:id="532156463">
      <w:bodyDiv w:val="1"/>
      <w:marLeft w:val="0"/>
      <w:marRight w:val="0"/>
      <w:marTop w:val="0"/>
      <w:marBottom w:val="0"/>
      <w:divBdr>
        <w:top w:val="none" w:sz="0" w:space="0" w:color="auto"/>
        <w:left w:val="none" w:sz="0" w:space="0" w:color="auto"/>
        <w:bottom w:val="none" w:sz="0" w:space="0" w:color="auto"/>
        <w:right w:val="none" w:sz="0" w:space="0" w:color="auto"/>
      </w:divBdr>
    </w:div>
    <w:div w:id="614288439">
      <w:bodyDiv w:val="1"/>
      <w:marLeft w:val="0"/>
      <w:marRight w:val="0"/>
      <w:marTop w:val="0"/>
      <w:marBottom w:val="0"/>
      <w:divBdr>
        <w:top w:val="none" w:sz="0" w:space="0" w:color="auto"/>
        <w:left w:val="none" w:sz="0" w:space="0" w:color="auto"/>
        <w:bottom w:val="none" w:sz="0" w:space="0" w:color="auto"/>
        <w:right w:val="none" w:sz="0" w:space="0" w:color="auto"/>
      </w:divBdr>
    </w:div>
    <w:div w:id="648168553">
      <w:bodyDiv w:val="1"/>
      <w:marLeft w:val="0"/>
      <w:marRight w:val="0"/>
      <w:marTop w:val="0"/>
      <w:marBottom w:val="0"/>
      <w:divBdr>
        <w:top w:val="none" w:sz="0" w:space="0" w:color="auto"/>
        <w:left w:val="none" w:sz="0" w:space="0" w:color="auto"/>
        <w:bottom w:val="none" w:sz="0" w:space="0" w:color="auto"/>
        <w:right w:val="none" w:sz="0" w:space="0" w:color="auto"/>
      </w:divBdr>
    </w:div>
    <w:div w:id="659432656">
      <w:bodyDiv w:val="1"/>
      <w:marLeft w:val="0"/>
      <w:marRight w:val="0"/>
      <w:marTop w:val="0"/>
      <w:marBottom w:val="0"/>
      <w:divBdr>
        <w:top w:val="none" w:sz="0" w:space="0" w:color="auto"/>
        <w:left w:val="none" w:sz="0" w:space="0" w:color="auto"/>
        <w:bottom w:val="none" w:sz="0" w:space="0" w:color="auto"/>
        <w:right w:val="none" w:sz="0" w:space="0" w:color="auto"/>
      </w:divBdr>
      <w:divsChild>
        <w:div w:id="1104574797">
          <w:marLeft w:val="-720"/>
          <w:marRight w:val="0"/>
          <w:marTop w:val="0"/>
          <w:marBottom w:val="0"/>
          <w:divBdr>
            <w:top w:val="none" w:sz="0" w:space="0" w:color="auto"/>
            <w:left w:val="none" w:sz="0" w:space="0" w:color="auto"/>
            <w:bottom w:val="none" w:sz="0" w:space="0" w:color="auto"/>
            <w:right w:val="none" w:sz="0" w:space="0" w:color="auto"/>
          </w:divBdr>
        </w:div>
      </w:divsChild>
    </w:div>
    <w:div w:id="692725827">
      <w:bodyDiv w:val="1"/>
      <w:marLeft w:val="0"/>
      <w:marRight w:val="0"/>
      <w:marTop w:val="0"/>
      <w:marBottom w:val="0"/>
      <w:divBdr>
        <w:top w:val="none" w:sz="0" w:space="0" w:color="auto"/>
        <w:left w:val="none" w:sz="0" w:space="0" w:color="auto"/>
        <w:bottom w:val="none" w:sz="0" w:space="0" w:color="auto"/>
        <w:right w:val="none" w:sz="0" w:space="0" w:color="auto"/>
      </w:divBdr>
    </w:div>
    <w:div w:id="697782310">
      <w:bodyDiv w:val="1"/>
      <w:marLeft w:val="0"/>
      <w:marRight w:val="0"/>
      <w:marTop w:val="0"/>
      <w:marBottom w:val="0"/>
      <w:divBdr>
        <w:top w:val="none" w:sz="0" w:space="0" w:color="auto"/>
        <w:left w:val="none" w:sz="0" w:space="0" w:color="auto"/>
        <w:bottom w:val="none" w:sz="0" w:space="0" w:color="auto"/>
        <w:right w:val="none" w:sz="0" w:space="0" w:color="auto"/>
      </w:divBdr>
    </w:div>
    <w:div w:id="734012403">
      <w:bodyDiv w:val="1"/>
      <w:marLeft w:val="0"/>
      <w:marRight w:val="0"/>
      <w:marTop w:val="0"/>
      <w:marBottom w:val="0"/>
      <w:divBdr>
        <w:top w:val="none" w:sz="0" w:space="0" w:color="auto"/>
        <w:left w:val="none" w:sz="0" w:space="0" w:color="auto"/>
        <w:bottom w:val="none" w:sz="0" w:space="0" w:color="auto"/>
        <w:right w:val="none" w:sz="0" w:space="0" w:color="auto"/>
      </w:divBdr>
    </w:div>
    <w:div w:id="864095248">
      <w:bodyDiv w:val="1"/>
      <w:marLeft w:val="0"/>
      <w:marRight w:val="0"/>
      <w:marTop w:val="0"/>
      <w:marBottom w:val="0"/>
      <w:divBdr>
        <w:top w:val="none" w:sz="0" w:space="0" w:color="auto"/>
        <w:left w:val="none" w:sz="0" w:space="0" w:color="auto"/>
        <w:bottom w:val="none" w:sz="0" w:space="0" w:color="auto"/>
        <w:right w:val="none" w:sz="0" w:space="0" w:color="auto"/>
      </w:divBdr>
    </w:div>
    <w:div w:id="1069841816">
      <w:bodyDiv w:val="1"/>
      <w:marLeft w:val="0"/>
      <w:marRight w:val="0"/>
      <w:marTop w:val="0"/>
      <w:marBottom w:val="0"/>
      <w:divBdr>
        <w:top w:val="none" w:sz="0" w:space="0" w:color="auto"/>
        <w:left w:val="none" w:sz="0" w:space="0" w:color="auto"/>
        <w:bottom w:val="none" w:sz="0" w:space="0" w:color="auto"/>
        <w:right w:val="none" w:sz="0" w:space="0" w:color="auto"/>
      </w:divBdr>
    </w:div>
    <w:div w:id="1165246203">
      <w:bodyDiv w:val="1"/>
      <w:marLeft w:val="0"/>
      <w:marRight w:val="0"/>
      <w:marTop w:val="0"/>
      <w:marBottom w:val="0"/>
      <w:divBdr>
        <w:top w:val="none" w:sz="0" w:space="0" w:color="auto"/>
        <w:left w:val="none" w:sz="0" w:space="0" w:color="auto"/>
        <w:bottom w:val="none" w:sz="0" w:space="0" w:color="auto"/>
        <w:right w:val="none" w:sz="0" w:space="0" w:color="auto"/>
      </w:divBdr>
    </w:div>
    <w:div w:id="1333069109">
      <w:bodyDiv w:val="1"/>
      <w:marLeft w:val="0"/>
      <w:marRight w:val="0"/>
      <w:marTop w:val="0"/>
      <w:marBottom w:val="0"/>
      <w:divBdr>
        <w:top w:val="none" w:sz="0" w:space="0" w:color="auto"/>
        <w:left w:val="none" w:sz="0" w:space="0" w:color="auto"/>
        <w:bottom w:val="none" w:sz="0" w:space="0" w:color="auto"/>
        <w:right w:val="none" w:sz="0" w:space="0" w:color="auto"/>
      </w:divBdr>
    </w:div>
    <w:div w:id="1424300429">
      <w:bodyDiv w:val="1"/>
      <w:marLeft w:val="0"/>
      <w:marRight w:val="0"/>
      <w:marTop w:val="0"/>
      <w:marBottom w:val="0"/>
      <w:divBdr>
        <w:top w:val="none" w:sz="0" w:space="0" w:color="auto"/>
        <w:left w:val="none" w:sz="0" w:space="0" w:color="auto"/>
        <w:bottom w:val="none" w:sz="0" w:space="0" w:color="auto"/>
        <w:right w:val="none" w:sz="0" w:space="0" w:color="auto"/>
      </w:divBdr>
    </w:div>
    <w:div w:id="1476876705">
      <w:bodyDiv w:val="1"/>
      <w:marLeft w:val="0"/>
      <w:marRight w:val="0"/>
      <w:marTop w:val="0"/>
      <w:marBottom w:val="0"/>
      <w:divBdr>
        <w:top w:val="none" w:sz="0" w:space="0" w:color="auto"/>
        <w:left w:val="none" w:sz="0" w:space="0" w:color="auto"/>
        <w:bottom w:val="none" w:sz="0" w:space="0" w:color="auto"/>
        <w:right w:val="none" w:sz="0" w:space="0" w:color="auto"/>
      </w:divBdr>
    </w:div>
    <w:div w:id="1633514198">
      <w:bodyDiv w:val="1"/>
      <w:marLeft w:val="0"/>
      <w:marRight w:val="0"/>
      <w:marTop w:val="0"/>
      <w:marBottom w:val="0"/>
      <w:divBdr>
        <w:top w:val="none" w:sz="0" w:space="0" w:color="auto"/>
        <w:left w:val="none" w:sz="0" w:space="0" w:color="auto"/>
        <w:bottom w:val="none" w:sz="0" w:space="0" w:color="auto"/>
        <w:right w:val="none" w:sz="0" w:space="0" w:color="auto"/>
      </w:divBdr>
      <w:divsChild>
        <w:div w:id="1673950269">
          <w:marLeft w:val="-720"/>
          <w:marRight w:val="0"/>
          <w:marTop w:val="0"/>
          <w:marBottom w:val="0"/>
          <w:divBdr>
            <w:top w:val="none" w:sz="0" w:space="0" w:color="auto"/>
            <w:left w:val="none" w:sz="0" w:space="0" w:color="auto"/>
            <w:bottom w:val="none" w:sz="0" w:space="0" w:color="auto"/>
            <w:right w:val="none" w:sz="0" w:space="0" w:color="auto"/>
          </w:divBdr>
        </w:div>
      </w:divsChild>
    </w:div>
    <w:div w:id="1671637582">
      <w:bodyDiv w:val="1"/>
      <w:marLeft w:val="0"/>
      <w:marRight w:val="0"/>
      <w:marTop w:val="0"/>
      <w:marBottom w:val="0"/>
      <w:divBdr>
        <w:top w:val="none" w:sz="0" w:space="0" w:color="auto"/>
        <w:left w:val="none" w:sz="0" w:space="0" w:color="auto"/>
        <w:bottom w:val="none" w:sz="0" w:space="0" w:color="auto"/>
        <w:right w:val="none" w:sz="0" w:space="0" w:color="auto"/>
      </w:divBdr>
    </w:div>
    <w:div w:id="1698461669">
      <w:bodyDiv w:val="1"/>
      <w:marLeft w:val="0"/>
      <w:marRight w:val="0"/>
      <w:marTop w:val="0"/>
      <w:marBottom w:val="0"/>
      <w:divBdr>
        <w:top w:val="none" w:sz="0" w:space="0" w:color="auto"/>
        <w:left w:val="none" w:sz="0" w:space="0" w:color="auto"/>
        <w:bottom w:val="none" w:sz="0" w:space="0" w:color="auto"/>
        <w:right w:val="none" w:sz="0" w:space="0" w:color="auto"/>
      </w:divBdr>
    </w:div>
    <w:div w:id="1835222828">
      <w:bodyDiv w:val="1"/>
      <w:marLeft w:val="0"/>
      <w:marRight w:val="0"/>
      <w:marTop w:val="0"/>
      <w:marBottom w:val="0"/>
      <w:divBdr>
        <w:top w:val="none" w:sz="0" w:space="0" w:color="auto"/>
        <w:left w:val="none" w:sz="0" w:space="0" w:color="auto"/>
        <w:bottom w:val="none" w:sz="0" w:space="0" w:color="auto"/>
        <w:right w:val="none" w:sz="0" w:space="0" w:color="auto"/>
      </w:divBdr>
    </w:div>
    <w:div w:id="1905943488">
      <w:bodyDiv w:val="1"/>
      <w:marLeft w:val="0"/>
      <w:marRight w:val="0"/>
      <w:marTop w:val="0"/>
      <w:marBottom w:val="0"/>
      <w:divBdr>
        <w:top w:val="none" w:sz="0" w:space="0" w:color="auto"/>
        <w:left w:val="none" w:sz="0" w:space="0" w:color="auto"/>
        <w:bottom w:val="none" w:sz="0" w:space="0" w:color="auto"/>
        <w:right w:val="none" w:sz="0" w:space="0" w:color="auto"/>
      </w:divBdr>
    </w:div>
    <w:div w:id="21276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sp.800-207" TargetMode="External"/><Relationship Id="rId3" Type="http://schemas.openxmlformats.org/officeDocument/2006/relationships/settings" Target="settings.xml"/><Relationship Id="rId7" Type="http://schemas.openxmlformats.org/officeDocument/2006/relationships/hyperlink" Target="https://nvlpubs.nist.gov/nistpubs/legacy/sp/nistspecialpublication800-30r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28/nist.sp.800-61r2" TargetMode="External"/><Relationship Id="rId5" Type="http://schemas.openxmlformats.org/officeDocument/2006/relationships/hyperlink" Target="https://resources.sei.cmu.edu/downloads/secure-coding/assets/sei-cert-cpp-coding-standard-2016-v0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Chalarca, Cristian</dc:creator>
  <cp:keywords/>
  <dc:description/>
  <cp:lastModifiedBy>Chalarca, Cristian</cp:lastModifiedBy>
  <cp:revision>4</cp:revision>
  <dcterms:created xsi:type="dcterms:W3CDTF">2025-08-25T00:57:00Z</dcterms:created>
  <dcterms:modified xsi:type="dcterms:W3CDTF">2025-08-25T01:06:00Z</dcterms:modified>
</cp:coreProperties>
</file>