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AB" w:rsidRDefault="00A41EAB" w:rsidP="00A41EAB">
      <w:pPr>
        <w:pStyle w:val="ListParagraph"/>
        <w:numPr>
          <w:ilvl w:val="0"/>
          <w:numId w:val="2"/>
        </w:numPr>
      </w:pPr>
      <w:r>
        <w:t>Introduction</w:t>
      </w:r>
    </w:p>
    <w:p w:rsidR="008740A0" w:rsidRDefault="00A41EAB" w:rsidP="00A41EAB">
      <w:r>
        <w:t>When estimating the sample covariance matrix of stock returns as the input to a mean-variance optimization problem and the number of stocks under consideration is large relative to the number of historical return observations, the most extreme values in the matrix have a lot of error.</w:t>
      </w:r>
    </w:p>
    <w:p w:rsidR="00A41EAB" w:rsidRDefault="00A41EAB" w:rsidP="00A41EAB">
      <w:r>
        <w:t>The mean-variance optimization routines will place large bets on the extreme value which is unreliable because these extreme values are largely error.</w:t>
      </w:r>
    </w:p>
    <w:p w:rsidR="00A41EAB" w:rsidRDefault="00A41EAB" w:rsidP="00A41EAB">
      <w:r>
        <w:t>The authors demonstrate a method to “pull downward” the values that have large positive error and “pull upward” the values with large negative error.</w:t>
      </w:r>
    </w:p>
    <w:p w:rsidR="00A41EAB" w:rsidRDefault="00A41EAB" w:rsidP="00A41EAB">
      <w:pPr>
        <w:pStyle w:val="ListParagraph"/>
        <w:numPr>
          <w:ilvl w:val="0"/>
          <w:numId w:val="2"/>
        </w:numPr>
      </w:pPr>
      <w:r>
        <w:t>Formal Description of the Problem</w:t>
      </w:r>
    </w:p>
    <w:p w:rsidR="00A41EAB" w:rsidRDefault="004C097A" w:rsidP="00A41EAB">
      <w:r>
        <w:t>Active portfolio management is all in relation to a benchmark index. Being long a stock means that the weight in the portfolio is greater than the weight in the benchmark. Being short a stock means that the weight in the portfolio is less than the weight in the benchmark.</w:t>
      </w:r>
    </w:p>
    <w:p w:rsidR="004C097A" w:rsidRDefault="00FA25BC" w:rsidP="00A41EAB">
      <w:r>
        <w:t>Example</w:t>
      </w:r>
    </w:p>
    <w:tbl>
      <w:tblPr>
        <w:tblW w:w="5000" w:type="pct"/>
        <w:tblLook w:val="04A0"/>
      </w:tblPr>
      <w:tblGrid>
        <w:gridCol w:w="656"/>
        <w:gridCol w:w="1274"/>
        <w:gridCol w:w="1274"/>
        <w:gridCol w:w="1274"/>
        <w:gridCol w:w="1274"/>
        <w:gridCol w:w="1274"/>
        <w:gridCol w:w="1275"/>
        <w:gridCol w:w="1275"/>
      </w:tblGrid>
      <w:tr w:rsidR="00096544" w:rsidRPr="00FA25BC" w:rsidTr="00096544">
        <w:trPr>
          <w:trHeight w:val="285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</w:rPr>
              <w:t>W</w:t>
            </w:r>
            <w:r w:rsidRPr="00FA25BC"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</w:rPr>
              <w:t>x</w:t>
            </w:r>
          </w:p>
        </w:tc>
        <w:tc>
          <w:tcPr>
            <w:tcW w:w="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</w:rPr>
              <w:t>W</w:t>
            </w:r>
            <w:r w:rsidRPr="00FA25BC"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  <w:vertAlign w:val="subscript"/>
              </w:rPr>
              <w:t>P</w:t>
            </w:r>
            <w:r w:rsidRPr="00FA25BC"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</w:rPr>
              <w:t xml:space="preserve"> = W</w:t>
            </w:r>
            <w:r w:rsidRPr="00FA25BC"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  <w:vertAlign w:val="subscript"/>
              </w:rPr>
              <w:t>B</w:t>
            </w:r>
            <w:r w:rsidRPr="00FA25BC"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</w:rPr>
              <w:t xml:space="preserve"> + x</w:t>
            </w:r>
          </w:p>
        </w:tc>
        <w:tc>
          <w:tcPr>
            <w:tcW w:w="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</w:rPr>
            </w:pPr>
            <w:r w:rsidRPr="00FA25BC">
              <w:rPr>
                <w:rFonts w:ascii="Symbol" w:eastAsia="Times New Roman" w:hAnsi="Symbol" w:cs="Arial"/>
                <w:b/>
                <w:bCs/>
                <w:i/>
                <w:iCs/>
                <w:color w:val="FFFFFF"/>
                <w:sz w:val="20"/>
                <w:szCs w:val="20"/>
              </w:rPr>
              <w:t></w:t>
            </w:r>
            <w:r w:rsidRPr="00FA25BC"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</w:rPr>
              <w:t xml:space="preserve"> = E(x)</w:t>
            </w:r>
          </w:p>
        </w:tc>
        <w:tc>
          <w:tcPr>
            <w:tcW w:w="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</w:rPr>
            </w:pPr>
            <w:r w:rsidRPr="00FA25BC">
              <w:rPr>
                <w:rFonts w:ascii="Symbol" w:eastAsia="Times New Roman" w:hAnsi="Symbol" w:cs="Arial"/>
                <w:b/>
                <w:bCs/>
                <w:i/>
                <w:iCs/>
                <w:color w:val="FFFFFF"/>
                <w:sz w:val="20"/>
                <w:szCs w:val="20"/>
              </w:rPr>
              <w:t></w:t>
            </w:r>
            <w:r w:rsidRPr="00FA25BC"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</w:rPr>
              <w:t xml:space="preserve"> = </w:t>
            </w:r>
            <w:r w:rsidRPr="00FA25BC">
              <w:rPr>
                <w:rFonts w:ascii="Symbol" w:eastAsia="Times New Roman" w:hAnsi="Symbol" w:cs="Arial"/>
                <w:b/>
                <w:bCs/>
                <w:i/>
                <w:iCs/>
                <w:color w:val="FFFFFF"/>
                <w:sz w:val="20"/>
                <w:szCs w:val="20"/>
              </w:rPr>
              <w:t></w:t>
            </w:r>
            <w:r w:rsidRPr="00FA25BC"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</w:rPr>
              <w:t xml:space="preserve"> - W</w:t>
            </w:r>
            <w:r w:rsidRPr="00FA25BC">
              <w:rPr>
                <w:rFonts w:ascii="Calibri" w:eastAsia="Times New Roman" w:hAnsi="Calibri" w:cs="Arial"/>
                <w:b/>
                <w:bCs/>
                <w:i/>
                <w:iCs/>
                <w:color w:val="FFFFFF"/>
                <w:sz w:val="20"/>
                <w:szCs w:val="20"/>
                <w:vertAlign w:val="subscript"/>
              </w:rPr>
              <w:t>B</w:t>
            </w:r>
            <w:r w:rsidRPr="00FA25BC">
              <w:rPr>
                <w:rFonts w:ascii="Symbol" w:eastAsia="Times New Roman" w:hAnsi="Symbol" w:cs="Arial"/>
                <w:b/>
                <w:bCs/>
                <w:i/>
                <w:iCs/>
                <w:color w:val="FFFFFF"/>
                <w:sz w:val="20"/>
                <w:szCs w:val="20"/>
              </w:rPr>
              <w:t></w:t>
            </w:r>
          </w:p>
        </w:tc>
      </w:tr>
      <w:tr w:rsidR="00096544" w:rsidRPr="00FA25BC" w:rsidTr="00096544">
        <w:trPr>
          <w:trHeight w:val="51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FFFFFF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FFFFFF"/>
                <w:sz w:val="20"/>
                <w:szCs w:val="20"/>
              </w:rPr>
              <w:t>Stock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FFFFFF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FFFFFF"/>
                <w:sz w:val="20"/>
                <w:szCs w:val="20"/>
              </w:rPr>
              <w:t>Market Cap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FFFFFF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FFFFFF"/>
                <w:sz w:val="20"/>
                <w:szCs w:val="20"/>
              </w:rPr>
              <w:t>Benchmark Wt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FFFFFF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FFFFFF"/>
                <w:sz w:val="20"/>
                <w:szCs w:val="20"/>
              </w:rPr>
              <w:t>Active Wt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FFFFFF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FFFFFF"/>
                <w:sz w:val="20"/>
                <w:szCs w:val="20"/>
              </w:rPr>
              <w:t>Portfolio Wt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FFFFFF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FFFFFF"/>
                <w:sz w:val="20"/>
                <w:szCs w:val="20"/>
              </w:rPr>
              <w:t>Stock Returns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FFFFFF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FFFFFF"/>
                <w:sz w:val="20"/>
                <w:szCs w:val="20"/>
              </w:rPr>
              <w:t>Expected Stock Returns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FFFFFF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FFFFFF"/>
                <w:sz w:val="20"/>
                <w:szCs w:val="20"/>
              </w:rPr>
              <w:t>Expected Stock Excess Returns</w:t>
            </w:r>
          </w:p>
        </w:tc>
      </w:tr>
      <w:tr w:rsidR="00096544" w:rsidRPr="00FA25BC" w:rsidTr="00096544">
        <w:trPr>
          <w:trHeight w:val="255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22.8%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-2.8%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20.0%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2.00%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1.90%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1.47%</w:t>
            </w:r>
          </w:p>
        </w:tc>
      </w:tr>
      <w:tr w:rsidR="00096544" w:rsidRPr="00FA25BC" w:rsidTr="00096544">
        <w:trPr>
          <w:trHeight w:val="255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5.2%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2.8%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8.0%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0.50%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0.40%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0.38%</w:t>
            </w:r>
          </w:p>
        </w:tc>
      </w:tr>
      <w:tr w:rsidR="00096544" w:rsidRPr="00FA25BC" w:rsidTr="00096544">
        <w:trPr>
          <w:trHeight w:val="255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13.5%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-8.5%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5.0%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-1.60%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-1.70%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-1.47%</w:t>
            </w:r>
          </w:p>
        </w:tc>
      </w:tr>
      <w:tr w:rsidR="00096544" w:rsidRPr="00FA25BC" w:rsidTr="00096544">
        <w:trPr>
          <w:trHeight w:val="255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19.8%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5.2%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25.0%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0.90%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0.80%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0.64%</w:t>
            </w:r>
          </w:p>
        </w:tc>
      </w:tr>
      <w:tr w:rsidR="00096544" w:rsidRPr="00FA25BC" w:rsidTr="00096544">
        <w:trPr>
          <w:trHeight w:val="255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25.3%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-3.3%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22.0%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-0.40%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-0.50%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-0.37%</w:t>
            </w:r>
          </w:p>
        </w:tc>
      </w:tr>
      <w:tr w:rsidR="00096544" w:rsidRPr="00FA25BC" w:rsidTr="00096544">
        <w:trPr>
          <w:trHeight w:val="255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13.4%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-3.4%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10.0%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4.00%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3.90%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5BC" w:rsidRPr="00FA25BC" w:rsidRDefault="00FA25BC" w:rsidP="00FA25B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FA25B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3.38%</w:t>
            </w:r>
          </w:p>
        </w:tc>
      </w:tr>
    </w:tbl>
    <w:p w:rsidR="00096544" w:rsidRDefault="00096544" w:rsidP="00A41EAB"/>
    <w:p w:rsidR="006F6497" w:rsidRDefault="006F6497" w:rsidP="00A41EAB">
      <w:r>
        <w:t>The</w:t>
      </w:r>
      <w:r w:rsidR="0023793B">
        <w:t xml:space="preserve"> optimization</w:t>
      </w:r>
      <w:r>
        <w:t xml:space="preserve"> problem is subject to the following constraints:</w:t>
      </w:r>
    </w:p>
    <w:tbl>
      <w:tblPr>
        <w:tblW w:w="9040" w:type="dxa"/>
        <w:tblInd w:w="93" w:type="dxa"/>
        <w:tblLook w:val="04A0"/>
      </w:tblPr>
      <w:tblGrid>
        <w:gridCol w:w="1600"/>
        <w:gridCol w:w="7440"/>
      </w:tblGrid>
      <w:tr w:rsidR="0023793B" w:rsidRPr="0023793B" w:rsidTr="0023793B">
        <w:trPr>
          <w:trHeight w:val="18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93B" w:rsidRPr="0023793B" w:rsidRDefault="0023793B" w:rsidP="0023793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23793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Min(</w:t>
            </w:r>
            <w:proofErr w:type="spellStart"/>
            <w:r w:rsidRPr="0023793B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</w:rPr>
              <w:t>x'</w:t>
            </w:r>
            <w:r w:rsidRPr="0023793B">
              <w:rPr>
                <w:rFonts w:ascii="Symbol" w:eastAsia="Times New Roman" w:hAnsi="Symbol" w:cs="Arial"/>
                <w:i/>
                <w:iCs/>
                <w:color w:val="000000"/>
                <w:sz w:val="20"/>
                <w:szCs w:val="20"/>
              </w:rPr>
              <w:t></w:t>
            </w:r>
            <w:r w:rsidRPr="0023793B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</w:rPr>
              <w:t>x</w:t>
            </w:r>
            <w:proofErr w:type="spellEnd"/>
            <w:r w:rsidRPr="0023793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7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93B" w:rsidRPr="0023793B" w:rsidRDefault="0023793B" w:rsidP="0023793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23793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Minimize the tracking error variance</w:t>
            </w:r>
          </w:p>
        </w:tc>
      </w:tr>
      <w:tr w:rsidR="0023793B" w:rsidRPr="0023793B" w:rsidTr="0023793B">
        <w:trPr>
          <w:trHeight w:val="19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93B" w:rsidRPr="0023793B" w:rsidRDefault="0023793B" w:rsidP="0023793B">
            <w:pPr>
              <w:spacing w:after="0" w:line="240" w:lineRule="auto"/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</w:rPr>
            </w:pPr>
            <w:r w:rsidRPr="0023793B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</w:rPr>
              <w:t>x'</w:t>
            </w:r>
            <w:r w:rsidRPr="0023793B">
              <w:rPr>
                <w:rFonts w:ascii="Symbol" w:eastAsia="Times New Roman" w:hAnsi="Symbol" w:cs="Arial"/>
                <w:i/>
                <w:iCs/>
                <w:color w:val="000000"/>
                <w:sz w:val="20"/>
                <w:szCs w:val="20"/>
              </w:rPr>
              <w:t></w:t>
            </w:r>
            <w:r w:rsidRPr="0023793B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</w:rPr>
              <w:t xml:space="preserve"> &gt;= g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93B" w:rsidRPr="0023793B" w:rsidRDefault="0023793B" w:rsidP="0023793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23793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Meet or exceed manager's target gain</w:t>
            </w:r>
          </w:p>
        </w:tc>
      </w:tr>
      <w:tr w:rsidR="0023793B" w:rsidRPr="0023793B" w:rsidTr="0023793B">
        <w:trPr>
          <w:trHeight w:val="10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93B" w:rsidRPr="0023793B" w:rsidRDefault="0023793B" w:rsidP="0023793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23793B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</w:rPr>
              <w:t>x'</w:t>
            </w:r>
            <w:r w:rsidRPr="0023793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1</w:t>
            </w:r>
            <w:r w:rsidRPr="0023793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= 0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93B" w:rsidRPr="0023793B" w:rsidRDefault="0023793B" w:rsidP="0023793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proofErr w:type="spellStart"/>
            <w:r w:rsidRPr="0023793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Porfolio</w:t>
            </w:r>
            <w:proofErr w:type="spellEnd"/>
            <w:r w:rsidRPr="0023793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weights add to unity (fully invested); portfolio deviations must add to zero</w:t>
            </w:r>
          </w:p>
        </w:tc>
      </w:tr>
      <w:tr w:rsidR="0023793B" w:rsidRPr="0023793B" w:rsidTr="0023793B">
        <w:trPr>
          <w:trHeight w:val="10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93B" w:rsidRPr="0023793B" w:rsidRDefault="0023793B" w:rsidP="0023793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23793B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</w:rPr>
              <w:t>x</w:t>
            </w:r>
            <w:r w:rsidRPr="0023793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&gt;= -</w:t>
            </w:r>
            <w:proofErr w:type="spellStart"/>
            <w:r w:rsidRPr="0023793B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</w:rPr>
              <w:t>w</w:t>
            </w:r>
            <w:r w:rsidRPr="0023793B">
              <w:rPr>
                <w:rFonts w:ascii="Calibri" w:eastAsia="Times New Roman" w:hAnsi="Calibri" w:cs="Arial"/>
                <w:color w:val="000000"/>
                <w:sz w:val="20"/>
                <w:szCs w:val="20"/>
                <w:vertAlign w:val="subscript"/>
              </w:rPr>
              <w:t>B</w:t>
            </w:r>
            <w:proofErr w:type="spellEnd"/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93B" w:rsidRPr="0023793B" w:rsidRDefault="0023793B" w:rsidP="0023793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23793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Portfolio is long only</w:t>
            </w:r>
          </w:p>
        </w:tc>
      </w:tr>
      <w:tr w:rsidR="0023793B" w:rsidRPr="0023793B" w:rsidTr="0023793B">
        <w:trPr>
          <w:trHeight w:val="9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93B" w:rsidRPr="0023793B" w:rsidRDefault="0023793B" w:rsidP="0023793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23793B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</w:rPr>
              <w:t>x</w:t>
            </w:r>
            <w:r w:rsidRPr="0023793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&lt;= </w:t>
            </w:r>
            <w:r w:rsidRPr="0023793B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</w:rPr>
              <w:t>c</w:t>
            </w:r>
            <w:r w:rsidRPr="0023793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 xml:space="preserve">1 </w:t>
            </w:r>
            <w:r w:rsidRPr="0023793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- </w:t>
            </w:r>
            <w:r w:rsidRPr="0023793B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</w:rPr>
              <w:t>W</w:t>
            </w:r>
            <w:r w:rsidRPr="0023793B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93B" w:rsidRPr="0023793B" w:rsidRDefault="0023793B" w:rsidP="0023793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23793B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Total position in a stock cannot exceed c% of the portfolio</w:t>
            </w:r>
          </w:p>
        </w:tc>
      </w:tr>
    </w:tbl>
    <w:p w:rsidR="0023793B" w:rsidRDefault="0023793B" w:rsidP="00A41EAB"/>
    <w:p w:rsidR="0023793B" w:rsidRDefault="0023793B" w:rsidP="0023793B">
      <w:pPr>
        <w:pStyle w:val="ListParagraph"/>
        <w:numPr>
          <w:ilvl w:val="0"/>
          <w:numId w:val="2"/>
        </w:numPr>
      </w:pPr>
    </w:p>
    <w:sectPr w:rsidR="0023793B" w:rsidSect="0087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D3B99"/>
    <w:multiLevelType w:val="hybridMultilevel"/>
    <w:tmpl w:val="E08CE2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2376DB"/>
    <w:multiLevelType w:val="hybridMultilevel"/>
    <w:tmpl w:val="AC281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1EAB"/>
    <w:rsid w:val="00096544"/>
    <w:rsid w:val="000B2C69"/>
    <w:rsid w:val="0023793B"/>
    <w:rsid w:val="002D2337"/>
    <w:rsid w:val="003D226F"/>
    <w:rsid w:val="004C097A"/>
    <w:rsid w:val="006F6497"/>
    <w:rsid w:val="00805F89"/>
    <w:rsid w:val="008740A0"/>
    <w:rsid w:val="00A41EAB"/>
    <w:rsid w:val="00BB022E"/>
    <w:rsid w:val="00C16065"/>
    <w:rsid w:val="00FA25BC"/>
    <w:rsid w:val="00FD0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STRIMPEL</dc:creator>
  <cp:keywords/>
  <dc:description/>
  <cp:lastModifiedBy>JASON STRIMPEL</cp:lastModifiedBy>
  <cp:revision>4</cp:revision>
  <dcterms:created xsi:type="dcterms:W3CDTF">2011-04-07T19:01:00Z</dcterms:created>
  <dcterms:modified xsi:type="dcterms:W3CDTF">2011-04-11T22:21:00Z</dcterms:modified>
</cp:coreProperties>
</file>