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DBB99" w14:textId="2C6FFD28" w:rsidR="00C83488" w:rsidRPr="00975736" w:rsidRDefault="00C83488" w:rsidP="00C83488">
      <w:pPr>
        <w:rPr>
          <w:rFonts w:ascii="Lora" w:hAnsi="Lora"/>
          <w:b/>
          <w:bCs/>
          <w:sz w:val="36"/>
          <w:szCs w:val="36"/>
        </w:rPr>
      </w:pPr>
      <w:r w:rsidRPr="00975736">
        <w:rPr>
          <w:rFonts w:ascii="Lora" w:hAnsi="Lora"/>
          <w:b/>
          <w:bCs/>
          <w:sz w:val="36"/>
          <w:szCs w:val="36"/>
        </w:rPr>
        <w:t>Review of research methodolog</w:t>
      </w:r>
      <w:r w:rsidR="00B14B90">
        <w:rPr>
          <w:rFonts w:ascii="Lora" w:hAnsi="Lora"/>
          <w:b/>
          <w:bCs/>
          <w:sz w:val="36"/>
          <w:szCs w:val="36"/>
        </w:rPr>
        <w:t>y</w:t>
      </w:r>
    </w:p>
    <w:p w14:paraId="6241C679" w14:textId="25B23AFD" w:rsidR="00C83488" w:rsidRPr="00C83488" w:rsidRDefault="00C83488" w:rsidP="00C83488">
      <w:pPr>
        <w:rPr>
          <w:rFonts w:ascii="Lora" w:hAnsi="Lora"/>
          <w:b/>
          <w:bCs/>
          <w:sz w:val="26"/>
          <w:szCs w:val="26"/>
        </w:rPr>
      </w:pPr>
      <w:r w:rsidRPr="00C83488">
        <w:rPr>
          <w:rFonts w:ascii="Lora" w:hAnsi="Lora"/>
          <w:b/>
          <w:bCs/>
          <w:sz w:val="26"/>
          <w:szCs w:val="26"/>
        </w:rPr>
        <w:t>Short Literature Review of Methodologies Used in Other Studies</w:t>
      </w:r>
    </w:p>
    <w:p w14:paraId="1067F4F7" w14:textId="54C0694A" w:rsidR="00C83488" w:rsidRPr="00C83488" w:rsidRDefault="00C83488" w:rsidP="00C83488">
      <w:pPr>
        <w:rPr>
          <w:rFonts w:ascii="Lora" w:hAnsi="Lora"/>
        </w:rPr>
      </w:pPr>
      <w:r w:rsidRPr="00C83488">
        <w:rPr>
          <w:rFonts w:ascii="Lora" w:hAnsi="Lora"/>
        </w:rPr>
        <w:t>Previous research in GUI element detection has employed experimental, quantitative, and mixed</w:t>
      </w:r>
      <w:r w:rsidRPr="00975736">
        <w:rPr>
          <w:rFonts w:ascii="Lora" w:hAnsi="Lora"/>
        </w:rPr>
        <w:t xml:space="preserve"> </w:t>
      </w:r>
      <w:r w:rsidRPr="00C83488">
        <w:rPr>
          <w:rFonts w:ascii="Lora" w:hAnsi="Lora"/>
        </w:rPr>
        <w:t>method methodologies. These approaches typically involve systematic testing and empirical validation.</w:t>
      </w:r>
    </w:p>
    <w:p w14:paraId="7F2D5582" w14:textId="1A758017" w:rsidR="00C83488" w:rsidRPr="00C83488" w:rsidRDefault="00C83488" w:rsidP="00C83488">
      <w:pPr>
        <w:rPr>
          <w:rFonts w:ascii="Lora" w:hAnsi="Lora"/>
        </w:rPr>
      </w:pPr>
      <w:r w:rsidRPr="00C83488">
        <w:rPr>
          <w:rFonts w:ascii="Lora" w:hAnsi="Lora"/>
        </w:rPr>
        <w:t>Daneshvar and Wang (2024) [1] conducted experimental research using advanced deep learning methods (YOLO models), emphasizing quantitative metrics such as accuracy, precision and recall. Their methodology prioritizes objective evaluations using standardized GUI datasets.</w:t>
      </w:r>
    </w:p>
    <w:p w14:paraId="09365BC2" w14:textId="30B45FBD" w:rsidR="00C83488" w:rsidRPr="00C83488" w:rsidRDefault="00C83488" w:rsidP="00C83488">
      <w:pPr>
        <w:rPr>
          <w:rFonts w:ascii="Lora" w:hAnsi="Lora"/>
        </w:rPr>
      </w:pPr>
      <w:r w:rsidRPr="00C83488">
        <w:rPr>
          <w:rFonts w:ascii="Lora" w:hAnsi="Lora"/>
        </w:rPr>
        <w:t>Chen et al. (2020) [2] presented a comparative experimental methodology, combining traditional image</w:t>
      </w:r>
      <w:r w:rsidRPr="00975736">
        <w:rPr>
          <w:rFonts w:ascii="Lora" w:hAnsi="Lora"/>
        </w:rPr>
        <w:t xml:space="preserve"> </w:t>
      </w:r>
      <w:r w:rsidRPr="00C83488">
        <w:rPr>
          <w:rFonts w:ascii="Lora" w:hAnsi="Lora"/>
        </w:rPr>
        <w:t>processing methods with deep learning approaches. They incorporated both quantitative performance metrics and qualitative visual inspection to assess practical usability.</w:t>
      </w:r>
    </w:p>
    <w:p w14:paraId="056ADAF3" w14:textId="77777777" w:rsidR="00C83488" w:rsidRPr="00C83488" w:rsidRDefault="00C83488" w:rsidP="00C83488">
      <w:pPr>
        <w:rPr>
          <w:rFonts w:ascii="Lora" w:hAnsi="Lora"/>
        </w:rPr>
      </w:pPr>
      <w:r w:rsidRPr="00C83488">
        <w:rPr>
          <w:rFonts w:ascii="Lora" w:hAnsi="Lora"/>
        </w:rPr>
        <w:t>Gu et al. (2023) [3] utilized an experimental methodology that combined quantitative benchmarking (e.g., accuracy and processing speed) with qualitative visual inspection. They highlighted how adaptability within models improved performance, particularly in mobile user interface detection tasks.</w:t>
      </w:r>
    </w:p>
    <w:p w14:paraId="6F5E5BF7" w14:textId="77777777" w:rsidR="00C83488" w:rsidRPr="00C83488" w:rsidRDefault="00C83488" w:rsidP="00C83488">
      <w:pPr>
        <w:rPr>
          <w:rFonts w:ascii="Lora" w:hAnsi="Lora"/>
        </w:rPr>
      </w:pPr>
      <w:r w:rsidRPr="00C83488">
        <w:rPr>
          <w:rFonts w:ascii="Lora" w:hAnsi="Lora"/>
        </w:rPr>
        <w:t>Zhao et al. (2022) [4] leveraged deep reinforcement learning in an experimental approach to automate GUI testing processes. They focused primarily on quantitative metrics, evaluating their models rigorously in controlled testing scenarios and benchmarked against existing methods to validate their hypothesis on automated testing effectiveness.</w:t>
      </w:r>
    </w:p>
    <w:p w14:paraId="2841270B" w14:textId="77777777" w:rsidR="00C83488" w:rsidRPr="00975736" w:rsidRDefault="00C83488" w:rsidP="00C83488">
      <w:pPr>
        <w:rPr>
          <w:rFonts w:ascii="Lora" w:hAnsi="Lora"/>
        </w:rPr>
      </w:pPr>
      <w:r w:rsidRPr="00C83488">
        <w:rPr>
          <w:rFonts w:ascii="Lora" w:hAnsi="Lora"/>
        </w:rPr>
        <w:t>Lastly, Amalfitano et al. (2015) [5] implemented artificial intelligence-based methodologies for GUI testing, employing structured experimental designs focused on quantitative performance validation. Their research aimed to deliver objective insights into automation solutions in software testing environments.</w:t>
      </w:r>
    </w:p>
    <w:p w14:paraId="649714A9" w14:textId="34A7E677" w:rsidR="00C83488" w:rsidRPr="00C83488" w:rsidRDefault="00C83488" w:rsidP="00C83488">
      <w:pPr>
        <w:rPr>
          <w:rFonts w:ascii="Lora" w:hAnsi="Lora"/>
          <w:sz w:val="26"/>
          <w:szCs w:val="26"/>
        </w:rPr>
      </w:pPr>
      <w:r w:rsidRPr="00C83488">
        <w:rPr>
          <w:rFonts w:ascii="Lora" w:hAnsi="Lora"/>
          <w:b/>
          <w:bCs/>
          <w:sz w:val="26"/>
          <w:szCs w:val="26"/>
        </w:rPr>
        <w:t>Distinction Between Academic and Non-Academic Material</w:t>
      </w:r>
    </w:p>
    <w:p w14:paraId="1300834B" w14:textId="77777777" w:rsidR="00C83488" w:rsidRPr="00C83488" w:rsidRDefault="00C83488" w:rsidP="00C83488">
      <w:pPr>
        <w:numPr>
          <w:ilvl w:val="0"/>
          <w:numId w:val="1"/>
        </w:numPr>
        <w:rPr>
          <w:rFonts w:ascii="Lora" w:hAnsi="Lora"/>
        </w:rPr>
      </w:pPr>
      <w:r w:rsidRPr="00C83488">
        <w:rPr>
          <w:rFonts w:ascii="Lora" w:hAnsi="Lora"/>
          <w:b/>
          <w:bCs/>
        </w:rPr>
        <w:t>Academic Material:</w:t>
      </w:r>
      <w:r w:rsidRPr="00C83488">
        <w:rPr>
          <w:rFonts w:ascii="Lora" w:hAnsi="Lora"/>
        </w:rPr>
        <w:t xml:space="preserve"> Includes peer-reviewed articles, scholarly conference papers, and theses. These sources undergo strict evaluation processes and provide reliable, validated methodologies and empirical evidence.</w:t>
      </w:r>
    </w:p>
    <w:p w14:paraId="15B99D4E" w14:textId="77777777" w:rsidR="00C83488" w:rsidRPr="00975736" w:rsidRDefault="00C83488" w:rsidP="00C83488">
      <w:pPr>
        <w:numPr>
          <w:ilvl w:val="0"/>
          <w:numId w:val="1"/>
        </w:numPr>
        <w:rPr>
          <w:rFonts w:ascii="Lora" w:hAnsi="Lora"/>
        </w:rPr>
      </w:pPr>
      <w:r w:rsidRPr="00C83488">
        <w:rPr>
          <w:rFonts w:ascii="Lora" w:hAnsi="Lora"/>
          <w:b/>
          <w:bCs/>
        </w:rPr>
        <w:t>Non-academic Material:</w:t>
      </w:r>
      <w:r w:rsidRPr="00C83488">
        <w:rPr>
          <w:rFonts w:ascii="Lora" w:hAnsi="Lora"/>
        </w:rPr>
        <w:t xml:space="preserve"> Covers informal resources like blogs, online articles, industry whitepapers, or promotional content. These materials are not peer-reviewed, thus lacking the scholarly validation of academic sources, making them suitable only as supplementary references.</w:t>
      </w:r>
    </w:p>
    <w:p w14:paraId="5AB29D76" w14:textId="77777777" w:rsidR="00C83488" w:rsidRPr="00975736" w:rsidRDefault="00C83488" w:rsidP="00C83488">
      <w:pPr>
        <w:rPr>
          <w:rFonts w:ascii="Lora" w:hAnsi="Lora"/>
        </w:rPr>
      </w:pPr>
    </w:p>
    <w:p w14:paraId="353F36CC" w14:textId="77777777" w:rsidR="00C83488" w:rsidRPr="00975736" w:rsidRDefault="00C83488" w:rsidP="00C83488">
      <w:pPr>
        <w:rPr>
          <w:rFonts w:ascii="Lora" w:hAnsi="Lora"/>
        </w:rPr>
      </w:pPr>
    </w:p>
    <w:p w14:paraId="2D55F81A" w14:textId="77777777" w:rsidR="00C83488" w:rsidRPr="00975736" w:rsidRDefault="00C83488" w:rsidP="00C83488">
      <w:pPr>
        <w:rPr>
          <w:rFonts w:ascii="Lora" w:hAnsi="Lora"/>
        </w:rPr>
      </w:pPr>
    </w:p>
    <w:p w14:paraId="0CD470A3" w14:textId="7965E03F" w:rsidR="00C83488" w:rsidRPr="00C83488" w:rsidRDefault="00C83488" w:rsidP="00C83488">
      <w:pPr>
        <w:rPr>
          <w:rFonts w:ascii="Lora" w:hAnsi="Lora"/>
          <w:b/>
          <w:bCs/>
          <w:sz w:val="26"/>
          <w:szCs w:val="26"/>
        </w:rPr>
      </w:pPr>
      <w:r w:rsidRPr="00C83488">
        <w:rPr>
          <w:rFonts w:ascii="Lora" w:hAnsi="Lora"/>
          <w:b/>
          <w:bCs/>
          <w:sz w:val="26"/>
          <w:szCs w:val="26"/>
        </w:rPr>
        <w:lastRenderedPageBreak/>
        <w:t>Recommended Peer</w:t>
      </w:r>
      <w:r w:rsidRPr="00975736">
        <w:rPr>
          <w:rFonts w:ascii="Lora" w:hAnsi="Lora"/>
          <w:b/>
          <w:bCs/>
          <w:sz w:val="26"/>
          <w:szCs w:val="26"/>
        </w:rPr>
        <w:t xml:space="preserve"> </w:t>
      </w:r>
      <w:r w:rsidRPr="00C83488">
        <w:rPr>
          <w:rFonts w:ascii="Lora" w:hAnsi="Lora"/>
          <w:b/>
          <w:bCs/>
          <w:sz w:val="26"/>
          <w:szCs w:val="26"/>
        </w:rPr>
        <w:t>Reviewed Articles</w:t>
      </w:r>
    </w:p>
    <w:p w14:paraId="4CF1D2A3" w14:textId="77777777" w:rsidR="00C83488" w:rsidRPr="00C83488" w:rsidRDefault="00C83488" w:rsidP="00C83488">
      <w:pPr>
        <w:rPr>
          <w:rFonts w:ascii="Lora" w:hAnsi="Lora"/>
        </w:rPr>
      </w:pPr>
      <w:r w:rsidRPr="00C83488">
        <w:rPr>
          <w:rFonts w:ascii="Lora" w:hAnsi="Lora"/>
        </w:rPr>
        <w:t xml:space="preserve">[1] S. S. Daneshvar and S. Wang, "GUI Element Detection Using SOTA YOLO Deep Learning Models," </w:t>
      </w:r>
      <w:proofErr w:type="spellStart"/>
      <w:r w:rsidRPr="00C83488">
        <w:rPr>
          <w:rFonts w:ascii="Lora" w:hAnsi="Lora"/>
          <w:i/>
          <w:iCs/>
        </w:rPr>
        <w:t>arXiv</w:t>
      </w:r>
      <w:proofErr w:type="spellEnd"/>
      <w:r w:rsidRPr="00C83488">
        <w:rPr>
          <w:rFonts w:ascii="Lora" w:hAnsi="Lora"/>
          <w:i/>
          <w:iCs/>
        </w:rPr>
        <w:t xml:space="preserve"> preprint arXiv:2408.03507</w:t>
      </w:r>
      <w:r w:rsidRPr="00C83488">
        <w:rPr>
          <w:rFonts w:ascii="Lora" w:hAnsi="Lora"/>
        </w:rPr>
        <w:t xml:space="preserve">, 2024. [Online]. Available: </w:t>
      </w:r>
      <w:hyperlink r:id="rId5" w:tgtFrame="_new" w:history="1">
        <w:r w:rsidRPr="00C83488">
          <w:rPr>
            <w:rStyle w:val="Hyperlink"/>
            <w:rFonts w:ascii="Lora" w:hAnsi="Lora"/>
          </w:rPr>
          <w:t>https://arxiv.org/abs/2408.03507</w:t>
        </w:r>
      </w:hyperlink>
    </w:p>
    <w:p w14:paraId="742AA49B" w14:textId="77777777" w:rsidR="00C83488" w:rsidRPr="00C83488" w:rsidRDefault="00C83488" w:rsidP="00C83488">
      <w:pPr>
        <w:rPr>
          <w:rFonts w:ascii="Lora" w:hAnsi="Lora"/>
        </w:rPr>
      </w:pPr>
      <w:r w:rsidRPr="00C83488">
        <w:rPr>
          <w:rFonts w:ascii="Lora" w:hAnsi="Lora"/>
        </w:rPr>
        <w:t xml:space="preserve">[2] Z. Chen, X. Xiao, and S. Gao, "Object Detection for Graphical User Interface: Old Fashioned or Deep Learning or a Combination?," </w:t>
      </w:r>
      <w:proofErr w:type="spellStart"/>
      <w:r w:rsidRPr="00C83488">
        <w:rPr>
          <w:rFonts w:ascii="Lora" w:hAnsi="Lora"/>
          <w:i/>
          <w:iCs/>
        </w:rPr>
        <w:t>arXiv</w:t>
      </w:r>
      <w:proofErr w:type="spellEnd"/>
      <w:r w:rsidRPr="00C83488">
        <w:rPr>
          <w:rFonts w:ascii="Lora" w:hAnsi="Lora"/>
          <w:i/>
          <w:iCs/>
        </w:rPr>
        <w:t xml:space="preserve"> preprint arXiv:2008.05132</w:t>
      </w:r>
      <w:r w:rsidRPr="00C83488">
        <w:rPr>
          <w:rFonts w:ascii="Lora" w:hAnsi="Lora"/>
        </w:rPr>
        <w:t xml:space="preserve">, 2020. [Online]. Available: </w:t>
      </w:r>
      <w:hyperlink r:id="rId6" w:tgtFrame="_new" w:history="1">
        <w:r w:rsidRPr="00C83488">
          <w:rPr>
            <w:rStyle w:val="Hyperlink"/>
            <w:rFonts w:ascii="Lora" w:hAnsi="Lora"/>
          </w:rPr>
          <w:t>https://arxiv.org/abs/2008.05132</w:t>
        </w:r>
      </w:hyperlink>
    </w:p>
    <w:p w14:paraId="22F9D601" w14:textId="77777777" w:rsidR="00C83488" w:rsidRPr="00C83488" w:rsidRDefault="00C83488" w:rsidP="00C83488">
      <w:pPr>
        <w:rPr>
          <w:rFonts w:ascii="Lora" w:hAnsi="Lora"/>
        </w:rPr>
      </w:pPr>
      <w:r w:rsidRPr="00C83488">
        <w:rPr>
          <w:rFonts w:ascii="Lora" w:hAnsi="Lora"/>
        </w:rPr>
        <w:t xml:space="preserve">[3] Z. Gu et al., "Mobile User Interface Element Detection via Adaptively Prompt Tuning," </w:t>
      </w:r>
      <w:r w:rsidRPr="00C83488">
        <w:rPr>
          <w:rFonts w:ascii="Lora" w:hAnsi="Lora"/>
          <w:i/>
          <w:iCs/>
        </w:rPr>
        <w:t>Proceedings of the IEEE/CVF Conference on Computer Vision and Pattern Recognition</w:t>
      </w:r>
      <w:r w:rsidRPr="00C83488">
        <w:rPr>
          <w:rFonts w:ascii="Lora" w:hAnsi="Lora"/>
        </w:rPr>
        <w:t xml:space="preserve">, pp. 11155–11164, 2023. [Online]. Available: </w:t>
      </w:r>
      <w:hyperlink r:id="rId7" w:tgtFrame="_new" w:history="1">
        <w:r w:rsidRPr="00C83488">
          <w:rPr>
            <w:rStyle w:val="Hyperlink"/>
            <w:rFonts w:ascii="Lora" w:hAnsi="Lora"/>
          </w:rPr>
          <w:t>https://openaccess.thecvf.com/content/CVPR2023/papers/Gu_Mobile_User_Interface_Element_Detection_via_Adaptively_Prompt_Tuning_CVPR_2023_paper.pdf</w:t>
        </w:r>
      </w:hyperlink>
    </w:p>
    <w:p w14:paraId="6593BC67" w14:textId="77777777" w:rsidR="00C83488" w:rsidRPr="00C83488" w:rsidRDefault="00C83488" w:rsidP="00C83488">
      <w:pPr>
        <w:rPr>
          <w:rFonts w:ascii="Lora" w:hAnsi="Lora"/>
        </w:rPr>
      </w:pPr>
      <w:r w:rsidRPr="00C83488">
        <w:rPr>
          <w:rFonts w:ascii="Lora" w:hAnsi="Lora"/>
        </w:rPr>
        <w:t xml:space="preserve">[4] X. Zhao, Y. Cao, and M. Li, "Deep Reinforcement Learning for Automated GUI Testing," </w:t>
      </w:r>
      <w:r w:rsidRPr="00C83488">
        <w:rPr>
          <w:rFonts w:ascii="Lora" w:hAnsi="Lora"/>
          <w:i/>
          <w:iCs/>
        </w:rPr>
        <w:t>IEEE Transactions on Software Engineering</w:t>
      </w:r>
      <w:r w:rsidRPr="00C83488">
        <w:rPr>
          <w:rFonts w:ascii="Lora" w:hAnsi="Lora"/>
        </w:rPr>
        <w:t xml:space="preserve">, vol. 49, no. 5, pp. 1769–1784, 2022. [Online]. Available: </w:t>
      </w:r>
      <w:hyperlink r:id="rId8" w:tgtFrame="_new" w:history="1">
        <w:r w:rsidRPr="00C83488">
          <w:rPr>
            <w:rStyle w:val="Hyperlink"/>
            <w:rFonts w:ascii="Lora" w:hAnsi="Lora"/>
          </w:rPr>
          <w:t>https://ieeexplore.ieee.org/document/9715282</w:t>
        </w:r>
      </w:hyperlink>
    </w:p>
    <w:p w14:paraId="6FAFA5AA" w14:textId="77777777" w:rsidR="00C83488" w:rsidRPr="00C83488" w:rsidRDefault="00C83488" w:rsidP="00C83488">
      <w:pPr>
        <w:rPr>
          <w:rFonts w:ascii="Lora" w:hAnsi="Lora"/>
        </w:rPr>
      </w:pPr>
      <w:r w:rsidRPr="00C83488">
        <w:rPr>
          <w:rFonts w:ascii="Lora" w:hAnsi="Lora"/>
        </w:rPr>
        <w:t xml:space="preserve">[5] D. Amalfitano, A. R. Fasolino, P. Tramontana, and N. Amatucci, "Using Artificial Intelligence to Automatically Test GUI," </w:t>
      </w:r>
      <w:r w:rsidRPr="00C83488">
        <w:rPr>
          <w:rFonts w:ascii="Lora" w:hAnsi="Lora"/>
          <w:i/>
          <w:iCs/>
        </w:rPr>
        <w:t>IEEE Software</w:t>
      </w:r>
      <w:r w:rsidRPr="00C83488">
        <w:rPr>
          <w:rFonts w:ascii="Lora" w:hAnsi="Lora"/>
        </w:rPr>
        <w:t xml:space="preserve">, vol. 32, no. 5, pp. 46–53, 2015. [Online]. Available: </w:t>
      </w:r>
      <w:hyperlink r:id="rId9" w:tgtFrame="_new" w:history="1">
        <w:r w:rsidRPr="00C83488">
          <w:rPr>
            <w:rStyle w:val="Hyperlink"/>
            <w:rFonts w:ascii="Lora" w:hAnsi="Lora"/>
          </w:rPr>
          <w:t>https://doi.org/10.1109/MS.2015.104</w:t>
        </w:r>
      </w:hyperlink>
    </w:p>
    <w:p w14:paraId="40735A54" w14:textId="4B489428" w:rsidR="00C83488" w:rsidRPr="00C83488" w:rsidRDefault="00C83488" w:rsidP="00C83488">
      <w:pPr>
        <w:rPr>
          <w:rFonts w:ascii="Lora" w:hAnsi="Lora"/>
          <w:b/>
          <w:bCs/>
          <w:sz w:val="26"/>
          <w:szCs w:val="26"/>
        </w:rPr>
      </w:pPr>
      <w:r w:rsidRPr="00C83488">
        <w:rPr>
          <w:rFonts w:ascii="Lora" w:hAnsi="Lora"/>
          <w:b/>
          <w:bCs/>
          <w:sz w:val="26"/>
          <w:szCs w:val="26"/>
        </w:rPr>
        <w:t>Contextualized Literature and Research Material</w:t>
      </w:r>
    </w:p>
    <w:p w14:paraId="245D0DD4" w14:textId="628BCECB" w:rsidR="00C83488" w:rsidRPr="00975736" w:rsidRDefault="00C83488" w:rsidP="00C83488">
      <w:pPr>
        <w:rPr>
          <w:rFonts w:ascii="Lora" w:hAnsi="Lora"/>
        </w:rPr>
      </w:pPr>
      <w:r w:rsidRPr="00C83488">
        <w:rPr>
          <w:rFonts w:ascii="Lora" w:hAnsi="Lora"/>
        </w:rPr>
        <w:t>Recent methodologies in GUI detection research prioritize dee</w:t>
      </w:r>
      <w:r w:rsidRPr="00975736">
        <w:rPr>
          <w:rFonts w:ascii="Lora" w:hAnsi="Lora"/>
        </w:rPr>
        <w:t xml:space="preserve">p </w:t>
      </w:r>
      <w:r w:rsidRPr="00C83488">
        <w:rPr>
          <w:rFonts w:ascii="Lora" w:hAnsi="Lora"/>
        </w:rPr>
        <w:t xml:space="preserve">learning techniques due to their demonstrated superior performance over traditional methods. Researchers commonly adopt structured experimental designs, ensuring rigorous quantitative evaluation through standardized benchmarks </w:t>
      </w:r>
      <w:r w:rsidRPr="00975736">
        <w:rPr>
          <w:rFonts w:ascii="Lora" w:hAnsi="Lora"/>
        </w:rPr>
        <w:t xml:space="preserve">such as </w:t>
      </w:r>
      <w:r w:rsidRPr="00C83488">
        <w:rPr>
          <w:rFonts w:ascii="Lora" w:hAnsi="Lora"/>
        </w:rPr>
        <w:t>accuracy, precision, recall,</w:t>
      </w:r>
      <w:r w:rsidRPr="00975736">
        <w:rPr>
          <w:rFonts w:ascii="Lora" w:hAnsi="Lora"/>
        </w:rPr>
        <w:t xml:space="preserve"> and</w:t>
      </w:r>
      <w:r w:rsidRPr="00C83488">
        <w:rPr>
          <w:rFonts w:ascii="Lora" w:hAnsi="Lora"/>
        </w:rPr>
        <w:t xml:space="preserve"> processing speed. </w:t>
      </w:r>
      <w:r w:rsidRPr="00975736">
        <w:rPr>
          <w:rFonts w:ascii="Lora" w:hAnsi="Lora"/>
        </w:rPr>
        <w:t>Q</w:t>
      </w:r>
      <w:r w:rsidRPr="00C83488">
        <w:rPr>
          <w:rFonts w:ascii="Lora" w:hAnsi="Lora"/>
        </w:rPr>
        <w:t>ualitative validation</w:t>
      </w:r>
      <w:r w:rsidRPr="00975736">
        <w:rPr>
          <w:rFonts w:ascii="Lora" w:hAnsi="Lora"/>
        </w:rPr>
        <w:t xml:space="preserve"> such as </w:t>
      </w:r>
      <w:r w:rsidRPr="00C83488">
        <w:rPr>
          <w:rFonts w:ascii="Lora" w:hAnsi="Lora"/>
        </w:rPr>
        <w:t>visual inspection is included to contextualize quantitative findings, thus providing insights relevant to practical applications and usability in software engineering.</w:t>
      </w:r>
    </w:p>
    <w:p w14:paraId="2FFFABF5" w14:textId="77777777" w:rsidR="00975736" w:rsidRPr="00975736" w:rsidRDefault="00975736" w:rsidP="00C83488">
      <w:pPr>
        <w:rPr>
          <w:rFonts w:ascii="Lora" w:hAnsi="Lora"/>
        </w:rPr>
      </w:pPr>
    </w:p>
    <w:p w14:paraId="5BA4F8FF" w14:textId="77777777" w:rsidR="00975736" w:rsidRPr="00975736" w:rsidRDefault="00975736" w:rsidP="00C83488">
      <w:pPr>
        <w:rPr>
          <w:rFonts w:ascii="Lora" w:hAnsi="Lora"/>
        </w:rPr>
      </w:pPr>
    </w:p>
    <w:p w14:paraId="597F586C" w14:textId="77777777" w:rsidR="00975736" w:rsidRPr="00975736" w:rsidRDefault="00975736" w:rsidP="00C83488">
      <w:pPr>
        <w:rPr>
          <w:rFonts w:ascii="Lora" w:hAnsi="Lora"/>
        </w:rPr>
      </w:pPr>
    </w:p>
    <w:p w14:paraId="351F84FD" w14:textId="77777777" w:rsidR="00975736" w:rsidRDefault="00975736" w:rsidP="00C83488">
      <w:pPr>
        <w:rPr>
          <w:rFonts w:ascii="Lora" w:hAnsi="Lora"/>
        </w:rPr>
      </w:pPr>
    </w:p>
    <w:p w14:paraId="1F4E8A52" w14:textId="77777777" w:rsidR="005F12C4" w:rsidRDefault="005F12C4" w:rsidP="00C83488">
      <w:pPr>
        <w:rPr>
          <w:rFonts w:ascii="Lora" w:hAnsi="Lora"/>
        </w:rPr>
      </w:pPr>
    </w:p>
    <w:p w14:paraId="3466EA46" w14:textId="77777777" w:rsidR="005F12C4" w:rsidRDefault="005F12C4" w:rsidP="00C83488">
      <w:pPr>
        <w:rPr>
          <w:rFonts w:ascii="Lora" w:hAnsi="Lora"/>
        </w:rPr>
      </w:pPr>
    </w:p>
    <w:p w14:paraId="1E732498" w14:textId="77777777" w:rsidR="005F12C4" w:rsidRPr="00975736" w:rsidRDefault="005F12C4" w:rsidP="00C83488">
      <w:pPr>
        <w:rPr>
          <w:rFonts w:ascii="Lora" w:hAnsi="Lora"/>
        </w:rPr>
      </w:pPr>
    </w:p>
    <w:p w14:paraId="7AD35D06" w14:textId="77777777" w:rsidR="00975736" w:rsidRPr="00975736" w:rsidRDefault="00975736" w:rsidP="00C83488">
      <w:pPr>
        <w:rPr>
          <w:rFonts w:ascii="Lora" w:hAnsi="Lora"/>
        </w:rPr>
      </w:pPr>
    </w:p>
    <w:p w14:paraId="5CBE21CC" w14:textId="77777777" w:rsidR="00975736" w:rsidRPr="00C83488" w:rsidRDefault="00975736" w:rsidP="00C83488">
      <w:pPr>
        <w:rPr>
          <w:rFonts w:ascii="Lora" w:hAnsi="Lora"/>
        </w:rPr>
      </w:pPr>
    </w:p>
    <w:p w14:paraId="20E8322B" w14:textId="3237E753" w:rsidR="00C83488" w:rsidRPr="00C83488" w:rsidRDefault="00C83488" w:rsidP="00C83488">
      <w:pPr>
        <w:rPr>
          <w:rFonts w:ascii="Lora" w:hAnsi="Lora"/>
          <w:b/>
          <w:bCs/>
          <w:sz w:val="26"/>
          <w:szCs w:val="26"/>
        </w:rPr>
      </w:pPr>
      <w:r w:rsidRPr="00C83488">
        <w:rPr>
          <w:rFonts w:ascii="Lora" w:hAnsi="Lora"/>
          <w:b/>
          <w:bCs/>
          <w:sz w:val="26"/>
          <w:szCs w:val="26"/>
        </w:rPr>
        <w:lastRenderedPageBreak/>
        <w:t>Critical Literature Arguments (Comparison, Contrast, and Knowledge Gaps)</w:t>
      </w:r>
    </w:p>
    <w:p w14:paraId="06D95F49" w14:textId="001E224F" w:rsidR="00C83488" w:rsidRPr="00C83488" w:rsidRDefault="00C83488" w:rsidP="00C83488">
      <w:pPr>
        <w:rPr>
          <w:rFonts w:ascii="Lora" w:hAnsi="Lora"/>
        </w:rPr>
      </w:pPr>
      <w:r w:rsidRPr="00C83488">
        <w:rPr>
          <w:rFonts w:ascii="Lora" w:hAnsi="Lora"/>
        </w:rPr>
        <w:t xml:space="preserve">Studies by Daneshvar and Wang [1] and Zhao et al. [4] primarily adopt quantitative benchmarks, offering objective empirical validations but often omit deeper qualitative insights into practical usability. Conversely, Chen et al. [2] and Gu et al. [3] </w:t>
      </w:r>
      <w:r w:rsidRPr="00975736">
        <w:rPr>
          <w:rFonts w:ascii="Lora" w:hAnsi="Lora"/>
        </w:rPr>
        <w:t>integrated</w:t>
      </w:r>
      <w:r w:rsidRPr="00C83488">
        <w:rPr>
          <w:rFonts w:ascii="Lora" w:hAnsi="Lora"/>
        </w:rPr>
        <w:t xml:space="preserve"> quantitative performance analysis with qualitative visual validations, providing comprehensive evaluations yet these studies do not thoroughly explore the adaptability of models across different GUI complexities and platforms.</w:t>
      </w:r>
    </w:p>
    <w:p w14:paraId="5136C628" w14:textId="68CBB12A" w:rsidR="00975736" w:rsidRPr="00975736" w:rsidRDefault="00C83488" w:rsidP="00C83488">
      <w:pPr>
        <w:rPr>
          <w:rFonts w:ascii="Lora" w:hAnsi="Lora"/>
        </w:rPr>
      </w:pPr>
      <w:r w:rsidRPr="00C83488">
        <w:rPr>
          <w:rFonts w:ascii="Lora" w:hAnsi="Lora"/>
        </w:rPr>
        <w:t>Amalfitano et al. [5] focused on AI</w:t>
      </w:r>
      <w:r w:rsidRPr="00975736">
        <w:rPr>
          <w:rFonts w:ascii="Lora" w:hAnsi="Lora"/>
        </w:rPr>
        <w:t xml:space="preserve"> </w:t>
      </w:r>
      <w:r w:rsidRPr="00C83488">
        <w:rPr>
          <w:rFonts w:ascii="Lora" w:hAnsi="Lora"/>
        </w:rPr>
        <w:t>driven automation but limited their scope primarily to structured and simplified GUI scenarios. The practical adaptability of GUI detection models to dynamically changing and complex interfaces remains less addressed. This creates a knowledge gap offering a valuable direction for future research to explore GUI model robustness and adaptability across diverse contexts and environments.</w:t>
      </w:r>
    </w:p>
    <w:p w14:paraId="4058B2C4" w14:textId="7124F63B" w:rsidR="00975736" w:rsidRPr="00975736" w:rsidRDefault="00975736" w:rsidP="00C83488">
      <w:pPr>
        <w:rPr>
          <w:rFonts w:ascii="Lora" w:hAnsi="Lora"/>
          <w:sz w:val="36"/>
          <w:szCs w:val="36"/>
        </w:rPr>
      </w:pPr>
      <w:r w:rsidRPr="00975736">
        <w:rPr>
          <w:rFonts w:ascii="Lora" w:hAnsi="Lora"/>
          <w:b/>
          <w:bCs/>
          <w:sz w:val="36"/>
          <w:szCs w:val="36"/>
        </w:rPr>
        <w:t>Construct a Literature Map.</w:t>
      </w:r>
    </w:p>
    <w:p w14:paraId="0B989DCD" w14:textId="34A98EE9" w:rsidR="00975736" w:rsidRPr="00975736" w:rsidRDefault="00975736" w:rsidP="00C83488">
      <w:pPr>
        <w:rPr>
          <w:rFonts w:ascii="Lora" w:hAnsi="Lora"/>
        </w:rPr>
      </w:pPr>
      <w:r w:rsidRPr="00975736">
        <w:rPr>
          <w:rFonts w:ascii="Lora" w:hAnsi="Lora"/>
          <w:noProof/>
        </w:rPr>
        <w:drawing>
          <wp:inline distT="0" distB="0" distL="0" distR="0" wp14:anchorId="192F2408" wp14:editId="7E01B18B">
            <wp:extent cx="4848447" cy="5551385"/>
            <wp:effectExtent l="0" t="0" r="0" b="0"/>
            <wp:docPr id="165385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219" cy="5592343"/>
                    </a:xfrm>
                    <a:prstGeom prst="rect">
                      <a:avLst/>
                    </a:prstGeom>
                    <a:noFill/>
                    <a:ln>
                      <a:noFill/>
                    </a:ln>
                  </pic:spPr>
                </pic:pic>
              </a:graphicData>
            </a:graphic>
          </wp:inline>
        </w:drawing>
      </w:r>
    </w:p>
    <w:p w14:paraId="2E975991" w14:textId="1F426982" w:rsidR="00975736" w:rsidRPr="00975736" w:rsidRDefault="00975736" w:rsidP="00975736">
      <w:pPr>
        <w:rPr>
          <w:rFonts w:ascii="Lora" w:hAnsi="Lora"/>
          <w:b/>
          <w:bCs/>
          <w:sz w:val="26"/>
          <w:szCs w:val="26"/>
        </w:rPr>
      </w:pPr>
      <w:r w:rsidRPr="00975736">
        <w:rPr>
          <w:rFonts w:ascii="Lora" w:hAnsi="Lora"/>
          <w:b/>
          <w:bCs/>
          <w:sz w:val="26"/>
          <w:szCs w:val="26"/>
        </w:rPr>
        <w:lastRenderedPageBreak/>
        <w:t>Literature Map Explanation</w:t>
      </w:r>
    </w:p>
    <w:p w14:paraId="7F53EB4F" w14:textId="5F531850" w:rsidR="00975736" w:rsidRPr="00975736" w:rsidRDefault="00975736" w:rsidP="00975736">
      <w:pPr>
        <w:rPr>
          <w:rFonts w:ascii="Lora" w:hAnsi="Lora"/>
        </w:rPr>
      </w:pPr>
      <w:r w:rsidRPr="00975736">
        <w:rPr>
          <w:rFonts w:ascii="Lora" w:hAnsi="Lora"/>
        </w:rPr>
        <w:t>The structured map presents three key methodological branches identified from previous research: Deep Learning, Hybrid Approaches, and Reinforcement Learning. Each branch details the methodologies, validation methods, and types of data gathered by previous studies, clearly linked by labelled relationships.</w:t>
      </w:r>
    </w:p>
    <w:p w14:paraId="51773B85" w14:textId="77777777" w:rsidR="00975736" w:rsidRPr="00975736" w:rsidRDefault="00975736" w:rsidP="00975736">
      <w:pPr>
        <w:rPr>
          <w:rFonts w:ascii="Lora" w:hAnsi="Lora"/>
          <w:b/>
          <w:bCs/>
        </w:rPr>
      </w:pPr>
      <w:r w:rsidRPr="00975736">
        <w:rPr>
          <w:rFonts w:ascii="Lora" w:hAnsi="Lora"/>
          <w:b/>
          <w:bCs/>
        </w:rPr>
        <w:t>Deep Learning</w:t>
      </w:r>
    </w:p>
    <w:p w14:paraId="6633470A" w14:textId="77777777" w:rsidR="00975736" w:rsidRPr="00975736" w:rsidRDefault="00975736" w:rsidP="00975736">
      <w:pPr>
        <w:numPr>
          <w:ilvl w:val="0"/>
          <w:numId w:val="2"/>
        </w:numPr>
        <w:rPr>
          <w:rFonts w:ascii="Lora" w:hAnsi="Lora"/>
        </w:rPr>
      </w:pPr>
      <w:r w:rsidRPr="00975736">
        <w:rPr>
          <w:rFonts w:ascii="Lora" w:hAnsi="Lora"/>
          <w:b/>
          <w:bCs/>
        </w:rPr>
        <w:t>Daneshvar and Wang (2024)</w:t>
      </w:r>
      <w:r w:rsidRPr="00975736">
        <w:rPr>
          <w:rFonts w:ascii="Lora" w:hAnsi="Lora"/>
        </w:rPr>
        <w:t xml:space="preserve"> employ YOLO-based deep learning models, emphasizing robust quantitative metrics such as accuracy, recall, and precision. They systematically benchmark their results against standard datasets, validating their hypothesis on GUI detection effectiveness through empirical data [1].</w:t>
      </w:r>
    </w:p>
    <w:p w14:paraId="58392FC9" w14:textId="77777777" w:rsidR="00975736" w:rsidRPr="00975736" w:rsidRDefault="00975736" w:rsidP="00975736">
      <w:pPr>
        <w:rPr>
          <w:rFonts w:ascii="Lora" w:hAnsi="Lora"/>
          <w:b/>
          <w:bCs/>
        </w:rPr>
      </w:pPr>
      <w:r w:rsidRPr="00975736">
        <w:rPr>
          <w:rFonts w:ascii="Lora" w:hAnsi="Lora"/>
          <w:b/>
          <w:bCs/>
        </w:rPr>
        <w:t>Hybrid Approaches</w:t>
      </w:r>
    </w:p>
    <w:p w14:paraId="24EB141A" w14:textId="7E452270" w:rsidR="00975736" w:rsidRPr="00975736" w:rsidRDefault="00975736" w:rsidP="00975736">
      <w:pPr>
        <w:numPr>
          <w:ilvl w:val="0"/>
          <w:numId w:val="3"/>
        </w:numPr>
        <w:rPr>
          <w:rFonts w:ascii="Lora" w:hAnsi="Lora"/>
        </w:rPr>
      </w:pPr>
      <w:r w:rsidRPr="00975736">
        <w:rPr>
          <w:rFonts w:ascii="Lora" w:hAnsi="Lora"/>
          <w:b/>
          <w:bCs/>
        </w:rPr>
        <w:t>Chen et al. (2020)</w:t>
      </w:r>
      <w:r w:rsidRPr="00975736">
        <w:rPr>
          <w:rFonts w:ascii="Lora" w:hAnsi="Lora"/>
        </w:rPr>
        <w:t xml:space="preserve"> adopted a methodology combining traditional image processing and deep learning methods, providing balanced quantitative and qualitative assessments. Their approach notably includes visual validation, bridging theoretical accuracy and real</w:t>
      </w:r>
      <w:r w:rsidRPr="00975736">
        <w:rPr>
          <w:rFonts w:ascii="Lora" w:hAnsi="Lora"/>
        </w:rPr>
        <w:t xml:space="preserve"> </w:t>
      </w:r>
      <w:r w:rsidRPr="00975736">
        <w:rPr>
          <w:rFonts w:ascii="Lora" w:hAnsi="Lora"/>
        </w:rPr>
        <w:t>world applicability [2].</w:t>
      </w:r>
    </w:p>
    <w:p w14:paraId="696EFA5E" w14:textId="77777777" w:rsidR="00975736" w:rsidRPr="00975736" w:rsidRDefault="00975736" w:rsidP="00975736">
      <w:pPr>
        <w:rPr>
          <w:rFonts w:ascii="Lora" w:hAnsi="Lora"/>
          <w:b/>
          <w:bCs/>
        </w:rPr>
      </w:pPr>
      <w:r w:rsidRPr="00975736">
        <w:rPr>
          <w:rFonts w:ascii="Lora" w:hAnsi="Lora"/>
          <w:b/>
          <w:bCs/>
        </w:rPr>
        <w:t>Reinforcement Learning</w:t>
      </w:r>
    </w:p>
    <w:p w14:paraId="6187C894" w14:textId="77777777" w:rsidR="00975736" w:rsidRPr="00975736" w:rsidRDefault="00975736" w:rsidP="00975736">
      <w:pPr>
        <w:numPr>
          <w:ilvl w:val="0"/>
          <w:numId w:val="4"/>
        </w:numPr>
        <w:rPr>
          <w:rFonts w:ascii="Lora" w:hAnsi="Lora"/>
        </w:rPr>
      </w:pPr>
      <w:r w:rsidRPr="00975736">
        <w:rPr>
          <w:rFonts w:ascii="Lora" w:hAnsi="Lora"/>
          <w:b/>
          <w:bCs/>
        </w:rPr>
        <w:t>Zhao et al. (2022)</w:t>
      </w:r>
      <w:r w:rsidRPr="00975736">
        <w:rPr>
          <w:rFonts w:ascii="Lora" w:hAnsi="Lora"/>
        </w:rPr>
        <w:t xml:space="preserve"> introduced fully automated GUI testing through reinforcement learning. Their research methodology prioritised quantitative metrics focusing on accuracy and efficiency, rigorously validated through controlled empirical scenarios [3].</w:t>
      </w:r>
    </w:p>
    <w:p w14:paraId="3126CD34" w14:textId="77777777" w:rsidR="00975736" w:rsidRPr="00975736" w:rsidRDefault="00975736" w:rsidP="00975736">
      <w:pPr>
        <w:rPr>
          <w:rFonts w:ascii="Lora" w:hAnsi="Lora"/>
          <w:b/>
          <w:bCs/>
        </w:rPr>
      </w:pPr>
      <w:r w:rsidRPr="00975736">
        <w:rPr>
          <w:rFonts w:ascii="Lora" w:hAnsi="Lora"/>
          <w:b/>
          <w:bCs/>
        </w:rPr>
        <w:t>Knowledge Gap</w:t>
      </w:r>
    </w:p>
    <w:p w14:paraId="2F243F63" w14:textId="6D034CA1" w:rsidR="00975736" w:rsidRPr="00975736" w:rsidRDefault="00975736" w:rsidP="00975736">
      <w:pPr>
        <w:numPr>
          <w:ilvl w:val="0"/>
          <w:numId w:val="5"/>
        </w:numPr>
        <w:rPr>
          <w:rFonts w:ascii="Lora" w:hAnsi="Lora"/>
        </w:rPr>
      </w:pPr>
      <w:r w:rsidRPr="00975736">
        <w:rPr>
          <w:rFonts w:ascii="Lora" w:hAnsi="Lora"/>
        </w:rPr>
        <w:t xml:space="preserve">The literature review identifies a critical knowledge gap: </w:t>
      </w:r>
      <w:r w:rsidRPr="00975736">
        <w:rPr>
          <w:rFonts w:ascii="Lora" w:hAnsi="Lora"/>
          <w:b/>
          <w:bCs/>
        </w:rPr>
        <w:t>limited adaptability across diverse GUI complexities and types</w:t>
      </w:r>
      <w:r w:rsidRPr="00975736">
        <w:rPr>
          <w:rFonts w:ascii="Lora" w:hAnsi="Lora"/>
        </w:rPr>
        <w:t xml:space="preserve">, highlighted by research from </w:t>
      </w:r>
      <w:r w:rsidRPr="00975736">
        <w:rPr>
          <w:rFonts w:ascii="Lora" w:hAnsi="Lora"/>
          <w:b/>
          <w:bCs/>
        </w:rPr>
        <w:t>Gu et al. (2023)</w:t>
      </w:r>
      <w:r w:rsidRPr="00975736">
        <w:rPr>
          <w:rFonts w:ascii="Lora" w:hAnsi="Lora"/>
        </w:rPr>
        <w:t xml:space="preserve"> [4] and </w:t>
      </w:r>
      <w:r w:rsidRPr="00975736">
        <w:rPr>
          <w:rFonts w:ascii="Lora" w:hAnsi="Lora"/>
          <w:b/>
          <w:bCs/>
        </w:rPr>
        <w:t>Amalfitano et al. (2015)</w:t>
      </w:r>
      <w:r w:rsidRPr="00975736">
        <w:rPr>
          <w:rFonts w:ascii="Lora" w:hAnsi="Lora"/>
        </w:rPr>
        <w:t xml:space="preserve"> [5]. Despite robust quantitative analyses, existing studies have not fully addressed adaptability to complex and dynamic interface variations. This gap underscores the potential for future research to explore and validate models in more diverse and practical scenarios.</w:t>
      </w:r>
    </w:p>
    <w:p w14:paraId="33563839" w14:textId="77777777" w:rsidR="00975736" w:rsidRPr="00975736" w:rsidRDefault="00975736" w:rsidP="00975736">
      <w:pPr>
        <w:rPr>
          <w:rFonts w:ascii="Lora" w:hAnsi="Lora"/>
        </w:rPr>
      </w:pPr>
    </w:p>
    <w:p w14:paraId="5C5EBD51" w14:textId="77777777" w:rsidR="00975736" w:rsidRPr="00975736" w:rsidRDefault="00975736" w:rsidP="00975736">
      <w:pPr>
        <w:rPr>
          <w:rFonts w:ascii="Lora" w:hAnsi="Lora"/>
        </w:rPr>
      </w:pPr>
    </w:p>
    <w:p w14:paraId="236DB2D6" w14:textId="77777777" w:rsidR="00975736" w:rsidRPr="00975736" w:rsidRDefault="00975736" w:rsidP="00975736">
      <w:pPr>
        <w:rPr>
          <w:rFonts w:ascii="Lora" w:hAnsi="Lora"/>
        </w:rPr>
      </w:pPr>
    </w:p>
    <w:p w14:paraId="3B4CA714" w14:textId="77777777" w:rsidR="00975736" w:rsidRPr="00975736" w:rsidRDefault="00975736" w:rsidP="00975736">
      <w:pPr>
        <w:rPr>
          <w:rFonts w:ascii="Lora" w:hAnsi="Lora"/>
        </w:rPr>
      </w:pPr>
    </w:p>
    <w:p w14:paraId="05EDDABD" w14:textId="77777777" w:rsidR="00975736" w:rsidRPr="00975736" w:rsidRDefault="00975736" w:rsidP="00975736">
      <w:pPr>
        <w:rPr>
          <w:rFonts w:ascii="Lora" w:hAnsi="Lora"/>
        </w:rPr>
      </w:pPr>
    </w:p>
    <w:p w14:paraId="7907F771" w14:textId="77777777" w:rsidR="00975736" w:rsidRPr="00975736" w:rsidRDefault="00975736" w:rsidP="00975736">
      <w:pPr>
        <w:rPr>
          <w:rFonts w:ascii="Lora" w:hAnsi="Lora"/>
        </w:rPr>
      </w:pPr>
    </w:p>
    <w:p w14:paraId="1790B6D9" w14:textId="77777777" w:rsidR="00975736" w:rsidRPr="00975736" w:rsidRDefault="00975736" w:rsidP="00975736">
      <w:pPr>
        <w:rPr>
          <w:rFonts w:ascii="Lora" w:hAnsi="Lora"/>
        </w:rPr>
      </w:pPr>
    </w:p>
    <w:p w14:paraId="5550DE26" w14:textId="073E1235" w:rsidR="00975736" w:rsidRPr="00975736" w:rsidRDefault="00975736" w:rsidP="00975736">
      <w:pPr>
        <w:rPr>
          <w:rFonts w:ascii="Lora" w:hAnsi="Lora"/>
        </w:rPr>
      </w:pPr>
    </w:p>
    <w:p w14:paraId="7382280B" w14:textId="77777777" w:rsidR="00975736" w:rsidRPr="00975736" w:rsidRDefault="00975736" w:rsidP="00975736">
      <w:pPr>
        <w:rPr>
          <w:rFonts w:ascii="Lora" w:hAnsi="Lora"/>
        </w:rPr>
      </w:pPr>
    </w:p>
    <w:p w14:paraId="1CA081B9" w14:textId="77777777" w:rsidR="00975736" w:rsidRPr="00975736" w:rsidRDefault="00975736" w:rsidP="00975736">
      <w:pPr>
        <w:rPr>
          <w:rFonts w:ascii="Lora" w:hAnsi="Lora"/>
          <w:b/>
          <w:bCs/>
          <w:sz w:val="26"/>
          <w:szCs w:val="26"/>
        </w:rPr>
      </w:pPr>
      <w:r w:rsidRPr="00975736">
        <w:rPr>
          <w:rFonts w:ascii="Lora" w:hAnsi="Lora"/>
          <w:b/>
          <w:bCs/>
          <w:sz w:val="26"/>
          <w:szCs w:val="26"/>
        </w:rPr>
        <w:lastRenderedPageBreak/>
        <w:t>References</w:t>
      </w:r>
    </w:p>
    <w:p w14:paraId="549D57FE" w14:textId="77777777" w:rsidR="00975736" w:rsidRPr="00975736" w:rsidRDefault="00975736" w:rsidP="00975736">
      <w:pPr>
        <w:rPr>
          <w:rFonts w:ascii="Lora" w:hAnsi="Lora"/>
        </w:rPr>
      </w:pPr>
      <w:r w:rsidRPr="00975736">
        <w:rPr>
          <w:rFonts w:ascii="Lora" w:hAnsi="Lora"/>
        </w:rPr>
        <w:t xml:space="preserve">[1] S. S. Daneshvar and S. Wang, "GUI Element Detection Using SOTA YOLO Deep Learning Models," </w:t>
      </w:r>
      <w:proofErr w:type="spellStart"/>
      <w:r w:rsidRPr="00975736">
        <w:rPr>
          <w:rFonts w:ascii="Lora" w:hAnsi="Lora"/>
          <w:i/>
          <w:iCs/>
        </w:rPr>
        <w:t>arXiv</w:t>
      </w:r>
      <w:proofErr w:type="spellEnd"/>
      <w:r w:rsidRPr="00975736">
        <w:rPr>
          <w:rFonts w:ascii="Lora" w:hAnsi="Lora"/>
          <w:i/>
          <w:iCs/>
        </w:rPr>
        <w:t xml:space="preserve"> preprint arXiv:2408.03507</w:t>
      </w:r>
      <w:r w:rsidRPr="00975736">
        <w:rPr>
          <w:rFonts w:ascii="Lora" w:hAnsi="Lora"/>
        </w:rPr>
        <w:t xml:space="preserve">, 2024. [Online]. Available: </w:t>
      </w:r>
      <w:hyperlink r:id="rId11" w:tgtFrame="_new" w:history="1">
        <w:r w:rsidRPr="00975736">
          <w:rPr>
            <w:rStyle w:val="Hyperlink"/>
            <w:rFonts w:ascii="Lora" w:hAnsi="Lora"/>
          </w:rPr>
          <w:t>https://arxiv.org/abs/2408.03507</w:t>
        </w:r>
      </w:hyperlink>
    </w:p>
    <w:p w14:paraId="3345978C" w14:textId="77777777" w:rsidR="00975736" w:rsidRPr="00975736" w:rsidRDefault="00975736" w:rsidP="00975736">
      <w:pPr>
        <w:rPr>
          <w:rFonts w:ascii="Lora" w:hAnsi="Lora"/>
        </w:rPr>
      </w:pPr>
      <w:r w:rsidRPr="00975736">
        <w:rPr>
          <w:rFonts w:ascii="Lora" w:hAnsi="Lora"/>
        </w:rPr>
        <w:t xml:space="preserve">[2] Z. Chen, X. Xiao, and S. Gao, "Object Detection for Graphical User Interface: Old Fashioned or Deep Learning or a Combination?," </w:t>
      </w:r>
      <w:proofErr w:type="spellStart"/>
      <w:r w:rsidRPr="00975736">
        <w:rPr>
          <w:rFonts w:ascii="Lora" w:hAnsi="Lora"/>
          <w:i/>
          <w:iCs/>
        </w:rPr>
        <w:t>arXiv</w:t>
      </w:r>
      <w:proofErr w:type="spellEnd"/>
      <w:r w:rsidRPr="00975736">
        <w:rPr>
          <w:rFonts w:ascii="Lora" w:hAnsi="Lora"/>
          <w:i/>
          <w:iCs/>
        </w:rPr>
        <w:t xml:space="preserve"> preprint arXiv:2008.05132</w:t>
      </w:r>
      <w:r w:rsidRPr="00975736">
        <w:rPr>
          <w:rFonts w:ascii="Lora" w:hAnsi="Lora"/>
        </w:rPr>
        <w:t xml:space="preserve">, 2020. [Online]. Available: </w:t>
      </w:r>
      <w:hyperlink r:id="rId12" w:tgtFrame="_new" w:history="1">
        <w:r w:rsidRPr="00975736">
          <w:rPr>
            <w:rStyle w:val="Hyperlink"/>
            <w:rFonts w:ascii="Lora" w:hAnsi="Lora"/>
          </w:rPr>
          <w:t>https://arxiv.org/abs/2008.05132</w:t>
        </w:r>
      </w:hyperlink>
    </w:p>
    <w:p w14:paraId="0FD39B65" w14:textId="77777777" w:rsidR="00975736" w:rsidRPr="00975736" w:rsidRDefault="00975736" w:rsidP="00975736">
      <w:pPr>
        <w:rPr>
          <w:rFonts w:ascii="Lora" w:hAnsi="Lora"/>
        </w:rPr>
      </w:pPr>
      <w:r w:rsidRPr="00975736">
        <w:rPr>
          <w:rFonts w:ascii="Lora" w:hAnsi="Lora"/>
        </w:rPr>
        <w:t xml:space="preserve">[3] X. Zhao, Y. Cao, and M. Li, "Deep Reinforcement Learning for Automated GUI Testing," </w:t>
      </w:r>
      <w:r w:rsidRPr="00975736">
        <w:rPr>
          <w:rFonts w:ascii="Lora" w:hAnsi="Lora"/>
          <w:i/>
          <w:iCs/>
        </w:rPr>
        <w:t>IEEE Transactions on Software Engineering</w:t>
      </w:r>
      <w:r w:rsidRPr="00975736">
        <w:rPr>
          <w:rFonts w:ascii="Lora" w:hAnsi="Lora"/>
        </w:rPr>
        <w:t xml:space="preserve">, vol. 49, no. 5, pp. 1769–1784, 2022. [Online]. Available: </w:t>
      </w:r>
      <w:hyperlink r:id="rId13" w:tgtFrame="_new" w:history="1">
        <w:r w:rsidRPr="00975736">
          <w:rPr>
            <w:rStyle w:val="Hyperlink"/>
            <w:rFonts w:ascii="Lora" w:hAnsi="Lora"/>
          </w:rPr>
          <w:t>https://ieeexplore.ieee.org/document/9715282</w:t>
        </w:r>
      </w:hyperlink>
    </w:p>
    <w:p w14:paraId="43FD3ABF" w14:textId="77777777" w:rsidR="00975736" w:rsidRPr="00975736" w:rsidRDefault="00975736" w:rsidP="00975736">
      <w:pPr>
        <w:rPr>
          <w:rFonts w:ascii="Lora" w:hAnsi="Lora"/>
        </w:rPr>
      </w:pPr>
      <w:r w:rsidRPr="00975736">
        <w:rPr>
          <w:rFonts w:ascii="Lora" w:hAnsi="Lora"/>
        </w:rPr>
        <w:t xml:space="preserve">[4] Z. Gu et al., "Mobile User Interface Element Detection via Adaptively Prompt Tuning," </w:t>
      </w:r>
      <w:r w:rsidRPr="00975736">
        <w:rPr>
          <w:rFonts w:ascii="Lora" w:hAnsi="Lora"/>
          <w:i/>
          <w:iCs/>
        </w:rPr>
        <w:t>Proceedings of the IEEE/CVF Conference on Computer Vision and Pattern Recognition</w:t>
      </w:r>
      <w:r w:rsidRPr="00975736">
        <w:rPr>
          <w:rFonts w:ascii="Lora" w:hAnsi="Lora"/>
        </w:rPr>
        <w:t xml:space="preserve">, pp. 11155–11164, 2023. [Online]. Available: </w:t>
      </w:r>
      <w:hyperlink r:id="rId14" w:tgtFrame="_new" w:history="1">
        <w:r w:rsidRPr="00975736">
          <w:rPr>
            <w:rStyle w:val="Hyperlink"/>
            <w:rFonts w:ascii="Lora" w:hAnsi="Lora"/>
          </w:rPr>
          <w:t>https://openaccess.thecvf.com/content/CVPR2023/papers/Gu_Mobile_User_Interface_Element_Detection_via_Adaptively_Prompt_Tuning_CVPR_2023_paper.pdf</w:t>
        </w:r>
      </w:hyperlink>
    </w:p>
    <w:p w14:paraId="64C38F0C" w14:textId="77777777" w:rsidR="00975736" w:rsidRPr="00975736" w:rsidRDefault="00975736" w:rsidP="00975736">
      <w:pPr>
        <w:rPr>
          <w:rFonts w:ascii="Lora" w:hAnsi="Lora"/>
        </w:rPr>
      </w:pPr>
      <w:r w:rsidRPr="00975736">
        <w:rPr>
          <w:rFonts w:ascii="Lora" w:hAnsi="Lora"/>
        </w:rPr>
        <w:t xml:space="preserve">[5] D. Amalfitano, A. R. Fasolino, P. Tramontana, and N. Amatucci, "Using Artificial Intelligence to Automatically Test GUI," </w:t>
      </w:r>
      <w:r w:rsidRPr="00975736">
        <w:rPr>
          <w:rFonts w:ascii="Lora" w:hAnsi="Lora"/>
          <w:i/>
          <w:iCs/>
        </w:rPr>
        <w:t>IEEE Software</w:t>
      </w:r>
      <w:r w:rsidRPr="00975736">
        <w:rPr>
          <w:rFonts w:ascii="Lora" w:hAnsi="Lora"/>
        </w:rPr>
        <w:t xml:space="preserve">, vol. 32, no. 5, pp. 46–53, 2015. [Online]. Available: </w:t>
      </w:r>
      <w:hyperlink r:id="rId15" w:tgtFrame="_new" w:history="1">
        <w:r w:rsidRPr="00975736">
          <w:rPr>
            <w:rStyle w:val="Hyperlink"/>
            <w:rFonts w:ascii="Lora" w:hAnsi="Lora"/>
          </w:rPr>
          <w:t>https://doi.org/10.1109/MS.2015.104</w:t>
        </w:r>
      </w:hyperlink>
    </w:p>
    <w:p w14:paraId="441F881F" w14:textId="77777777" w:rsidR="00975736" w:rsidRPr="00975736" w:rsidRDefault="00975736" w:rsidP="00C83488">
      <w:pPr>
        <w:rPr>
          <w:rFonts w:ascii="Lora" w:hAnsi="Lora"/>
          <w:b/>
          <w:bCs/>
        </w:rPr>
      </w:pPr>
    </w:p>
    <w:p w14:paraId="37E17230" w14:textId="77777777" w:rsidR="00975736" w:rsidRPr="00975736" w:rsidRDefault="00975736" w:rsidP="00C83488">
      <w:pPr>
        <w:rPr>
          <w:rFonts w:ascii="Lora" w:hAnsi="Lora"/>
          <w:b/>
          <w:bCs/>
          <w:sz w:val="36"/>
          <w:szCs w:val="36"/>
        </w:rPr>
      </w:pPr>
    </w:p>
    <w:p w14:paraId="54271A13" w14:textId="77777777" w:rsidR="00C83488" w:rsidRPr="00975736" w:rsidRDefault="00C83488" w:rsidP="00C83488">
      <w:pPr>
        <w:rPr>
          <w:rFonts w:ascii="Lora" w:hAnsi="Lora"/>
          <w:b/>
          <w:bCs/>
          <w:sz w:val="36"/>
          <w:szCs w:val="36"/>
        </w:rPr>
      </w:pPr>
    </w:p>
    <w:p w14:paraId="1DC940B2" w14:textId="77777777" w:rsidR="00C83488" w:rsidRPr="00C83488" w:rsidRDefault="00C83488" w:rsidP="00C83488">
      <w:pPr>
        <w:rPr>
          <w:rFonts w:ascii="Lora" w:hAnsi="Lora"/>
          <w:b/>
          <w:bCs/>
        </w:rPr>
      </w:pPr>
    </w:p>
    <w:p w14:paraId="41589CDC" w14:textId="77777777" w:rsidR="00823359" w:rsidRPr="00975736" w:rsidRDefault="00823359">
      <w:pPr>
        <w:rPr>
          <w:rFonts w:ascii="Lora" w:hAnsi="Lora"/>
        </w:rPr>
      </w:pPr>
    </w:p>
    <w:sectPr w:rsidR="00823359" w:rsidRPr="0097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D3084"/>
    <w:multiLevelType w:val="multilevel"/>
    <w:tmpl w:val="C7B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24C5C"/>
    <w:multiLevelType w:val="multilevel"/>
    <w:tmpl w:val="3B0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11123"/>
    <w:multiLevelType w:val="multilevel"/>
    <w:tmpl w:val="57D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71F99"/>
    <w:multiLevelType w:val="multilevel"/>
    <w:tmpl w:val="C14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842F0"/>
    <w:multiLevelType w:val="multilevel"/>
    <w:tmpl w:val="493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658432">
    <w:abstractNumId w:val="0"/>
  </w:num>
  <w:num w:numId="2" w16cid:durableId="1624190871">
    <w:abstractNumId w:val="3"/>
  </w:num>
  <w:num w:numId="3" w16cid:durableId="320085916">
    <w:abstractNumId w:val="2"/>
  </w:num>
  <w:num w:numId="4" w16cid:durableId="1340624153">
    <w:abstractNumId w:val="1"/>
  </w:num>
  <w:num w:numId="5" w16cid:durableId="2038844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01"/>
    <w:rsid w:val="00300DF6"/>
    <w:rsid w:val="005F12C4"/>
    <w:rsid w:val="00704026"/>
    <w:rsid w:val="00823359"/>
    <w:rsid w:val="009668FE"/>
    <w:rsid w:val="00975736"/>
    <w:rsid w:val="00A83801"/>
    <w:rsid w:val="00B14B90"/>
    <w:rsid w:val="00C83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E9A0"/>
  <w15:chartTrackingRefBased/>
  <w15:docId w15:val="{5CC798F6-1E94-4C1E-BFA5-1999FA96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801"/>
    <w:rPr>
      <w:rFonts w:eastAsiaTheme="majorEastAsia" w:cstheme="majorBidi"/>
      <w:color w:val="272727" w:themeColor="text1" w:themeTint="D8"/>
    </w:rPr>
  </w:style>
  <w:style w:type="paragraph" w:styleId="Title">
    <w:name w:val="Title"/>
    <w:basedOn w:val="Normal"/>
    <w:next w:val="Normal"/>
    <w:link w:val="TitleChar"/>
    <w:uiPriority w:val="10"/>
    <w:qFormat/>
    <w:rsid w:val="00A83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801"/>
    <w:pPr>
      <w:spacing w:before="160"/>
      <w:jc w:val="center"/>
    </w:pPr>
    <w:rPr>
      <w:i/>
      <w:iCs/>
      <w:color w:val="404040" w:themeColor="text1" w:themeTint="BF"/>
    </w:rPr>
  </w:style>
  <w:style w:type="character" w:customStyle="1" w:styleId="QuoteChar">
    <w:name w:val="Quote Char"/>
    <w:basedOn w:val="DefaultParagraphFont"/>
    <w:link w:val="Quote"/>
    <w:uiPriority w:val="29"/>
    <w:rsid w:val="00A83801"/>
    <w:rPr>
      <w:i/>
      <w:iCs/>
      <w:color w:val="404040" w:themeColor="text1" w:themeTint="BF"/>
    </w:rPr>
  </w:style>
  <w:style w:type="paragraph" w:styleId="ListParagraph">
    <w:name w:val="List Paragraph"/>
    <w:basedOn w:val="Normal"/>
    <w:uiPriority w:val="34"/>
    <w:qFormat/>
    <w:rsid w:val="00A83801"/>
    <w:pPr>
      <w:ind w:left="720"/>
      <w:contextualSpacing/>
    </w:pPr>
  </w:style>
  <w:style w:type="character" w:styleId="IntenseEmphasis">
    <w:name w:val="Intense Emphasis"/>
    <w:basedOn w:val="DefaultParagraphFont"/>
    <w:uiPriority w:val="21"/>
    <w:qFormat/>
    <w:rsid w:val="00A83801"/>
    <w:rPr>
      <w:i/>
      <w:iCs/>
      <w:color w:val="0F4761" w:themeColor="accent1" w:themeShade="BF"/>
    </w:rPr>
  </w:style>
  <w:style w:type="paragraph" w:styleId="IntenseQuote">
    <w:name w:val="Intense Quote"/>
    <w:basedOn w:val="Normal"/>
    <w:next w:val="Normal"/>
    <w:link w:val="IntenseQuoteChar"/>
    <w:uiPriority w:val="30"/>
    <w:qFormat/>
    <w:rsid w:val="00A83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801"/>
    <w:rPr>
      <w:i/>
      <w:iCs/>
      <w:color w:val="0F4761" w:themeColor="accent1" w:themeShade="BF"/>
    </w:rPr>
  </w:style>
  <w:style w:type="character" w:styleId="IntenseReference">
    <w:name w:val="Intense Reference"/>
    <w:basedOn w:val="DefaultParagraphFont"/>
    <w:uiPriority w:val="32"/>
    <w:qFormat/>
    <w:rsid w:val="00A83801"/>
    <w:rPr>
      <w:b/>
      <w:bCs/>
      <w:smallCaps/>
      <w:color w:val="0F4761" w:themeColor="accent1" w:themeShade="BF"/>
      <w:spacing w:val="5"/>
    </w:rPr>
  </w:style>
  <w:style w:type="character" w:styleId="Hyperlink">
    <w:name w:val="Hyperlink"/>
    <w:basedOn w:val="DefaultParagraphFont"/>
    <w:uiPriority w:val="99"/>
    <w:unhideWhenUsed/>
    <w:rsid w:val="00C83488"/>
    <w:rPr>
      <w:color w:val="467886" w:themeColor="hyperlink"/>
      <w:u w:val="single"/>
    </w:rPr>
  </w:style>
  <w:style w:type="character" w:styleId="UnresolvedMention">
    <w:name w:val="Unresolved Mention"/>
    <w:basedOn w:val="DefaultParagraphFont"/>
    <w:uiPriority w:val="99"/>
    <w:semiHidden/>
    <w:unhideWhenUsed/>
    <w:rsid w:val="00C83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7666">
      <w:bodyDiv w:val="1"/>
      <w:marLeft w:val="0"/>
      <w:marRight w:val="0"/>
      <w:marTop w:val="0"/>
      <w:marBottom w:val="0"/>
      <w:divBdr>
        <w:top w:val="none" w:sz="0" w:space="0" w:color="auto"/>
        <w:left w:val="none" w:sz="0" w:space="0" w:color="auto"/>
        <w:bottom w:val="none" w:sz="0" w:space="0" w:color="auto"/>
        <w:right w:val="none" w:sz="0" w:space="0" w:color="auto"/>
      </w:divBdr>
    </w:div>
    <w:div w:id="187767609">
      <w:bodyDiv w:val="1"/>
      <w:marLeft w:val="0"/>
      <w:marRight w:val="0"/>
      <w:marTop w:val="0"/>
      <w:marBottom w:val="0"/>
      <w:divBdr>
        <w:top w:val="none" w:sz="0" w:space="0" w:color="auto"/>
        <w:left w:val="none" w:sz="0" w:space="0" w:color="auto"/>
        <w:bottom w:val="none" w:sz="0" w:space="0" w:color="auto"/>
        <w:right w:val="none" w:sz="0" w:space="0" w:color="auto"/>
      </w:divBdr>
    </w:div>
    <w:div w:id="624893149">
      <w:bodyDiv w:val="1"/>
      <w:marLeft w:val="0"/>
      <w:marRight w:val="0"/>
      <w:marTop w:val="0"/>
      <w:marBottom w:val="0"/>
      <w:divBdr>
        <w:top w:val="none" w:sz="0" w:space="0" w:color="auto"/>
        <w:left w:val="none" w:sz="0" w:space="0" w:color="auto"/>
        <w:bottom w:val="none" w:sz="0" w:space="0" w:color="auto"/>
        <w:right w:val="none" w:sz="0" w:space="0" w:color="auto"/>
      </w:divBdr>
    </w:div>
    <w:div w:id="722487414">
      <w:bodyDiv w:val="1"/>
      <w:marLeft w:val="0"/>
      <w:marRight w:val="0"/>
      <w:marTop w:val="0"/>
      <w:marBottom w:val="0"/>
      <w:divBdr>
        <w:top w:val="none" w:sz="0" w:space="0" w:color="auto"/>
        <w:left w:val="none" w:sz="0" w:space="0" w:color="auto"/>
        <w:bottom w:val="none" w:sz="0" w:space="0" w:color="auto"/>
        <w:right w:val="none" w:sz="0" w:space="0" w:color="auto"/>
      </w:divBdr>
    </w:div>
    <w:div w:id="877663407">
      <w:bodyDiv w:val="1"/>
      <w:marLeft w:val="0"/>
      <w:marRight w:val="0"/>
      <w:marTop w:val="0"/>
      <w:marBottom w:val="0"/>
      <w:divBdr>
        <w:top w:val="none" w:sz="0" w:space="0" w:color="auto"/>
        <w:left w:val="none" w:sz="0" w:space="0" w:color="auto"/>
        <w:bottom w:val="none" w:sz="0" w:space="0" w:color="auto"/>
        <w:right w:val="none" w:sz="0" w:space="0" w:color="auto"/>
      </w:divBdr>
    </w:div>
    <w:div w:id="10908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715282" TargetMode="External"/><Relationship Id="rId13" Type="http://schemas.openxmlformats.org/officeDocument/2006/relationships/hyperlink" Target="https://ieeexplore.ieee.org/document/9715282" TargetMode="External"/><Relationship Id="rId3" Type="http://schemas.openxmlformats.org/officeDocument/2006/relationships/settings" Target="settings.xml"/><Relationship Id="rId7" Type="http://schemas.openxmlformats.org/officeDocument/2006/relationships/hyperlink" Target="https://openaccess.thecvf.com/content/CVPR2023/papers/Gu_Mobile_User_Interface_Element_Detection_via_Adaptively_Prompt_Tuning_CVPR_2023_paper.pdf" TargetMode="External"/><Relationship Id="rId12" Type="http://schemas.openxmlformats.org/officeDocument/2006/relationships/hyperlink" Target="https://arxiv.org/abs/2008.051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008.05132" TargetMode="External"/><Relationship Id="rId11" Type="http://schemas.openxmlformats.org/officeDocument/2006/relationships/hyperlink" Target="https://arxiv.org/abs/2408.03507" TargetMode="External"/><Relationship Id="rId5" Type="http://schemas.openxmlformats.org/officeDocument/2006/relationships/hyperlink" Target="https://arxiv.org/abs/2408.03507" TargetMode="External"/><Relationship Id="rId15" Type="http://schemas.openxmlformats.org/officeDocument/2006/relationships/hyperlink" Target="https://doi.org/10.1109/MS.2015.10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109/MS.2015.104" TargetMode="External"/><Relationship Id="rId14" Type="http://schemas.openxmlformats.org/officeDocument/2006/relationships/hyperlink" Target="https://openaccess.thecvf.com/content/CVPR2023/papers/Gu_Mobile_User_Interface_Element_Detection_via_Adaptively_Prompt_Tuning_CVPR_2023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Bonello</dc:creator>
  <cp:keywords/>
  <dc:description/>
  <cp:lastModifiedBy>Liam Bonello</cp:lastModifiedBy>
  <cp:revision>12</cp:revision>
  <dcterms:created xsi:type="dcterms:W3CDTF">2025-03-07T12:44:00Z</dcterms:created>
  <dcterms:modified xsi:type="dcterms:W3CDTF">2025-03-07T14:37:00Z</dcterms:modified>
</cp:coreProperties>
</file>