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5633" w14:textId="7B6AA848" w:rsidR="003A6958" w:rsidRPr="003A6958" w:rsidRDefault="003A6958" w:rsidP="003A6958">
      <w:pPr>
        <w:pStyle w:val="NoSpacing"/>
        <w:rPr>
          <w:rStyle w:val="Hyperlink"/>
          <w:rFonts w:ascii="Arial" w:hAnsi="Arial" w:cs="Arial"/>
          <w:color w:val="auto"/>
          <w:sz w:val="24"/>
          <w:szCs w:val="24"/>
          <w:u w:val="none"/>
        </w:rPr>
      </w:pPr>
      <w:r>
        <w:rPr>
          <w:rStyle w:val="Hyperlink"/>
          <w:rFonts w:ascii="Arial" w:hAnsi="Arial" w:cs="Arial"/>
          <w:color w:val="auto"/>
          <w:sz w:val="24"/>
          <w:szCs w:val="24"/>
          <w:u w:val="none"/>
        </w:rPr>
        <w:t xml:space="preserve">On the following pages you will find a press release from the Western Association of Fish and Wildlife </w:t>
      </w:r>
      <w:r w:rsidR="003F0B76">
        <w:rPr>
          <w:rStyle w:val="Hyperlink"/>
          <w:rFonts w:ascii="Arial" w:hAnsi="Arial" w:cs="Arial"/>
          <w:color w:val="auto"/>
          <w:sz w:val="24"/>
          <w:szCs w:val="24"/>
          <w:u w:val="none"/>
        </w:rPr>
        <w:t>Agencies, WAFWA, which highlights results of a recent trend analysis they completed for greater sage-grouse range-wide. Below</w:t>
      </w:r>
      <w:r>
        <w:rPr>
          <w:rStyle w:val="Hyperlink"/>
          <w:rFonts w:ascii="Arial" w:hAnsi="Arial" w:cs="Arial"/>
          <w:color w:val="auto"/>
          <w:sz w:val="24"/>
          <w:szCs w:val="24"/>
          <w:u w:val="none"/>
        </w:rPr>
        <w:t xml:space="preserve"> is a figure showing the range-wide trends in sage-grouse lek counts from 1965-2015.  This is the population time series that is referenced throughout the following press release.  If you’d like to see the entire </w:t>
      </w:r>
      <w:proofErr w:type="gramStart"/>
      <w:r>
        <w:rPr>
          <w:rStyle w:val="Hyperlink"/>
          <w:rFonts w:ascii="Arial" w:hAnsi="Arial" w:cs="Arial"/>
          <w:color w:val="auto"/>
          <w:sz w:val="24"/>
          <w:szCs w:val="24"/>
          <w:u w:val="none"/>
        </w:rPr>
        <w:t>report</w:t>
      </w:r>
      <w:proofErr w:type="gramEnd"/>
      <w:r>
        <w:rPr>
          <w:rStyle w:val="Hyperlink"/>
          <w:rFonts w:ascii="Arial" w:hAnsi="Arial" w:cs="Arial"/>
          <w:color w:val="auto"/>
          <w:sz w:val="24"/>
          <w:szCs w:val="24"/>
          <w:u w:val="none"/>
        </w:rPr>
        <w:t xml:space="preserve"> I’ve also uploaded a pdf on the</w:t>
      </w:r>
      <w:r w:rsidR="00E77746">
        <w:rPr>
          <w:rStyle w:val="Hyperlink"/>
          <w:rFonts w:ascii="Arial" w:hAnsi="Arial" w:cs="Arial"/>
          <w:color w:val="auto"/>
          <w:sz w:val="24"/>
          <w:szCs w:val="24"/>
          <w:u w:val="none"/>
        </w:rPr>
        <w:t xml:space="preserve"> </w:t>
      </w:r>
      <w:r w:rsidR="00E77746" w:rsidRPr="00E77746">
        <w:rPr>
          <w:rStyle w:val="Hyperlink"/>
          <w:rFonts w:ascii="Arial" w:hAnsi="Arial" w:cs="Arial"/>
          <w:i/>
          <w:iCs/>
          <w:color w:val="auto"/>
          <w:sz w:val="24"/>
          <w:szCs w:val="24"/>
          <w:u w:val="none"/>
        </w:rPr>
        <w:t>Readings</w:t>
      </w:r>
      <w:r>
        <w:rPr>
          <w:rStyle w:val="Hyperlink"/>
          <w:rFonts w:ascii="Arial" w:hAnsi="Arial" w:cs="Arial"/>
          <w:color w:val="auto"/>
          <w:sz w:val="24"/>
          <w:szCs w:val="24"/>
          <w:u w:val="none"/>
        </w:rPr>
        <w:t xml:space="preserve"> page, however you should be able to complete the final question of the assignment using </w:t>
      </w:r>
      <w:r w:rsidR="003F0B76">
        <w:rPr>
          <w:rStyle w:val="Hyperlink"/>
          <w:rFonts w:ascii="Arial" w:hAnsi="Arial" w:cs="Arial"/>
          <w:color w:val="auto"/>
          <w:sz w:val="24"/>
          <w:szCs w:val="24"/>
          <w:u w:val="none"/>
        </w:rPr>
        <w:t>this only figure and the</w:t>
      </w:r>
      <w:r>
        <w:rPr>
          <w:rStyle w:val="Hyperlink"/>
          <w:rFonts w:ascii="Arial" w:hAnsi="Arial" w:cs="Arial"/>
          <w:color w:val="auto"/>
          <w:sz w:val="24"/>
          <w:szCs w:val="24"/>
          <w:u w:val="none"/>
        </w:rPr>
        <w:t xml:space="preserve"> press release.</w:t>
      </w:r>
    </w:p>
    <w:p w14:paraId="5EB5C189" w14:textId="77777777" w:rsidR="003A6958" w:rsidRDefault="003A6958" w:rsidP="003A6958">
      <w:pPr>
        <w:pStyle w:val="NoSpacing"/>
        <w:rPr>
          <w:rStyle w:val="Hyperlink"/>
          <w:color w:val="auto"/>
        </w:rPr>
      </w:pPr>
    </w:p>
    <w:p w14:paraId="4BBE153F" w14:textId="41D1CA59" w:rsidR="003A6958" w:rsidRDefault="003A6958" w:rsidP="00EE0BBF">
      <w:pPr>
        <w:pStyle w:val="NoSpacing"/>
        <w:rPr>
          <w:b/>
          <w:sz w:val="24"/>
          <w:szCs w:val="24"/>
        </w:rPr>
      </w:pPr>
      <w:r>
        <w:rPr>
          <w:noProof/>
        </w:rPr>
        <w:drawing>
          <wp:inline distT="0" distB="0" distL="0" distR="0" wp14:anchorId="284C8AAE" wp14:editId="3A5337B9">
            <wp:extent cx="5943600" cy="396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750"/>
                    </a:xfrm>
                    <a:prstGeom prst="rect">
                      <a:avLst/>
                    </a:prstGeom>
                  </pic:spPr>
                </pic:pic>
              </a:graphicData>
            </a:graphic>
          </wp:inline>
        </w:drawing>
      </w:r>
    </w:p>
    <w:p w14:paraId="7DCE8AE5" w14:textId="77777777" w:rsidR="003A6958" w:rsidRDefault="003A6958" w:rsidP="00EE0BBF">
      <w:pPr>
        <w:pStyle w:val="NoSpacing"/>
        <w:rPr>
          <w:b/>
          <w:sz w:val="24"/>
          <w:szCs w:val="24"/>
        </w:rPr>
      </w:pPr>
    </w:p>
    <w:p w14:paraId="258D7519" w14:textId="77777777" w:rsidR="003A6958" w:rsidRDefault="003A6958" w:rsidP="00EE0BBF">
      <w:pPr>
        <w:pStyle w:val="NoSpacing"/>
        <w:rPr>
          <w:b/>
          <w:sz w:val="24"/>
          <w:szCs w:val="24"/>
        </w:rPr>
      </w:pPr>
    </w:p>
    <w:p w14:paraId="028A0E51" w14:textId="77777777" w:rsidR="003A6958" w:rsidRDefault="003A6958" w:rsidP="00EE0BBF">
      <w:pPr>
        <w:pStyle w:val="NoSpacing"/>
        <w:rPr>
          <w:b/>
          <w:sz w:val="24"/>
          <w:szCs w:val="24"/>
        </w:rPr>
      </w:pPr>
    </w:p>
    <w:p w14:paraId="0553F49F" w14:textId="77777777" w:rsidR="003A6958" w:rsidRDefault="003A6958" w:rsidP="00EE0BBF">
      <w:pPr>
        <w:pStyle w:val="NoSpacing"/>
        <w:rPr>
          <w:b/>
          <w:sz w:val="24"/>
          <w:szCs w:val="24"/>
        </w:rPr>
      </w:pPr>
    </w:p>
    <w:p w14:paraId="00DC3E47" w14:textId="77777777" w:rsidR="003A6958" w:rsidRDefault="003A6958" w:rsidP="00EE0BBF">
      <w:pPr>
        <w:pStyle w:val="NoSpacing"/>
        <w:rPr>
          <w:b/>
          <w:sz w:val="24"/>
          <w:szCs w:val="24"/>
        </w:rPr>
      </w:pPr>
    </w:p>
    <w:p w14:paraId="1C4DCAFB" w14:textId="77777777" w:rsidR="003A6958" w:rsidRDefault="003A6958" w:rsidP="00EE0BBF">
      <w:pPr>
        <w:pStyle w:val="NoSpacing"/>
        <w:rPr>
          <w:b/>
          <w:sz w:val="24"/>
          <w:szCs w:val="24"/>
        </w:rPr>
      </w:pPr>
    </w:p>
    <w:p w14:paraId="6F70B54F" w14:textId="77777777" w:rsidR="003A6958" w:rsidRDefault="003A6958" w:rsidP="00EE0BBF">
      <w:pPr>
        <w:pStyle w:val="NoSpacing"/>
        <w:rPr>
          <w:b/>
          <w:sz w:val="24"/>
          <w:szCs w:val="24"/>
        </w:rPr>
      </w:pPr>
    </w:p>
    <w:p w14:paraId="51E88A00" w14:textId="77777777" w:rsidR="003A6958" w:rsidRDefault="003A6958" w:rsidP="00EE0BBF">
      <w:pPr>
        <w:pStyle w:val="NoSpacing"/>
        <w:rPr>
          <w:b/>
          <w:sz w:val="24"/>
          <w:szCs w:val="24"/>
        </w:rPr>
      </w:pPr>
    </w:p>
    <w:p w14:paraId="6103129E" w14:textId="77777777" w:rsidR="003A6958" w:rsidRDefault="003A6958" w:rsidP="00EE0BBF">
      <w:pPr>
        <w:pStyle w:val="NoSpacing"/>
        <w:rPr>
          <w:b/>
          <w:sz w:val="24"/>
          <w:szCs w:val="24"/>
        </w:rPr>
      </w:pPr>
    </w:p>
    <w:p w14:paraId="4DEE1176" w14:textId="77777777" w:rsidR="003A6958" w:rsidRDefault="003A6958" w:rsidP="00EE0BBF">
      <w:pPr>
        <w:pStyle w:val="NoSpacing"/>
        <w:rPr>
          <w:b/>
          <w:sz w:val="24"/>
          <w:szCs w:val="24"/>
        </w:rPr>
      </w:pPr>
    </w:p>
    <w:p w14:paraId="77B36322" w14:textId="77777777" w:rsidR="003A6958" w:rsidRDefault="003A6958" w:rsidP="00EE0BBF">
      <w:pPr>
        <w:pStyle w:val="NoSpacing"/>
        <w:rPr>
          <w:b/>
          <w:sz w:val="24"/>
          <w:szCs w:val="24"/>
        </w:rPr>
      </w:pPr>
    </w:p>
    <w:p w14:paraId="37EEF794" w14:textId="77777777" w:rsidR="003A6958" w:rsidRDefault="003A6958" w:rsidP="00EE0BBF">
      <w:pPr>
        <w:pStyle w:val="NoSpacing"/>
        <w:rPr>
          <w:b/>
          <w:sz w:val="24"/>
          <w:szCs w:val="24"/>
        </w:rPr>
      </w:pPr>
    </w:p>
    <w:p w14:paraId="659CB5B7" w14:textId="77777777" w:rsidR="003A6958" w:rsidRDefault="003A6958" w:rsidP="00EE0BBF">
      <w:pPr>
        <w:pStyle w:val="NoSpacing"/>
        <w:rPr>
          <w:b/>
          <w:sz w:val="24"/>
          <w:szCs w:val="24"/>
        </w:rPr>
      </w:pPr>
    </w:p>
    <w:p w14:paraId="47F41C39" w14:textId="77777777" w:rsidR="003A6958" w:rsidRDefault="003A6958" w:rsidP="00EE0BBF">
      <w:pPr>
        <w:pStyle w:val="NoSpacing"/>
        <w:rPr>
          <w:b/>
          <w:sz w:val="24"/>
          <w:szCs w:val="24"/>
        </w:rPr>
      </w:pPr>
    </w:p>
    <w:p w14:paraId="5641F757" w14:textId="77777777" w:rsidR="003A6958" w:rsidRDefault="003A6958" w:rsidP="00EE0BBF">
      <w:pPr>
        <w:pStyle w:val="NoSpacing"/>
        <w:rPr>
          <w:b/>
          <w:sz w:val="24"/>
          <w:szCs w:val="24"/>
        </w:rPr>
      </w:pPr>
    </w:p>
    <w:p w14:paraId="3BBA9C32" w14:textId="77777777" w:rsidR="003A6958" w:rsidRDefault="003A6958" w:rsidP="00EE0BBF">
      <w:pPr>
        <w:pStyle w:val="NoSpacing"/>
        <w:rPr>
          <w:b/>
          <w:sz w:val="24"/>
          <w:szCs w:val="24"/>
        </w:rPr>
      </w:pPr>
    </w:p>
    <w:p w14:paraId="010710F8" w14:textId="77777777" w:rsidR="003A6958" w:rsidRDefault="003A6958" w:rsidP="00EE0BBF">
      <w:pPr>
        <w:pStyle w:val="NoSpacing"/>
        <w:rPr>
          <w:b/>
          <w:sz w:val="24"/>
          <w:szCs w:val="24"/>
        </w:rPr>
      </w:pPr>
    </w:p>
    <w:p w14:paraId="0722B5AA" w14:textId="77777777" w:rsidR="003A6958" w:rsidRDefault="003A6958" w:rsidP="00EE0BBF">
      <w:pPr>
        <w:pStyle w:val="NoSpacing"/>
        <w:rPr>
          <w:b/>
          <w:sz w:val="24"/>
          <w:szCs w:val="24"/>
        </w:rPr>
      </w:pPr>
    </w:p>
    <w:p w14:paraId="599FFDBE" w14:textId="77777777" w:rsidR="003A6958" w:rsidRDefault="003A6958" w:rsidP="00EE0BBF">
      <w:pPr>
        <w:pStyle w:val="NoSpacing"/>
        <w:rPr>
          <w:b/>
          <w:sz w:val="24"/>
          <w:szCs w:val="24"/>
        </w:rPr>
      </w:pPr>
    </w:p>
    <w:p w14:paraId="117BC936" w14:textId="15F24AA7" w:rsidR="00E76E91" w:rsidRPr="009D4F0E" w:rsidRDefault="00EE0BBF" w:rsidP="00EE0BBF">
      <w:pPr>
        <w:pStyle w:val="NoSpacing"/>
        <w:rPr>
          <w:b/>
          <w:sz w:val="24"/>
          <w:szCs w:val="24"/>
        </w:rPr>
      </w:pPr>
      <w:r w:rsidRPr="009D4F0E">
        <w:rPr>
          <w:noProof/>
          <w:sz w:val="24"/>
          <w:szCs w:val="24"/>
        </w:rPr>
        <w:drawing>
          <wp:anchor distT="0" distB="0" distL="114300" distR="114300" simplePos="0" relativeHeight="251659264" behindDoc="0" locked="0" layoutInCell="1" allowOverlap="1" wp14:anchorId="3C4FA111" wp14:editId="0A70D358">
            <wp:simplePos x="0" y="0"/>
            <wp:positionH relativeFrom="column">
              <wp:posOffset>5397501</wp:posOffset>
            </wp:positionH>
            <wp:positionV relativeFrom="paragraph">
              <wp:posOffset>-787400</wp:posOffset>
            </wp:positionV>
            <wp:extent cx="1073150" cy="1638397"/>
            <wp:effectExtent l="0" t="0" r="0" b="0"/>
            <wp:wrapNone/>
            <wp:docPr id="2" name="Picture 2" descr="WAFWA_logo_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FWA_logo_color1"/>
                    <pic:cNvPicPr>
                      <a:picLocks noChangeAspect="1" noChangeArrowheads="1"/>
                    </pic:cNvPicPr>
                  </pic:nvPicPr>
                  <pic:blipFill>
                    <a:blip r:embed="rId9" cstate="print"/>
                    <a:srcRect/>
                    <a:stretch>
                      <a:fillRect/>
                    </a:stretch>
                  </pic:blipFill>
                  <pic:spPr bwMode="auto">
                    <a:xfrm>
                      <a:off x="0" y="0"/>
                      <a:ext cx="1087474" cy="1660266"/>
                    </a:xfrm>
                    <a:prstGeom prst="rect">
                      <a:avLst/>
                    </a:prstGeom>
                    <a:noFill/>
                  </pic:spPr>
                </pic:pic>
              </a:graphicData>
            </a:graphic>
            <wp14:sizeRelH relativeFrom="margin">
              <wp14:pctWidth>0</wp14:pctWidth>
            </wp14:sizeRelH>
            <wp14:sizeRelV relativeFrom="margin">
              <wp14:pctHeight>0</wp14:pctHeight>
            </wp14:sizeRelV>
          </wp:anchor>
        </w:drawing>
      </w:r>
      <w:r w:rsidR="00E76E91" w:rsidRPr="009D4F0E">
        <w:rPr>
          <w:b/>
          <w:sz w:val="24"/>
          <w:szCs w:val="24"/>
        </w:rPr>
        <w:t>FOR IMMEDIATE RELEASE</w:t>
      </w:r>
    </w:p>
    <w:p w14:paraId="1D26C172" w14:textId="521B91A0" w:rsidR="00EE0BBF" w:rsidRPr="009D4F0E" w:rsidRDefault="009D4F0E" w:rsidP="00EE0BBF">
      <w:pPr>
        <w:pStyle w:val="NoSpacing"/>
        <w:rPr>
          <w:b/>
          <w:sz w:val="24"/>
          <w:szCs w:val="24"/>
        </w:rPr>
      </w:pPr>
      <w:r>
        <w:rPr>
          <w:sz w:val="24"/>
          <w:szCs w:val="24"/>
        </w:rPr>
        <w:t>Aug. 17</w:t>
      </w:r>
      <w:r w:rsidR="00EE0BBF" w:rsidRPr="009D4F0E">
        <w:rPr>
          <w:sz w:val="24"/>
          <w:szCs w:val="24"/>
        </w:rPr>
        <w:t>, 2015</w:t>
      </w:r>
    </w:p>
    <w:p w14:paraId="623B8011" w14:textId="77777777" w:rsidR="00990DAA" w:rsidRPr="00990DAA" w:rsidRDefault="003C326A" w:rsidP="00990DAA">
      <w:pPr>
        <w:pStyle w:val="NoSpacing"/>
        <w:rPr>
          <w:sz w:val="24"/>
          <w:szCs w:val="24"/>
        </w:rPr>
      </w:pPr>
      <w:r w:rsidRPr="00990DAA">
        <w:rPr>
          <w:b/>
          <w:sz w:val="24"/>
          <w:szCs w:val="24"/>
        </w:rPr>
        <w:t xml:space="preserve">Media Contact: </w:t>
      </w:r>
      <w:r w:rsidR="00B202C9" w:rsidRPr="00990DAA">
        <w:rPr>
          <w:sz w:val="24"/>
          <w:szCs w:val="24"/>
        </w:rPr>
        <w:t>San Stiver</w:t>
      </w:r>
    </w:p>
    <w:p w14:paraId="0B44F1F5" w14:textId="6BCA6F92" w:rsidR="00990DAA" w:rsidRPr="00990DAA" w:rsidRDefault="005B4767" w:rsidP="00990DAA">
      <w:pPr>
        <w:pStyle w:val="NoSpacing"/>
        <w:rPr>
          <w:sz w:val="24"/>
          <w:szCs w:val="24"/>
        </w:rPr>
      </w:pPr>
      <w:hyperlink r:id="rId10" w:tgtFrame="_blank" w:history="1">
        <w:r w:rsidR="00990DAA" w:rsidRPr="00990DAA">
          <w:t>928.899.3732</w:t>
        </w:r>
      </w:hyperlink>
      <w:r w:rsidR="00990DAA" w:rsidRPr="00990DAA">
        <w:t xml:space="preserve">, </w:t>
      </w:r>
      <w:r w:rsidR="00F03661">
        <w:rPr>
          <w:rFonts w:cs="Arial"/>
        </w:rPr>
        <w:t>san.stiver@wafwa.org</w:t>
      </w:r>
    </w:p>
    <w:p w14:paraId="74EE0B14" w14:textId="77777777" w:rsidR="00EE0BBF" w:rsidRPr="004C7038" w:rsidRDefault="00EE0BBF" w:rsidP="004506A1">
      <w:pPr>
        <w:pStyle w:val="NoSpacing"/>
        <w:rPr>
          <w:b/>
          <w:sz w:val="24"/>
          <w:szCs w:val="24"/>
        </w:rPr>
      </w:pPr>
    </w:p>
    <w:p w14:paraId="52CDE12E" w14:textId="77777777" w:rsidR="00995411" w:rsidRPr="004C7038" w:rsidRDefault="00995411" w:rsidP="00CC3882">
      <w:pPr>
        <w:pStyle w:val="NoSpacing"/>
        <w:jc w:val="center"/>
        <w:rPr>
          <w:b/>
          <w:sz w:val="24"/>
          <w:szCs w:val="24"/>
        </w:rPr>
      </w:pPr>
    </w:p>
    <w:p w14:paraId="44F0979B" w14:textId="25273741" w:rsidR="00995411" w:rsidRPr="000460B6" w:rsidRDefault="00CC3882" w:rsidP="00CC3882">
      <w:pPr>
        <w:pStyle w:val="NoSpacing"/>
        <w:jc w:val="center"/>
        <w:rPr>
          <w:b/>
        </w:rPr>
      </w:pPr>
      <w:r w:rsidRPr="000460B6">
        <w:rPr>
          <w:b/>
        </w:rPr>
        <w:t>WAFWA REPORT DOCUMENTS</w:t>
      </w:r>
      <w:r w:rsidR="00995411" w:rsidRPr="000460B6">
        <w:rPr>
          <w:b/>
        </w:rPr>
        <w:t xml:space="preserve"> </w:t>
      </w:r>
      <w:r w:rsidR="00DD28A4" w:rsidRPr="000460B6">
        <w:rPr>
          <w:b/>
        </w:rPr>
        <w:t xml:space="preserve">GREATER </w:t>
      </w:r>
      <w:r w:rsidR="000E4450" w:rsidRPr="000460B6">
        <w:rPr>
          <w:b/>
        </w:rPr>
        <w:t>S</w:t>
      </w:r>
      <w:r w:rsidR="007B6F00" w:rsidRPr="000460B6">
        <w:rPr>
          <w:b/>
        </w:rPr>
        <w:t>AGE-GROUSE POPULATION</w:t>
      </w:r>
      <w:r w:rsidRPr="000460B6">
        <w:rPr>
          <w:b/>
        </w:rPr>
        <w:t xml:space="preserve"> REBOUND</w:t>
      </w:r>
    </w:p>
    <w:p w14:paraId="1C181558" w14:textId="2BEA7CD4" w:rsidR="007B6F00" w:rsidRPr="000460B6" w:rsidRDefault="00CC3882" w:rsidP="00D458BE">
      <w:pPr>
        <w:pStyle w:val="NoSpacing"/>
        <w:jc w:val="center"/>
        <w:rPr>
          <w:i/>
        </w:rPr>
      </w:pPr>
      <w:r w:rsidRPr="000460B6">
        <w:rPr>
          <w:i/>
        </w:rPr>
        <w:t>Latest population trend report released to USFWS</w:t>
      </w:r>
      <w:r w:rsidR="008E77F6">
        <w:rPr>
          <w:i/>
        </w:rPr>
        <w:t xml:space="preserve"> shows</w:t>
      </w:r>
      <w:r w:rsidRPr="000460B6">
        <w:rPr>
          <w:i/>
        </w:rPr>
        <w:t xml:space="preserve"> </w:t>
      </w:r>
      <w:r w:rsidR="008E77F6">
        <w:rPr>
          <w:i/>
        </w:rPr>
        <w:t>reversal of</w:t>
      </w:r>
      <w:r w:rsidRPr="000460B6">
        <w:rPr>
          <w:i/>
        </w:rPr>
        <w:t xml:space="preserve"> recent declines</w:t>
      </w:r>
    </w:p>
    <w:p w14:paraId="42A91D71" w14:textId="77777777" w:rsidR="00D458BE" w:rsidRPr="000460B6" w:rsidRDefault="00D458BE" w:rsidP="00D458BE">
      <w:pPr>
        <w:pStyle w:val="NoSpacing"/>
        <w:jc w:val="center"/>
        <w:rPr>
          <w:i/>
        </w:rPr>
      </w:pPr>
    </w:p>
    <w:p w14:paraId="11DE3034" w14:textId="28E3BF12" w:rsidR="00167D54" w:rsidRDefault="00ED26AD" w:rsidP="00167D54">
      <w:pPr>
        <w:spacing w:line="360" w:lineRule="auto"/>
      </w:pPr>
      <w:r w:rsidRPr="000460B6">
        <w:t>The Western Association of Fish and Wildlife Agencies (</w:t>
      </w:r>
      <w:hyperlink r:id="rId11" w:history="1">
        <w:r w:rsidRPr="000460B6">
          <w:rPr>
            <w:rStyle w:val="Hyperlink"/>
          </w:rPr>
          <w:t>WAFWA</w:t>
        </w:r>
      </w:hyperlink>
      <w:r w:rsidRPr="000460B6">
        <w:t>) released a</w:t>
      </w:r>
      <w:r w:rsidR="00CC3882" w:rsidRPr="000460B6">
        <w:t xml:space="preserve"> </w:t>
      </w:r>
      <w:r w:rsidR="00995411" w:rsidRPr="000460B6">
        <w:t xml:space="preserve">final </w:t>
      </w:r>
      <w:r w:rsidRPr="000460B6">
        <w:t xml:space="preserve">report today </w:t>
      </w:r>
      <w:r w:rsidR="002B5BA4" w:rsidRPr="000460B6">
        <w:t>on greater sage-g</w:t>
      </w:r>
      <w:r w:rsidRPr="000460B6">
        <w:t>rouse population trends across the West</w:t>
      </w:r>
      <w:r w:rsidR="007B6F00" w:rsidRPr="000460B6">
        <w:t>ern United States</w:t>
      </w:r>
      <w:r w:rsidR="004C7038" w:rsidRPr="000460B6">
        <w:t xml:space="preserve">, </w:t>
      </w:r>
      <w:r w:rsidR="00CC3882" w:rsidRPr="000460B6">
        <w:t xml:space="preserve">and the results are encouraging. </w:t>
      </w:r>
      <w:r w:rsidR="007B6F00" w:rsidRPr="000460B6">
        <w:t>While the report sh</w:t>
      </w:r>
      <w:r w:rsidR="006E3FB7">
        <w:t>ows that sage-</w:t>
      </w:r>
      <w:r w:rsidR="00F950B0">
        <w:t>grouse populations v</w:t>
      </w:r>
      <w:r w:rsidR="007B6F00" w:rsidRPr="000460B6">
        <w:t>ar</w:t>
      </w:r>
      <w:r w:rsidR="00F950B0">
        <w:t xml:space="preserve">y greatly over time, the number of male birds documented this year has </w:t>
      </w:r>
      <w:r w:rsidR="00CC3882" w:rsidRPr="000460B6">
        <w:t>rebounded</w:t>
      </w:r>
      <w:r w:rsidR="009E49B8" w:rsidRPr="000460B6">
        <w:t xml:space="preserve"> significantly</w:t>
      </w:r>
      <w:r w:rsidR="00CC3882" w:rsidRPr="000460B6">
        <w:t xml:space="preserve"> from a recent</w:t>
      </w:r>
      <w:r w:rsidR="007B6F00" w:rsidRPr="000460B6">
        <w:t xml:space="preserve"> low in 2013</w:t>
      </w:r>
      <w:r w:rsidR="00513CEC" w:rsidRPr="000460B6">
        <w:t>.</w:t>
      </w:r>
      <w:r w:rsidR="00763988">
        <w:t xml:space="preserve">  </w:t>
      </w:r>
      <w:r w:rsidR="00F950B0">
        <w:t>Scientists make population estimates based on the number of male birds counted on traditional mating areas, or leks.</w:t>
      </w:r>
      <w:r w:rsidR="00C01B14">
        <w:t xml:space="preserve"> The number of males counted on leks has increased 63% since 2013.</w:t>
      </w:r>
      <w:r w:rsidR="00F950B0">
        <w:t xml:space="preserve"> </w:t>
      </w:r>
      <w:r w:rsidR="00167D54" w:rsidRPr="000460B6">
        <w:t>The greater sage-grouse is the largest native grouse species in the North America and its range covers 11 western states and portions of two Canadian provinces.</w:t>
      </w:r>
    </w:p>
    <w:p w14:paraId="4D211B51" w14:textId="23EBD19F" w:rsidR="004506A1" w:rsidRDefault="003C326A" w:rsidP="00C97023">
      <w:pPr>
        <w:spacing w:line="360" w:lineRule="auto"/>
      </w:pPr>
      <w:r w:rsidRPr="000460B6">
        <w:t>The report</w:t>
      </w:r>
      <w:r w:rsidR="00462CB7" w:rsidRPr="000460B6">
        <w:t xml:space="preserve"> was prepared to provide sc</w:t>
      </w:r>
      <w:r w:rsidRPr="000460B6">
        <w:t>ientific information to the U.S. Fish and Wildlife Service</w:t>
      </w:r>
      <w:r w:rsidR="007749EA" w:rsidRPr="000460B6">
        <w:t xml:space="preserve"> (USFWS)</w:t>
      </w:r>
      <w:r w:rsidRPr="000460B6">
        <w:t xml:space="preserve"> in advance of the upcoming </w:t>
      </w:r>
      <w:r w:rsidR="001E3A49" w:rsidRPr="000460B6">
        <w:t xml:space="preserve">Endangered Species Act </w:t>
      </w:r>
      <w:r w:rsidRPr="000460B6">
        <w:t>listing decisi</w:t>
      </w:r>
      <w:r w:rsidR="00DD28A4" w:rsidRPr="000460B6">
        <w:t xml:space="preserve">on on greater </w:t>
      </w:r>
      <w:r w:rsidR="001E3A49" w:rsidRPr="000460B6">
        <w:t>sage-grouse, which is expected to be made</w:t>
      </w:r>
      <w:r w:rsidR="007749EA" w:rsidRPr="000460B6">
        <w:t xml:space="preserve"> by the end of Sep. </w:t>
      </w:r>
      <w:r w:rsidR="001E3A49" w:rsidRPr="000460B6">
        <w:t>2015.</w:t>
      </w:r>
      <w:r w:rsidR="00B202C9" w:rsidRPr="000460B6">
        <w:t xml:space="preserve"> It</w:t>
      </w:r>
      <w:r w:rsidR="001E3A49" w:rsidRPr="000460B6">
        <w:t xml:space="preserve"> summarizes and analyzes the informa</w:t>
      </w:r>
      <w:r w:rsidR="00817793" w:rsidRPr="000460B6">
        <w:t>tion contained within more than a dozen</w:t>
      </w:r>
      <w:r w:rsidR="001E3A49" w:rsidRPr="000460B6">
        <w:t xml:space="preserve"> databases</w:t>
      </w:r>
      <w:r w:rsidR="009E49B8" w:rsidRPr="000460B6">
        <w:t xml:space="preserve"> </w:t>
      </w:r>
      <w:r w:rsidR="0062280E" w:rsidRPr="000460B6">
        <w:t xml:space="preserve">from </w:t>
      </w:r>
      <w:r w:rsidR="009E49B8" w:rsidRPr="000460B6">
        <w:t xml:space="preserve">the </w:t>
      </w:r>
      <w:r w:rsidR="0062280E" w:rsidRPr="000460B6">
        <w:t xml:space="preserve">11 </w:t>
      </w:r>
      <w:r w:rsidR="009E49B8" w:rsidRPr="000460B6">
        <w:t xml:space="preserve">western </w:t>
      </w:r>
      <w:r w:rsidR="0062280E" w:rsidRPr="000460B6">
        <w:t>states</w:t>
      </w:r>
      <w:r w:rsidR="006E3FB7">
        <w:t xml:space="preserve"> where sage-</w:t>
      </w:r>
      <w:r w:rsidR="009E49B8" w:rsidRPr="000460B6">
        <w:t xml:space="preserve">grouse populations can be found. The databases include information gathered from 1965-2015. </w:t>
      </w:r>
      <w:r w:rsidR="007749EA" w:rsidRPr="000460B6">
        <w:t>Those studie</w:t>
      </w:r>
      <w:r w:rsidR="006E3FB7">
        <w:t xml:space="preserve">s document the </w:t>
      </w:r>
      <w:r w:rsidR="007749EA" w:rsidRPr="000460B6">
        <w:t>number</w:t>
      </w:r>
      <w:r w:rsidR="00ED26AD" w:rsidRPr="000460B6">
        <w:t xml:space="preserve"> of males counted</w:t>
      </w:r>
      <w:r w:rsidR="007749EA" w:rsidRPr="000460B6">
        <w:t xml:space="preserve"> on traditional mating areas (leks) </w:t>
      </w:r>
      <w:r w:rsidR="00462CB7" w:rsidRPr="000460B6">
        <w:t>each spring</w:t>
      </w:r>
      <w:r w:rsidR="00ED26AD" w:rsidRPr="000460B6">
        <w:t>.  These counts have been conducted by state wildlife</w:t>
      </w:r>
      <w:r w:rsidR="007749EA" w:rsidRPr="000460B6">
        <w:t xml:space="preserve"> agencies with assistance from </w:t>
      </w:r>
      <w:r w:rsidR="009E475E" w:rsidRPr="000460B6">
        <w:t xml:space="preserve">partners and </w:t>
      </w:r>
      <w:r w:rsidR="000A3286" w:rsidRPr="000460B6">
        <w:t xml:space="preserve">volunteers for more than </w:t>
      </w:r>
      <w:r w:rsidR="00AC137D">
        <w:t>50 years.</w:t>
      </w:r>
    </w:p>
    <w:p w14:paraId="73337612" w14:textId="77777777" w:rsidR="004506A1" w:rsidRDefault="002B5BA4" w:rsidP="00C97023">
      <w:pPr>
        <w:spacing w:line="360" w:lineRule="auto"/>
      </w:pPr>
      <w:r w:rsidRPr="004506A1">
        <w:t>“</w:t>
      </w:r>
      <w:r w:rsidR="00462CB7" w:rsidRPr="004506A1">
        <w:t>The recent population peak in 2006 of over 33 males per lek was the highest level since 1970</w:t>
      </w:r>
      <w:r w:rsidR="00B202C9" w:rsidRPr="004506A1">
        <w:t>,</w:t>
      </w:r>
      <w:r w:rsidRPr="004506A1">
        <w:t>”</w:t>
      </w:r>
      <w:r w:rsidR="00462CB7" w:rsidRPr="004506A1">
        <w:t xml:space="preserve"> said San Stiver, Sage-Grouse Coordinator for WAFWA.  </w:t>
      </w:r>
      <w:r w:rsidR="00B202C9" w:rsidRPr="004506A1">
        <w:t xml:space="preserve">“The lowest count was </w:t>
      </w:r>
      <w:r w:rsidR="00ED5F08" w:rsidRPr="004506A1">
        <w:t>16.7 in 2013, but</w:t>
      </w:r>
      <w:r w:rsidR="00B202C9" w:rsidRPr="004506A1">
        <w:t xml:space="preserve"> those numbers</w:t>
      </w:r>
      <w:r w:rsidR="00ED5F08" w:rsidRPr="004506A1">
        <w:t xml:space="preserve"> rebounded sharp</w:t>
      </w:r>
      <w:r w:rsidR="00B202C9" w:rsidRPr="004506A1">
        <w:t>ly in the last two years to</w:t>
      </w:r>
      <w:r w:rsidR="00ED5F08" w:rsidRPr="004506A1">
        <w:t xml:space="preserve"> 25.5</w:t>
      </w:r>
      <w:r w:rsidR="00B202C9" w:rsidRPr="004506A1">
        <w:t xml:space="preserve"> males per lek</w:t>
      </w:r>
      <w:r w:rsidR="00C01B14" w:rsidRPr="004506A1">
        <w:t>.</w:t>
      </w:r>
      <w:r w:rsidR="00B202C9" w:rsidRPr="004506A1">
        <w:t>”</w:t>
      </w:r>
      <w:r w:rsidR="00462CB7" w:rsidRPr="004506A1">
        <w:t xml:space="preserve"> </w:t>
      </w:r>
      <w:r w:rsidR="00ED5F08" w:rsidRPr="004506A1">
        <w:t xml:space="preserve"> </w:t>
      </w:r>
    </w:p>
    <w:p w14:paraId="1FBBC611" w14:textId="77777777" w:rsidR="004506A1" w:rsidRDefault="000A3286" w:rsidP="00C97023">
      <w:pPr>
        <w:spacing w:line="360" w:lineRule="auto"/>
      </w:pPr>
      <w:r w:rsidRPr="004506A1">
        <w:t>The report also documents</w:t>
      </w:r>
      <w:r w:rsidR="00B202C9" w:rsidRPr="004506A1">
        <w:t xml:space="preserve"> trends in the rate of population change. WEST, a statistical and environmental consulting firm based in Cheyenne, Wyoming performed the analysis.  WEST employed </w:t>
      </w:r>
      <w:r w:rsidR="00B202C9" w:rsidRPr="004506A1">
        <w:lastRenderedPageBreak/>
        <w:t>s</w:t>
      </w:r>
      <w:r w:rsidR="008E77F6" w:rsidRPr="004506A1">
        <w:t>ophisticated modeling techniques</w:t>
      </w:r>
      <w:r w:rsidR="00B202C9" w:rsidRPr="004506A1">
        <w:t xml:space="preserve"> and found that range-wide populations have</w:t>
      </w:r>
      <w:r w:rsidR="008551DB" w:rsidRPr="004506A1">
        <w:t xml:space="preserve"> declined at a rate of about 0.8</w:t>
      </w:r>
      <w:r w:rsidR="00B202C9" w:rsidRPr="004506A1">
        <w:t>% per year since 1965, but that the rate of decline has slowed in recent years.</w:t>
      </w:r>
      <w:r w:rsidR="00836AD7" w:rsidRPr="004506A1">
        <w:t xml:space="preserve"> </w:t>
      </w:r>
    </w:p>
    <w:p w14:paraId="4A18A906" w14:textId="77777777" w:rsidR="004506A1" w:rsidRDefault="0047544E" w:rsidP="00C97023">
      <w:pPr>
        <w:spacing w:line="360" w:lineRule="auto"/>
      </w:pPr>
      <w:r w:rsidRPr="004506A1">
        <w:t xml:space="preserve">WEST </w:t>
      </w:r>
      <w:r w:rsidR="00836AD7" w:rsidRPr="004506A1">
        <w:t xml:space="preserve">also </w:t>
      </w:r>
      <w:r w:rsidRPr="004506A1">
        <w:t xml:space="preserve">evaluated trends in sage-grouse strongholds and compared those to trends at the edges of the </w:t>
      </w:r>
      <w:proofErr w:type="gramStart"/>
      <w:r w:rsidRPr="004506A1">
        <w:t>range, and</w:t>
      </w:r>
      <w:proofErr w:type="gramEnd"/>
      <w:r w:rsidRPr="004506A1">
        <w:t xml:space="preserve"> found these areas of highest sage-grouse density were</w:t>
      </w:r>
      <w:r w:rsidR="008551DB" w:rsidRPr="004506A1">
        <w:t xml:space="preserve"> generally</w:t>
      </w:r>
      <w:r w:rsidRPr="004506A1">
        <w:t xml:space="preserve"> holding up very well and most of the decline was at the periphery of the range.  </w:t>
      </w:r>
    </w:p>
    <w:p w14:paraId="1232F3F8" w14:textId="77777777" w:rsidR="004506A1" w:rsidRDefault="009E49B8" w:rsidP="004506A1">
      <w:pPr>
        <w:spacing w:line="360" w:lineRule="auto"/>
      </w:pPr>
      <w:r w:rsidRPr="004506A1">
        <w:t xml:space="preserve">This report is the newest development in a long history of collaborative conservation efforts for the bird. WAFWA has been actively involved in these efforts since 1954. </w:t>
      </w:r>
      <w:r w:rsidR="00825A31" w:rsidRPr="004506A1">
        <w:t>Through the legislatures of all 11 states, n</w:t>
      </w:r>
      <w:r w:rsidRPr="004506A1">
        <w:t xml:space="preserve">atural resource agencies </w:t>
      </w:r>
      <w:r w:rsidR="00825A31" w:rsidRPr="004506A1">
        <w:t xml:space="preserve">have invested </w:t>
      </w:r>
      <w:r w:rsidR="007B33A4" w:rsidRPr="004506A1">
        <w:t>more than $200 million i</w:t>
      </w:r>
      <w:r w:rsidR="00825A31" w:rsidRPr="004506A1">
        <w:t>n conservation actions to protect sage-grouse during the last decade. Besides the state natural resource agencies</w:t>
      </w:r>
      <w:r w:rsidR="00FD08C3" w:rsidRPr="004506A1">
        <w:t xml:space="preserve"> and the USFWS</w:t>
      </w:r>
      <w:r w:rsidR="00825A31" w:rsidRPr="004506A1">
        <w:t xml:space="preserve">, others involved in these conservation efforts include </w:t>
      </w:r>
      <w:r w:rsidR="00713E0D" w:rsidRPr="004506A1">
        <w:t xml:space="preserve">the </w:t>
      </w:r>
      <w:r w:rsidR="00825A31" w:rsidRPr="004506A1">
        <w:t xml:space="preserve">Natural Resource Conservation Service, </w:t>
      </w:r>
      <w:r w:rsidR="00FD08C3" w:rsidRPr="004506A1">
        <w:t xml:space="preserve">Bureau of Land Management, US Forest Service, US Geological Survey, non-government organizations and private landowners. The 2006 </w:t>
      </w:r>
      <w:hyperlink r:id="rId12" w:history="1">
        <w:r w:rsidR="00FD08C3" w:rsidRPr="004506A1">
          <w:rPr>
            <w:rStyle w:val="Hyperlink"/>
          </w:rPr>
          <w:t>WAFWA Greater Sage-Grouse Conservation Strategy</w:t>
        </w:r>
      </w:hyperlink>
      <w:r w:rsidR="00FD08C3" w:rsidRPr="004506A1">
        <w:t xml:space="preserve"> was developed to coordinate conservation efforts across the bird’s range and it calls for no net loss of sage-grouse habitat or populations.   </w:t>
      </w:r>
    </w:p>
    <w:p w14:paraId="0C250425" w14:textId="21D02334" w:rsidR="004506A1" w:rsidRDefault="008D3BF4" w:rsidP="004506A1">
      <w:pPr>
        <w:spacing w:line="360" w:lineRule="auto"/>
        <w:rPr>
          <w:rFonts w:cs="Arial"/>
        </w:rPr>
      </w:pPr>
      <w:r w:rsidRPr="004506A1">
        <w:t xml:space="preserve"> “This</w:t>
      </w:r>
      <w:r w:rsidR="00825A31" w:rsidRPr="004506A1">
        <w:t xml:space="preserve"> latest</w:t>
      </w:r>
      <w:r w:rsidRPr="004506A1">
        <w:t xml:space="preserve"> report</w:t>
      </w:r>
      <w:r w:rsidR="006E3FB7">
        <w:rPr>
          <w:rFonts w:cs="Arial"/>
        </w:rPr>
        <w:t xml:space="preserve"> shows sage-</w:t>
      </w:r>
      <w:r w:rsidR="004506A1" w:rsidRPr="004506A1">
        <w:rPr>
          <w:rFonts w:cs="Arial"/>
        </w:rPr>
        <w:t>grouse populations are still doing well across much of their range</w:t>
      </w:r>
      <w:r w:rsidR="00825A31" w:rsidRPr="004506A1">
        <w:t>,” said Virgil Moore, Director of Idaho Department of Fish and Game and director liaison of WAFWA’s</w:t>
      </w:r>
      <w:r w:rsidR="00374841" w:rsidRPr="004506A1">
        <w:t xml:space="preserve"> </w:t>
      </w:r>
      <w:r w:rsidR="004506A1" w:rsidRPr="004506A1">
        <w:t>S</w:t>
      </w:r>
      <w:r w:rsidR="009D0FD5">
        <w:t>age-</w:t>
      </w:r>
      <w:r w:rsidR="004506A1" w:rsidRPr="004506A1">
        <w:t xml:space="preserve">Grouse Initiative. </w:t>
      </w:r>
      <w:r w:rsidR="004506A1" w:rsidRPr="004506A1">
        <w:rPr>
          <w:rStyle w:val="im"/>
          <w:rFonts w:cs="Arial"/>
        </w:rPr>
        <w:t>"While this report is good news to all who treasure this bird, we know that</w:t>
      </w:r>
      <w:r w:rsidR="004506A1" w:rsidRPr="004506A1">
        <w:rPr>
          <w:rFonts w:cs="Arial"/>
        </w:rPr>
        <w:t xml:space="preserve"> long-term ongoing conservation and management must continue i</w:t>
      </w:r>
      <w:r w:rsidR="009D0FD5">
        <w:rPr>
          <w:rFonts w:cs="Arial"/>
        </w:rPr>
        <w:t>nto the future for greater sage-</w:t>
      </w:r>
      <w:r w:rsidR="004506A1" w:rsidRPr="004506A1">
        <w:rPr>
          <w:rFonts w:cs="Arial"/>
        </w:rPr>
        <w:t>grouse on its current range."</w:t>
      </w:r>
    </w:p>
    <w:p w14:paraId="5C8FAA77" w14:textId="77777777" w:rsidR="004506A1" w:rsidRDefault="00C97023" w:rsidP="004506A1">
      <w:pPr>
        <w:spacing w:line="360" w:lineRule="auto"/>
      </w:pPr>
      <w:r w:rsidRPr="004506A1">
        <w:t xml:space="preserve">In 2015, 85,674 male sage-grouse were counted on 3,559 leks.  Scientists note that the locations of all sage-grouse leks are not known, biologists are not able to count every lek that is known, and not all males are detected during </w:t>
      </w:r>
      <w:proofErr w:type="gramStart"/>
      <w:r w:rsidRPr="004506A1">
        <w:t>counts</w:t>
      </w:r>
      <w:proofErr w:type="gramEnd"/>
      <w:r w:rsidRPr="004506A1">
        <w:t xml:space="preserve"> so the number counted represents a minimum number of males known alive.  This number of male grouse extrapolates to a spring breeding population of 424,645 on known leks. </w:t>
      </w:r>
    </w:p>
    <w:p w14:paraId="53BD59F7" w14:textId="0E8B756B" w:rsidR="00C97023" w:rsidRPr="004506A1" w:rsidRDefault="00C97023" w:rsidP="004506A1">
      <w:pPr>
        <w:spacing w:line="360" w:lineRule="auto"/>
      </w:pPr>
      <w:r w:rsidRPr="004506A1">
        <w:rPr>
          <w:rFonts w:ascii="Calibri" w:hAnsi="Calibri" w:cs="Arial"/>
          <w:bCs/>
        </w:rPr>
        <w:t>This report describes trends in sage-grouse populations from 1965 to 2015, but it does not attempt to explain the causes for those population fluctuations.  “While that’s an important question, it was beyond the scope of this latest study,” said Tom Remington, who led WAFWA’s efforts on the report. “The USFWS will be evaluating that to some degree as part of their listing determination.”</w:t>
      </w:r>
    </w:p>
    <w:p w14:paraId="66ED05F1" w14:textId="40EE6797" w:rsidR="000460B6" w:rsidRPr="00EB0224" w:rsidRDefault="000A3286" w:rsidP="00EB0224">
      <w:pPr>
        <w:pStyle w:val="NoSpacing"/>
      </w:pPr>
      <w:r w:rsidRPr="000460B6">
        <w:rPr>
          <w:rFonts w:ascii="Calibri" w:hAnsi="Calibri"/>
        </w:rPr>
        <w:t xml:space="preserve">Organized in 1922, the </w:t>
      </w:r>
      <w:r w:rsidRPr="000460B6">
        <w:rPr>
          <w:rFonts w:ascii="Calibri" w:hAnsi="Calibri"/>
          <w:b/>
        </w:rPr>
        <w:t>Western Association of Fish and Wildlife Agencies</w:t>
      </w:r>
      <w:r w:rsidRPr="000460B6">
        <w:rPr>
          <w:rFonts w:ascii="Calibri" w:hAnsi="Calibri"/>
        </w:rPr>
        <w:t xml:space="preserve"> (WAFWA) represents 23 states and Canadian provinces, </w:t>
      </w:r>
      <w:r w:rsidR="004C7038" w:rsidRPr="000460B6">
        <w:rPr>
          <w:rFonts w:ascii="Calibri" w:hAnsi="Calibri"/>
        </w:rPr>
        <w:t>an area covering nearly 3.7 millio</w:t>
      </w:r>
      <w:r w:rsidR="0085206B">
        <w:rPr>
          <w:rFonts w:ascii="Calibri" w:hAnsi="Calibri"/>
        </w:rPr>
        <w:t xml:space="preserve">n square miles of some of </w:t>
      </w:r>
      <w:r w:rsidR="004C7038" w:rsidRPr="000460B6">
        <w:rPr>
          <w:rFonts w:ascii="Calibri" w:hAnsi="Calibri"/>
        </w:rPr>
        <w:t xml:space="preserve">America's </w:t>
      </w:r>
      <w:r w:rsidR="004C7038" w:rsidRPr="000460B6">
        <w:rPr>
          <w:rFonts w:ascii="Calibri" w:hAnsi="Calibri"/>
        </w:rPr>
        <w:lastRenderedPageBreak/>
        <w:t xml:space="preserve">most wild and scenic country. </w:t>
      </w:r>
      <w:r w:rsidR="000460B6">
        <w:t>WAFWA support</w:t>
      </w:r>
      <w:r w:rsidR="00985DB6">
        <w:t>s</w:t>
      </w:r>
      <w:r w:rsidR="000460B6">
        <w:t xml:space="preserve"> and promotes </w:t>
      </w:r>
      <w:r w:rsidR="004C7038" w:rsidRPr="000460B6">
        <w:t xml:space="preserve">the principles of sound resource management and the building of partnerships at the regional, </w:t>
      </w:r>
      <w:proofErr w:type="gramStart"/>
      <w:r w:rsidR="004C7038" w:rsidRPr="000460B6">
        <w:t>national</w:t>
      </w:r>
      <w:proofErr w:type="gramEnd"/>
      <w:r w:rsidR="004C7038" w:rsidRPr="000460B6">
        <w:t xml:space="preserve"> and international levels in order to enhance wildlife conservation efforts and the protection of associated habitats in the public interest. </w:t>
      </w:r>
      <w:r w:rsidR="000460B6">
        <w:t xml:space="preserve"> </w:t>
      </w:r>
      <w:r w:rsidR="0085206B">
        <w:t xml:space="preserve">    </w:t>
      </w:r>
      <w:r w:rsidR="0085206B">
        <w:tab/>
      </w:r>
      <w:r w:rsidR="0085206B">
        <w:tab/>
      </w:r>
      <w:r w:rsidR="0085206B">
        <w:tab/>
      </w:r>
      <w:r w:rsidR="0085206B">
        <w:tab/>
      </w:r>
      <w:r w:rsidR="0085206B">
        <w:tab/>
        <w:t xml:space="preserve"> </w:t>
      </w:r>
      <w:r w:rsidR="00EB0224">
        <w:t>###</w:t>
      </w:r>
    </w:p>
    <w:p w14:paraId="21222C83" w14:textId="15CF30F4" w:rsidR="000460B6" w:rsidRDefault="00C320B3" w:rsidP="000A3286">
      <w:pPr>
        <w:spacing w:after="240"/>
        <w:rPr>
          <w:sz w:val="20"/>
          <w:szCs w:val="20"/>
        </w:rPr>
      </w:pPr>
      <w:r>
        <w:rPr>
          <w:noProof/>
          <w:sz w:val="20"/>
          <w:szCs w:val="20"/>
        </w:rPr>
        <w:drawing>
          <wp:inline distT="0" distB="0" distL="0" distR="0" wp14:anchorId="4895C9D8" wp14:editId="230635F2">
            <wp:extent cx="4290989"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SG_SchroederRangewide_U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96100" cy="2822758"/>
                    </a:xfrm>
                    <a:prstGeom prst="rect">
                      <a:avLst/>
                    </a:prstGeom>
                  </pic:spPr>
                </pic:pic>
              </a:graphicData>
            </a:graphic>
          </wp:inline>
        </w:drawing>
      </w:r>
    </w:p>
    <w:p w14:paraId="52FD4C95" w14:textId="4E81F827" w:rsidR="00D575CC" w:rsidRPr="00D575CC" w:rsidRDefault="00D575CC" w:rsidP="00D575CC">
      <w:pPr>
        <w:pStyle w:val="NoSpacing"/>
        <w:rPr>
          <w:b/>
        </w:rPr>
      </w:pPr>
      <w:r w:rsidRPr="00D575CC">
        <w:rPr>
          <w:b/>
        </w:rPr>
        <w:t>Greater sage-gro</w:t>
      </w:r>
      <w:r w:rsidR="001E6858">
        <w:rPr>
          <w:b/>
        </w:rPr>
        <w:t xml:space="preserve">use distribution in the </w:t>
      </w:r>
      <w:r w:rsidRPr="00D575CC">
        <w:rPr>
          <w:b/>
        </w:rPr>
        <w:t>United States</w:t>
      </w:r>
    </w:p>
    <w:p w14:paraId="572E752C" w14:textId="2DD26D93" w:rsidR="00C320B3" w:rsidRPr="00D575CC" w:rsidRDefault="00C320B3" w:rsidP="00D575CC">
      <w:pPr>
        <w:pStyle w:val="NoSpacing"/>
      </w:pPr>
      <w:r w:rsidRPr="00D575CC">
        <w:t>Map courtesy Colorado Parks and Wildlife</w:t>
      </w:r>
    </w:p>
    <w:p w14:paraId="02F86634" w14:textId="77777777" w:rsidR="00C320B3" w:rsidRDefault="00C320B3" w:rsidP="000A3286">
      <w:pPr>
        <w:spacing w:after="240"/>
        <w:rPr>
          <w:sz w:val="20"/>
          <w:szCs w:val="20"/>
        </w:rPr>
      </w:pPr>
    </w:p>
    <w:p w14:paraId="0E7587A6" w14:textId="658F3091" w:rsidR="00C320B3" w:rsidRDefault="00C320B3" w:rsidP="000A3286">
      <w:pPr>
        <w:spacing w:after="240"/>
        <w:rPr>
          <w:sz w:val="20"/>
          <w:szCs w:val="20"/>
        </w:rPr>
      </w:pPr>
      <w:r>
        <w:rPr>
          <w:noProof/>
          <w:sz w:val="20"/>
          <w:szCs w:val="20"/>
        </w:rPr>
        <w:drawing>
          <wp:inline distT="0" distB="0" distL="0" distR="0" wp14:anchorId="414724F6" wp14:editId="5446F055">
            <wp:extent cx="3528060" cy="260571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SG_SchroederRangewide_Clos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766" cy="2609188"/>
                    </a:xfrm>
                    <a:prstGeom prst="rect">
                      <a:avLst/>
                    </a:prstGeom>
                  </pic:spPr>
                </pic:pic>
              </a:graphicData>
            </a:graphic>
          </wp:inline>
        </w:drawing>
      </w:r>
    </w:p>
    <w:p w14:paraId="4F3B4886" w14:textId="305A0F2D" w:rsidR="00C320B3" w:rsidRPr="00D575CC" w:rsidRDefault="00C320B3" w:rsidP="00C320B3">
      <w:pPr>
        <w:pStyle w:val="NoSpacing"/>
        <w:rPr>
          <w:b/>
        </w:rPr>
      </w:pPr>
      <w:r w:rsidRPr="00D575CC">
        <w:rPr>
          <w:b/>
        </w:rPr>
        <w:t>Greater sage-grouse distribution in the western United States</w:t>
      </w:r>
    </w:p>
    <w:p w14:paraId="3078C839" w14:textId="77777777" w:rsidR="00C320B3" w:rsidRDefault="00C320B3" w:rsidP="00C320B3">
      <w:pPr>
        <w:pStyle w:val="NoSpacing"/>
      </w:pPr>
      <w:r>
        <w:t>Map courtesy Colorado Parks and Wildlife</w:t>
      </w:r>
    </w:p>
    <w:p w14:paraId="08369181" w14:textId="77777777" w:rsidR="00C320B3" w:rsidRDefault="00C320B3" w:rsidP="00C320B3">
      <w:pPr>
        <w:spacing w:after="240"/>
        <w:rPr>
          <w:sz w:val="20"/>
          <w:szCs w:val="20"/>
        </w:rPr>
      </w:pPr>
    </w:p>
    <w:p w14:paraId="50B7B9B3" w14:textId="335BF367" w:rsidR="000460B6" w:rsidRPr="004506A1" w:rsidRDefault="000460B6" w:rsidP="00C320B3">
      <w:pPr>
        <w:pStyle w:val="NoSpacing"/>
        <w:rPr>
          <w:rFonts w:ascii="Calibri" w:hAnsi="Calibri"/>
        </w:rPr>
      </w:pPr>
      <w:r w:rsidRPr="004506A1">
        <w:rPr>
          <w:rFonts w:ascii="Calibri" w:hAnsi="Calibri"/>
        </w:rPr>
        <w:t>Links:</w:t>
      </w:r>
    </w:p>
    <w:p w14:paraId="25B89498" w14:textId="77777777" w:rsidR="000460B6" w:rsidRPr="004506A1" w:rsidRDefault="00D458BE" w:rsidP="00C320B3">
      <w:pPr>
        <w:pStyle w:val="NoSpacing"/>
        <w:rPr>
          <w:rFonts w:ascii="Calibri" w:hAnsi="Calibri"/>
        </w:rPr>
      </w:pPr>
      <w:r w:rsidRPr="004506A1">
        <w:rPr>
          <w:rFonts w:ascii="Calibri" w:hAnsi="Calibri"/>
        </w:rPr>
        <w:t>All WAFWA news releases can be found</w:t>
      </w:r>
      <w:hyperlink r:id="rId15" w:history="1">
        <w:r w:rsidRPr="004506A1">
          <w:rPr>
            <w:rStyle w:val="Hyperlink"/>
            <w:rFonts w:ascii="Calibri" w:hAnsi="Calibri"/>
          </w:rPr>
          <w:t xml:space="preserve"> HERE</w:t>
        </w:r>
      </w:hyperlink>
    </w:p>
    <w:p w14:paraId="0C62C425" w14:textId="70E130B5" w:rsidR="00E2515C" w:rsidRPr="004506A1" w:rsidRDefault="004506A1" w:rsidP="00C320B3">
      <w:pPr>
        <w:pStyle w:val="NoSpacing"/>
        <w:rPr>
          <w:rFonts w:ascii="Calibri" w:hAnsi="Calibri"/>
        </w:rPr>
      </w:pPr>
      <w:r w:rsidRPr="004506A1">
        <w:lastRenderedPageBreak/>
        <w:t xml:space="preserve">Greater sage-grouse population report </w:t>
      </w:r>
      <w:hyperlink r:id="rId16" w:history="1">
        <w:r w:rsidRPr="004506A1">
          <w:rPr>
            <w:rStyle w:val="Hyperlink"/>
          </w:rPr>
          <w:t>HERE</w:t>
        </w:r>
      </w:hyperlink>
    </w:p>
    <w:p w14:paraId="189E1B12" w14:textId="77777777" w:rsidR="000460B6" w:rsidRPr="004506A1" w:rsidRDefault="005B4767" w:rsidP="00C320B3">
      <w:pPr>
        <w:pStyle w:val="NoSpacing"/>
      </w:pPr>
      <w:hyperlink r:id="rId17" w:history="1">
        <w:r w:rsidR="000460B6" w:rsidRPr="004506A1">
          <w:rPr>
            <w:rStyle w:val="Hyperlink"/>
          </w:rPr>
          <w:t>WAFWA Greater Sage-Grouse Conservation Strategy</w:t>
        </w:r>
      </w:hyperlink>
      <w:r w:rsidR="000460B6" w:rsidRPr="004506A1">
        <w:t xml:space="preserve"> </w:t>
      </w:r>
    </w:p>
    <w:p w14:paraId="2B897E84" w14:textId="5B74C8AF" w:rsidR="00B202C9" w:rsidRDefault="005B4767" w:rsidP="00C320B3">
      <w:pPr>
        <w:pStyle w:val="NoSpacing"/>
        <w:rPr>
          <w:rStyle w:val="Hyperlink"/>
        </w:rPr>
      </w:pPr>
      <w:hyperlink r:id="rId18" w:history="1">
        <w:r w:rsidR="000460B6" w:rsidRPr="004506A1">
          <w:rPr>
            <w:rStyle w:val="Hyperlink"/>
          </w:rPr>
          <w:t>USFWS Fact S</w:t>
        </w:r>
        <w:r w:rsidR="00E2515C" w:rsidRPr="004506A1">
          <w:rPr>
            <w:rStyle w:val="Hyperlink"/>
          </w:rPr>
          <w:t>heet</w:t>
        </w:r>
        <w:r w:rsidR="000460B6" w:rsidRPr="004506A1">
          <w:rPr>
            <w:rStyle w:val="Hyperlink"/>
          </w:rPr>
          <w:t xml:space="preserve"> on Greater Sage-Grouse</w:t>
        </w:r>
      </w:hyperlink>
    </w:p>
    <w:p w14:paraId="671C83EF" w14:textId="77777777" w:rsidR="00F3381B" w:rsidRDefault="00F3381B" w:rsidP="00C320B3">
      <w:pPr>
        <w:pStyle w:val="NoSpacing"/>
        <w:rPr>
          <w:rStyle w:val="Hyperlink"/>
        </w:rPr>
      </w:pPr>
    </w:p>
    <w:p w14:paraId="70E53EAB" w14:textId="62D5DED0" w:rsidR="00F3381B" w:rsidRDefault="00F3381B" w:rsidP="00C320B3">
      <w:pPr>
        <w:pStyle w:val="NoSpacing"/>
        <w:rPr>
          <w:rStyle w:val="Hyperlink"/>
          <w:color w:val="auto"/>
        </w:rPr>
      </w:pPr>
    </w:p>
    <w:p w14:paraId="1D200825" w14:textId="77777777" w:rsidR="00F3381B" w:rsidRPr="00F3381B" w:rsidRDefault="00F3381B" w:rsidP="00C320B3">
      <w:pPr>
        <w:pStyle w:val="NoSpacing"/>
      </w:pPr>
    </w:p>
    <w:sectPr w:rsidR="00F3381B" w:rsidRPr="00F338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BE00" w14:textId="77777777" w:rsidR="005B4767" w:rsidRDefault="005B4767" w:rsidP="0085206B">
      <w:pPr>
        <w:spacing w:after="0" w:line="240" w:lineRule="auto"/>
      </w:pPr>
      <w:r>
        <w:separator/>
      </w:r>
    </w:p>
  </w:endnote>
  <w:endnote w:type="continuationSeparator" w:id="0">
    <w:p w14:paraId="15D0A3F2" w14:textId="77777777" w:rsidR="005B4767" w:rsidRDefault="005B4767" w:rsidP="00852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FFB2" w14:textId="77777777" w:rsidR="005B4767" w:rsidRDefault="005B4767" w:rsidP="0085206B">
      <w:pPr>
        <w:spacing w:after="0" w:line="240" w:lineRule="auto"/>
      </w:pPr>
      <w:r>
        <w:separator/>
      </w:r>
    </w:p>
  </w:footnote>
  <w:footnote w:type="continuationSeparator" w:id="0">
    <w:p w14:paraId="3EC1ED6B" w14:textId="77777777" w:rsidR="005B4767" w:rsidRDefault="005B4767" w:rsidP="00852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03929"/>
    <w:multiLevelType w:val="hybridMultilevel"/>
    <w:tmpl w:val="0F76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6AD"/>
    <w:rsid w:val="00005034"/>
    <w:rsid w:val="0001625A"/>
    <w:rsid w:val="000278DF"/>
    <w:rsid w:val="000454D6"/>
    <w:rsid w:val="000460B6"/>
    <w:rsid w:val="00046A41"/>
    <w:rsid w:val="00060110"/>
    <w:rsid w:val="0006144B"/>
    <w:rsid w:val="00074804"/>
    <w:rsid w:val="00085869"/>
    <w:rsid w:val="00086EEF"/>
    <w:rsid w:val="000A3286"/>
    <w:rsid w:val="000A776A"/>
    <w:rsid w:val="000C3155"/>
    <w:rsid w:val="000D003C"/>
    <w:rsid w:val="000D13B0"/>
    <w:rsid w:val="000D593D"/>
    <w:rsid w:val="000D722A"/>
    <w:rsid w:val="000E4450"/>
    <w:rsid w:val="000E528C"/>
    <w:rsid w:val="000E713C"/>
    <w:rsid w:val="00115F6B"/>
    <w:rsid w:val="00116789"/>
    <w:rsid w:val="00121788"/>
    <w:rsid w:val="0012542B"/>
    <w:rsid w:val="001537D5"/>
    <w:rsid w:val="001639EC"/>
    <w:rsid w:val="00167C8C"/>
    <w:rsid w:val="00167D54"/>
    <w:rsid w:val="00181C4A"/>
    <w:rsid w:val="00183633"/>
    <w:rsid w:val="001A6027"/>
    <w:rsid w:val="001B45E3"/>
    <w:rsid w:val="001B7715"/>
    <w:rsid w:val="001C0607"/>
    <w:rsid w:val="001E3A49"/>
    <w:rsid w:val="001E6858"/>
    <w:rsid w:val="001F7772"/>
    <w:rsid w:val="00211CB3"/>
    <w:rsid w:val="00213175"/>
    <w:rsid w:val="00214A73"/>
    <w:rsid w:val="002323BC"/>
    <w:rsid w:val="002516A9"/>
    <w:rsid w:val="00251FAA"/>
    <w:rsid w:val="002619AA"/>
    <w:rsid w:val="00275D51"/>
    <w:rsid w:val="0028177A"/>
    <w:rsid w:val="002848EA"/>
    <w:rsid w:val="0029593A"/>
    <w:rsid w:val="00297F99"/>
    <w:rsid w:val="002A1F96"/>
    <w:rsid w:val="002B5BA4"/>
    <w:rsid w:val="002D2F45"/>
    <w:rsid w:val="00313AF6"/>
    <w:rsid w:val="0032166A"/>
    <w:rsid w:val="00330EE6"/>
    <w:rsid w:val="00366075"/>
    <w:rsid w:val="00374841"/>
    <w:rsid w:val="00375344"/>
    <w:rsid w:val="003775FE"/>
    <w:rsid w:val="00386EF9"/>
    <w:rsid w:val="003A139B"/>
    <w:rsid w:val="003A6958"/>
    <w:rsid w:val="003C326A"/>
    <w:rsid w:val="003F0508"/>
    <w:rsid w:val="003F0B76"/>
    <w:rsid w:val="003F1F3A"/>
    <w:rsid w:val="003F3EAC"/>
    <w:rsid w:val="003F6507"/>
    <w:rsid w:val="00405725"/>
    <w:rsid w:val="00417F9C"/>
    <w:rsid w:val="00420B4B"/>
    <w:rsid w:val="00424236"/>
    <w:rsid w:val="00426E88"/>
    <w:rsid w:val="0043632A"/>
    <w:rsid w:val="00441E88"/>
    <w:rsid w:val="00445FB3"/>
    <w:rsid w:val="004506A1"/>
    <w:rsid w:val="004532D7"/>
    <w:rsid w:val="00453598"/>
    <w:rsid w:val="00455A1D"/>
    <w:rsid w:val="00462CB7"/>
    <w:rsid w:val="004724CF"/>
    <w:rsid w:val="0047544E"/>
    <w:rsid w:val="00480474"/>
    <w:rsid w:val="004825EF"/>
    <w:rsid w:val="00487B1C"/>
    <w:rsid w:val="004A02C7"/>
    <w:rsid w:val="004B09EE"/>
    <w:rsid w:val="004B3394"/>
    <w:rsid w:val="004B3AF7"/>
    <w:rsid w:val="004C2E47"/>
    <w:rsid w:val="004C7038"/>
    <w:rsid w:val="004E055E"/>
    <w:rsid w:val="00501D39"/>
    <w:rsid w:val="00513CEC"/>
    <w:rsid w:val="00527D7A"/>
    <w:rsid w:val="00530A3D"/>
    <w:rsid w:val="0053413B"/>
    <w:rsid w:val="00541F53"/>
    <w:rsid w:val="005447D1"/>
    <w:rsid w:val="00551AD6"/>
    <w:rsid w:val="005523E6"/>
    <w:rsid w:val="0055700B"/>
    <w:rsid w:val="005577D7"/>
    <w:rsid w:val="00573B4D"/>
    <w:rsid w:val="00574A31"/>
    <w:rsid w:val="00575B45"/>
    <w:rsid w:val="00575CD1"/>
    <w:rsid w:val="00576C59"/>
    <w:rsid w:val="00580E0D"/>
    <w:rsid w:val="005A4226"/>
    <w:rsid w:val="005B085F"/>
    <w:rsid w:val="005B4767"/>
    <w:rsid w:val="005B77DF"/>
    <w:rsid w:val="005C1D7F"/>
    <w:rsid w:val="005C6F86"/>
    <w:rsid w:val="005D074C"/>
    <w:rsid w:val="005D2FA4"/>
    <w:rsid w:val="005D33E6"/>
    <w:rsid w:val="005E3E30"/>
    <w:rsid w:val="005E57B5"/>
    <w:rsid w:val="005E6321"/>
    <w:rsid w:val="005F38FD"/>
    <w:rsid w:val="005F3A84"/>
    <w:rsid w:val="005F6F0E"/>
    <w:rsid w:val="00603BFF"/>
    <w:rsid w:val="00620484"/>
    <w:rsid w:val="006219C3"/>
    <w:rsid w:val="0062280E"/>
    <w:rsid w:val="00631497"/>
    <w:rsid w:val="006367FE"/>
    <w:rsid w:val="006529AC"/>
    <w:rsid w:val="00653C30"/>
    <w:rsid w:val="00671CBB"/>
    <w:rsid w:val="006955B9"/>
    <w:rsid w:val="006D3512"/>
    <w:rsid w:val="006E1C43"/>
    <w:rsid w:val="006E3FB7"/>
    <w:rsid w:val="00706D82"/>
    <w:rsid w:val="00707695"/>
    <w:rsid w:val="007125D5"/>
    <w:rsid w:val="00713E0D"/>
    <w:rsid w:val="00722167"/>
    <w:rsid w:val="00741C51"/>
    <w:rsid w:val="0074509D"/>
    <w:rsid w:val="0075040D"/>
    <w:rsid w:val="00763988"/>
    <w:rsid w:val="00767294"/>
    <w:rsid w:val="007749EA"/>
    <w:rsid w:val="00790D46"/>
    <w:rsid w:val="007A0327"/>
    <w:rsid w:val="007A2474"/>
    <w:rsid w:val="007B33A4"/>
    <w:rsid w:val="007B6F00"/>
    <w:rsid w:val="007B7526"/>
    <w:rsid w:val="007D046B"/>
    <w:rsid w:val="007D26D8"/>
    <w:rsid w:val="007E3234"/>
    <w:rsid w:val="007F4696"/>
    <w:rsid w:val="00804A75"/>
    <w:rsid w:val="0081171B"/>
    <w:rsid w:val="00817793"/>
    <w:rsid w:val="008232EE"/>
    <w:rsid w:val="00825A31"/>
    <w:rsid w:val="00832350"/>
    <w:rsid w:val="00836AD7"/>
    <w:rsid w:val="00841AEB"/>
    <w:rsid w:val="00842CBF"/>
    <w:rsid w:val="00842D36"/>
    <w:rsid w:val="00844F88"/>
    <w:rsid w:val="0085206B"/>
    <w:rsid w:val="008551DB"/>
    <w:rsid w:val="00855FEB"/>
    <w:rsid w:val="0086148F"/>
    <w:rsid w:val="008675BA"/>
    <w:rsid w:val="00887C1E"/>
    <w:rsid w:val="008910D3"/>
    <w:rsid w:val="008A43FB"/>
    <w:rsid w:val="008D1F64"/>
    <w:rsid w:val="008D3BF4"/>
    <w:rsid w:val="008E0603"/>
    <w:rsid w:val="008E390C"/>
    <w:rsid w:val="008E42AA"/>
    <w:rsid w:val="008E77F6"/>
    <w:rsid w:val="008F28B4"/>
    <w:rsid w:val="00902C2A"/>
    <w:rsid w:val="00936CF4"/>
    <w:rsid w:val="0095042A"/>
    <w:rsid w:val="00955F3B"/>
    <w:rsid w:val="00965DFB"/>
    <w:rsid w:val="009704DF"/>
    <w:rsid w:val="00971943"/>
    <w:rsid w:val="009822FB"/>
    <w:rsid w:val="009825F8"/>
    <w:rsid w:val="00985DB6"/>
    <w:rsid w:val="00985F8E"/>
    <w:rsid w:val="0099080C"/>
    <w:rsid w:val="00990DAA"/>
    <w:rsid w:val="00995411"/>
    <w:rsid w:val="0099555B"/>
    <w:rsid w:val="009A7392"/>
    <w:rsid w:val="009B0A31"/>
    <w:rsid w:val="009B5EC3"/>
    <w:rsid w:val="009B7E4F"/>
    <w:rsid w:val="009D04EC"/>
    <w:rsid w:val="009D0FD5"/>
    <w:rsid w:val="009D4F0E"/>
    <w:rsid w:val="009E475E"/>
    <w:rsid w:val="009E49B8"/>
    <w:rsid w:val="009E7CD0"/>
    <w:rsid w:val="00A15B55"/>
    <w:rsid w:val="00A16F67"/>
    <w:rsid w:val="00A212BC"/>
    <w:rsid w:val="00A31525"/>
    <w:rsid w:val="00A520EE"/>
    <w:rsid w:val="00A5753E"/>
    <w:rsid w:val="00A73934"/>
    <w:rsid w:val="00A779AE"/>
    <w:rsid w:val="00A8245E"/>
    <w:rsid w:val="00AB290D"/>
    <w:rsid w:val="00AB570A"/>
    <w:rsid w:val="00AC137D"/>
    <w:rsid w:val="00AC61D1"/>
    <w:rsid w:val="00AD444B"/>
    <w:rsid w:val="00AD4518"/>
    <w:rsid w:val="00AD7D10"/>
    <w:rsid w:val="00AE047C"/>
    <w:rsid w:val="00AE3071"/>
    <w:rsid w:val="00AE612C"/>
    <w:rsid w:val="00AE79A9"/>
    <w:rsid w:val="00AE7EF3"/>
    <w:rsid w:val="00AF39E6"/>
    <w:rsid w:val="00B04D91"/>
    <w:rsid w:val="00B13B6A"/>
    <w:rsid w:val="00B1478D"/>
    <w:rsid w:val="00B202C9"/>
    <w:rsid w:val="00B44F93"/>
    <w:rsid w:val="00B4640C"/>
    <w:rsid w:val="00B52962"/>
    <w:rsid w:val="00B55111"/>
    <w:rsid w:val="00B56B2D"/>
    <w:rsid w:val="00B638A3"/>
    <w:rsid w:val="00B639CD"/>
    <w:rsid w:val="00B64B06"/>
    <w:rsid w:val="00B64D91"/>
    <w:rsid w:val="00B71865"/>
    <w:rsid w:val="00B720A6"/>
    <w:rsid w:val="00B77662"/>
    <w:rsid w:val="00B87E11"/>
    <w:rsid w:val="00B91E9B"/>
    <w:rsid w:val="00BC50AB"/>
    <w:rsid w:val="00BD14E2"/>
    <w:rsid w:val="00BD19EB"/>
    <w:rsid w:val="00BE48F5"/>
    <w:rsid w:val="00C0087E"/>
    <w:rsid w:val="00C01B14"/>
    <w:rsid w:val="00C022F9"/>
    <w:rsid w:val="00C04655"/>
    <w:rsid w:val="00C320B3"/>
    <w:rsid w:val="00C321CB"/>
    <w:rsid w:val="00C43899"/>
    <w:rsid w:val="00C60823"/>
    <w:rsid w:val="00C651AA"/>
    <w:rsid w:val="00C77CA0"/>
    <w:rsid w:val="00C83F06"/>
    <w:rsid w:val="00C850F9"/>
    <w:rsid w:val="00C86BF2"/>
    <w:rsid w:val="00C91618"/>
    <w:rsid w:val="00C97023"/>
    <w:rsid w:val="00CB0147"/>
    <w:rsid w:val="00CC0C1E"/>
    <w:rsid w:val="00CC3882"/>
    <w:rsid w:val="00CD5B0E"/>
    <w:rsid w:val="00CF2835"/>
    <w:rsid w:val="00CF2B11"/>
    <w:rsid w:val="00CF668F"/>
    <w:rsid w:val="00D0219E"/>
    <w:rsid w:val="00D06F99"/>
    <w:rsid w:val="00D12B5C"/>
    <w:rsid w:val="00D2115B"/>
    <w:rsid w:val="00D21FBE"/>
    <w:rsid w:val="00D30672"/>
    <w:rsid w:val="00D31D5F"/>
    <w:rsid w:val="00D417E4"/>
    <w:rsid w:val="00D45060"/>
    <w:rsid w:val="00D458BE"/>
    <w:rsid w:val="00D50989"/>
    <w:rsid w:val="00D575CC"/>
    <w:rsid w:val="00D76BBE"/>
    <w:rsid w:val="00D82AC0"/>
    <w:rsid w:val="00DA3CC6"/>
    <w:rsid w:val="00DA40BB"/>
    <w:rsid w:val="00DB0E05"/>
    <w:rsid w:val="00DD28A4"/>
    <w:rsid w:val="00DD47EE"/>
    <w:rsid w:val="00DE1640"/>
    <w:rsid w:val="00E03BB8"/>
    <w:rsid w:val="00E06A69"/>
    <w:rsid w:val="00E16E8D"/>
    <w:rsid w:val="00E2515C"/>
    <w:rsid w:val="00E2698F"/>
    <w:rsid w:val="00E26F7D"/>
    <w:rsid w:val="00E3060F"/>
    <w:rsid w:val="00E32AF8"/>
    <w:rsid w:val="00E37382"/>
    <w:rsid w:val="00E45D21"/>
    <w:rsid w:val="00E71382"/>
    <w:rsid w:val="00E7341B"/>
    <w:rsid w:val="00E74DB7"/>
    <w:rsid w:val="00E76E91"/>
    <w:rsid w:val="00E77746"/>
    <w:rsid w:val="00E83DB9"/>
    <w:rsid w:val="00E8412F"/>
    <w:rsid w:val="00EA320B"/>
    <w:rsid w:val="00EB0224"/>
    <w:rsid w:val="00EC030B"/>
    <w:rsid w:val="00EC0B58"/>
    <w:rsid w:val="00EC2FB5"/>
    <w:rsid w:val="00ED26AD"/>
    <w:rsid w:val="00ED31C5"/>
    <w:rsid w:val="00ED4C01"/>
    <w:rsid w:val="00ED5F08"/>
    <w:rsid w:val="00ED79D9"/>
    <w:rsid w:val="00EE0BBF"/>
    <w:rsid w:val="00EE1568"/>
    <w:rsid w:val="00EE2A64"/>
    <w:rsid w:val="00EE2CE4"/>
    <w:rsid w:val="00EF5E14"/>
    <w:rsid w:val="00EF72DF"/>
    <w:rsid w:val="00F03661"/>
    <w:rsid w:val="00F215C0"/>
    <w:rsid w:val="00F27881"/>
    <w:rsid w:val="00F3381B"/>
    <w:rsid w:val="00F57773"/>
    <w:rsid w:val="00F644F0"/>
    <w:rsid w:val="00F65B63"/>
    <w:rsid w:val="00F9251E"/>
    <w:rsid w:val="00F950B0"/>
    <w:rsid w:val="00F95228"/>
    <w:rsid w:val="00F977CF"/>
    <w:rsid w:val="00FD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7EE5"/>
  <w15:chartTrackingRefBased/>
  <w15:docId w15:val="{D4ABFE26-AC50-4A95-BBF6-311A0488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90DAA"/>
    <w:pPr>
      <w:keepNext/>
      <w:overflowPunct w:val="0"/>
      <w:autoSpaceDE w:val="0"/>
      <w:autoSpaceDN w:val="0"/>
      <w:adjustRightInd w:val="0"/>
      <w:spacing w:after="0" w:line="240" w:lineRule="auto"/>
      <w:ind w:left="720" w:right="904"/>
      <w:textAlignment w:val="baseline"/>
      <w:outlineLvl w:val="0"/>
    </w:pPr>
    <w:rPr>
      <w:rFonts w:ascii="Times New Roman" w:eastAsia="Times New Roman" w:hAnsi="Times New Roman" w:cs="Times New Roman"/>
      <w:b/>
      <w:bCs/>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417F9C"/>
  </w:style>
  <w:style w:type="paragraph" w:styleId="NoSpacing">
    <w:name w:val="No Spacing"/>
    <w:uiPriority w:val="1"/>
    <w:qFormat/>
    <w:rsid w:val="007B6F00"/>
    <w:pPr>
      <w:spacing w:after="0" w:line="240" w:lineRule="auto"/>
    </w:pPr>
  </w:style>
  <w:style w:type="character" w:styleId="Hyperlink">
    <w:name w:val="Hyperlink"/>
    <w:basedOn w:val="DefaultParagraphFont"/>
    <w:uiPriority w:val="99"/>
    <w:unhideWhenUsed/>
    <w:rsid w:val="003C326A"/>
    <w:rPr>
      <w:color w:val="0563C1" w:themeColor="hyperlink"/>
      <w:u w:val="single"/>
    </w:rPr>
  </w:style>
  <w:style w:type="character" w:styleId="CommentReference">
    <w:name w:val="annotation reference"/>
    <w:basedOn w:val="DefaultParagraphFont"/>
    <w:uiPriority w:val="99"/>
    <w:semiHidden/>
    <w:unhideWhenUsed/>
    <w:rsid w:val="00620484"/>
    <w:rPr>
      <w:sz w:val="16"/>
      <w:szCs w:val="16"/>
    </w:rPr>
  </w:style>
  <w:style w:type="paragraph" w:styleId="CommentText">
    <w:name w:val="annotation text"/>
    <w:basedOn w:val="Normal"/>
    <w:link w:val="CommentTextChar"/>
    <w:uiPriority w:val="99"/>
    <w:semiHidden/>
    <w:unhideWhenUsed/>
    <w:rsid w:val="00620484"/>
    <w:pPr>
      <w:spacing w:line="240" w:lineRule="auto"/>
    </w:pPr>
    <w:rPr>
      <w:sz w:val="20"/>
      <w:szCs w:val="20"/>
    </w:rPr>
  </w:style>
  <w:style w:type="character" w:customStyle="1" w:styleId="CommentTextChar">
    <w:name w:val="Comment Text Char"/>
    <w:basedOn w:val="DefaultParagraphFont"/>
    <w:link w:val="CommentText"/>
    <w:uiPriority w:val="99"/>
    <w:semiHidden/>
    <w:rsid w:val="00620484"/>
    <w:rPr>
      <w:sz w:val="20"/>
      <w:szCs w:val="20"/>
    </w:rPr>
  </w:style>
  <w:style w:type="paragraph" w:styleId="CommentSubject">
    <w:name w:val="annotation subject"/>
    <w:basedOn w:val="CommentText"/>
    <w:next w:val="CommentText"/>
    <w:link w:val="CommentSubjectChar"/>
    <w:uiPriority w:val="99"/>
    <w:semiHidden/>
    <w:unhideWhenUsed/>
    <w:rsid w:val="00620484"/>
    <w:rPr>
      <w:b/>
      <w:bCs/>
    </w:rPr>
  </w:style>
  <w:style w:type="character" w:customStyle="1" w:styleId="CommentSubjectChar">
    <w:name w:val="Comment Subject Char"/>
    <w:basedOn w:val="CommentTextChar"/>
    <w:link w:val="CommentSubject"/>
    <w:uiPriority w:val="99"/>
    <w:semiHidden/>
    <w:rsid w:val="00620484"/>
    <w:rPr>
      <w:b/>
      <w:bCs/>
      <w:sz w:val="20"/>
      <w:szCs w:val="20"/>
    </w:rPr>
  </w:style>
  <w:style w:type="paragraph" w:styleId="BalloonText">
    <w:name w:val="Balloon Text"/>
    <w:basedOn w:val="Normal"/>
    <w:link w:val="BalloonTextChar"/>
    <w:uiPriority w:val="99"/>
    <w:semiHidden/>
    <w:unhideWhenUsed/>
    <w:rsid w:val="006204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484"/>
    <w:rPr>
      <w:rFonts w:ascii="Segoe UI" w:hAnsi="Segoe UI" w:cs="Segoe UI"/>
      <w:sz w:val="18"/>
      <w:szCs w:val="18"/>
    </w:rPr>
  </w:style>
  <w:style w:type="paragraph" w:customStyle="1" w:styleId="Default">
    <w:name w:val="Default"/>
    <w:rsid w:val="00825A31"/>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0460B6"/>
    <w:rPr>
      <w:color w:val="954F72" w:themeColor="followedHyperlink"/>
      <w:u w:val="single"/>
    </w:rPr>
  </w:style>
  <w:style w:type="character" w:customStyle="1" w:styleId="Heading1Char">
    <w:name w:val="Heading 1 Char"/>
    <w:basedOn w:val="DefaultParagraphFont"/>
    <w:link w:val="Heading1"/>
    <w:rsid w:val="00990DAA"/>
    <w:rPr>
      <w:rFonts w:ascii="Times New Roman" w:eastAsia="Times New Roman" w:hAnsi="Times New Roman" w:cs="Times New Roman"/>
      <w:b/>
      <w:bCs/>
      <w:sz w:val="24"/>
      <w:szCs w:val="20"/>
      <w:u w:val="single"/>
    </w:rPr>
  </w:style>
  <w:style w:type="paragraph" w:styleId="ListParagraph">
    <w:name w:val="List Paragraph"/>
    <w:basedOn w:val="Normal"/>
    <w:uiPriority w:val="34"/>
    <w:qFormat/>
    <w:rsid w:val="00763988"/>
    <w:pPr>
      <w:ind w:left="720"/>
      <w:contextualSpacing/>
    </w:pPr>
  </w:style>
  <w:style w:type="character" w:customStyle="1" w:styleId="im">
    <w:name w:val="im"/>
    <w:basedOn w:val="DefaultParagraphFont"/>
    <w:rsid w:val="004506A1"/>
  </w:style>
  <w:style w:type="paragraph" w:styleId="Header">
    <w:name w:val="header"/>
    <w:basedOn w:val="Normal"/>
    <w:link w:val="HeaderChar"/>
    <w:uiPriority w:val="99"/>
    <w:unhideWhenUsed/>
    <w:rsid w:val="00852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206B"/>
  </w:style>
  <w:style w:type="paragraph" w:styleId="Footer">
    <w:name w:val="footer"/>
    <w:basedOn w:val="Normal"/>
    <w:link w:val="FooterChar"/>
    <w:uiPriority w:val="99"/>
    <w:unhideWhenUsed/>
    <w:rsid w:val="00852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www.fws.gov/greatersagegrouse/factsheets/GreaterSageGrouseCanon_FINAL.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afwa.05-one.net/Documents%20and%20Settings/37/Site%20Documents/News/GreaterSage-grouseConservationStrategy2006.pdf" TargetMode="External"/><Relationship Id="rId17" Type="http://schemas.openxmlformats.org/officeDocument/2006/relationships/hyperlink" Target="http://wafwa.05-one.net/Documents%20and%20Settings/37/Site%20Documents/News/GreaterSage-grouseConservationStrategy2006.pdf" TargetMode="External"/><Relationship Id="rId2" Type="http://schemas.openxmlformats.org/officeDocument/2006/relationships/numbering" Target="numbering.xml"/><Relationship Id="rId16" Type="http://schemas.openxmlformats.org/officeDocument/2006/relationships/hyperlink" Target="http://www.wafwa.org/Documents%20and%20Settings/37/Site%20Documents/News/Lek%20Trend%20Analysis%20final%208-14-1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fwa.org/" TargetMode="External"/><Relationship Id="rId5" Type="http://schemas.openxmlformats.org/officeDocument/2006/relationships/webSettings" Target="webSettings.xml"/><Relationship Id="rId15" Type="http://schemas.openxmlformats.org/officeDocument/2006/relationships/hyperlink" Target="http://www.wafwa.org/news/" TargetMode="External"/><Relationship Id="rId10" Type="http://schemas.openxmlformats.org/officeDocument/2006/relationships/hyperlink" Target="tel:928.899.373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2D839-DBD0-4226-A13F-777CCD2B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Remington;Lydia Saldana</dc:creator>
  <cp:keywords/>
  <dc:description/>
  <cp:lastModifiedBy>Matthew</cp:lastModifiedBy>
  <cp:revision>2</cp:revision>
  <cp:lastPrinted>2015-08-14T18:54:00Z</cp:lastPrinted>
  <dcterms:created xsi:type="dcterms:W3CDTF">2021-10-04T15:42:00Z</dcterms:created>
  <dcterms:modified xsi:type="dcterms:W3CDTF">2021-10-04T15:42:00Z</dcterms:modified>
</cp:coreProperties>
</file>